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9F" w:rsidRPr="00E53738" w:rsidRDefault="000C209F" w:rsidP="00E53738">
      <w:pPr>
        <w:spacing w:after="0"/>
        <w:jc w:val="center"/>
        <w:rPr>
          <w:rFonts w:ascii="Arial" w:hAnsi="Arial" w:cs="Arial"/>
          <w:b/>
          <w:sz w:val="24"/>
          <w:szCs w:val="24"/>
        </w:rPr>
      </w:pPr>
      <w:bookmarkStart w:id="0" w:name="_GoBack"/>
      <w:bookmarkEnd w:id="0"/>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CA7E3E" w:rsidRDefault="00C1079D" w:rsidP="00CA7E3E">
            <w:pPr>
              <w:spacing w:after="0" w:line="240" w:lineRule="auto"/>
              <w:ind w:right="-108"/>
              <w:rPr>
                <w:rFonts w:ascii="Arial" w:hAnsi="Arial" w:cs="Arial"/>
                <w:b/>
                <w:sz w:val="24"/>
                <w:szCs w:val="24"/>
              </w:rPr>
            </w:pPr>
            <w:r w:rsidRPr="00CA7E3E">
              <w:rPr>
                <w:rFonts w:ascii="Arial" w:hAnsi="Arial" w:cs="Arial"/>
                <w:b/>
                <w:sz w:val="24"/>
                <w:szCs w:val="24"/>
              </w:rPr>
              <w:t>TPF-5(</w:t>
            </w:r>
            <w:r w:rsidR="00CA7E3E" w:rsidRPr="00CA7E3E">
              <w:rPr>
                <w:rFonts w:ascii="Arial" w:hAnsi="Arial" w:cs="Arial"/>
                <w:b/>
                <w:sz w:val="24"/>
                <w:szCs w:val="24"/>
              </w:rPr>
              <w:t>338</w:t>
            </w:r>
            <w:r w:rsidR="000C209F" w:rsidRPr="00CA7E3E">
              <w:rPr>
                <w:rFonts w:ascii="Arial" w:hAnsi="Arial" w:cs="Arial"/>
                <w:b/>
                <w:sz w:val="24"/>
                <w:szCs w:val="24"/>
              </w:rPr>
              <w:t>)</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3110B5" w:rsidRDefault="000C209F" w:rsidP="00360664">
            <w:pPr>
              <w:spacing w:after="0" w:line="240" w:lineRule="auto"/>
              <w:ind w:left="-108" w:right="-720"/>
              <w:rPr>
                <w:rFonts w:ascii="Arial" w:hAnsi="Arial" w:cs="Arial"/>
                <w:b/>
                <w:sz w:val="20"/>
                <w:szCs w:val="20"/>
              </w:rPr>
            </w:pPr>
            <w:r w:rsidRPr="003110B5">
              <w:rPr>
                <w:rFonts w:ascii="Arial" w:hAnsi="Arial" w:cs="Arial"/>
                <w:b/>
                <w:sz w:val="36"/>
                <w:szCs w:val="36"/>
              </w:rPr>
              <w:t xml:space="preserve"> </w:t>
            </w:r>
            <w:r w:rsidR="003110B5" w:rsidRPr="003110B5">
              <w:rPr>
                <w:rFonts w:ascii="Arial" w:hAnsi="Arial" w:cs="Arial"/>
                <w:b/>
                <w:sz w:val="36"/>
                <w:szCs w:val="36"/>
                <w:u w:val="single"/>
              </w:rPr>
              <w:t>x</w:t>
            </w:r>
            <w:r w:rsidRPr="003110B5">
              <w:rPr>
                <w:rFonts w:ascii="Arial" w:hAnsi="Arial" w:cs="Arial"/>
                <w:b/>
                <w:sz w:val="36"/>
                <w:szCs w:val="36"/>
              </w:rPr>
              <w:t xml:space="preserve"> </w:t>
            </w:r>
            <w:r w:rsidRPr="003110B5">
              <w:rPr>
                <w:rFonts w:ascii="Arial" w:hAnsi="Arial" w:cs="Arial"/>
                <w:b/>
                <w:sz w:val="20"/>
                <w:szCs w:val="20"/>
              </w:rPr>
              <w:t>Quarter 1 (January 1 – March 31</w:t>
            </w:r>
            <w:r w:rsidR="005C75FE" w:rsidRPr="003110B5">
              <w:rPr>
                <w:rFonts w:ascii="Arial" w:hAnsi="Arial" w:cs="Arial"/>
                <w:b/>
                <w:sz w:val="20"/>
                <w:szCs w:val="20"/>
              </w:rPr>
              <w:t xml:space="preserve">, </w:t>
            </w:r>
            <w:r w:rsidR="003E4DE4" w:rsidRPr="003110B5">
              <w:rPr>
                <w:rFonts w:ascii="Arial" w:hAnsi="Arial" w:cs="Arial"/>
                <w:b/>
                <w:sz w:val="20"/>
                <w:szCs w:val="20"/>
              </w:rPr>
              <w:t>201</w:t>
            </w:r>
            <w:r w:rsidR="003110B5" w:rsidRPr="003110B5">
              <w:rPr>
                <w:rFonts w:ascii="Arial" w:hAnsi="Arial" w:cs="Arial"/>
                <w:b/>
                <w:sz w:val="20"/>
                <w:szCs w:val="20"/>
              </w:rPr>
              <w:t>7</w:t>
            </w:r>
            <w:r w:rsidRPr="003110B5">
              <w:rPr>
                <w:rFonts w:ascii="Arial" w:hAnsi="Arial" w:cs="Arial"/>
                <w:b/>
                <w:sz w:val="20"/>
                <w:szCs w:val="20"/>
              </w:rPr>
              <w:t>)</w:t>
            </w:r>
          </w:p>
          <w:p w:rsidR="000C209F" w:rsidRPr="000556F2" w:rsidRDefault="000C209F" w:rsidP="00360664">
            <w:pPr>
              <w:spacing w:after="0" w:line="240" w:lineRule="auto"/>
              <w:ind w:left="-108" w:right="-108"/>
              <w:rPr>
                <w:rFonts w:ascii="Arial" w:hAnsi="Arial" w:cs="Arial"/>
                <w:sz w:val="20"/>
                <w:szCs w:val="20"/>
              </w:rPr>
            </w:pPr>
            <w:r w:rsidRPr="000556F2">
              <w:rPr>
                <w:rFonts w:ascii="Arial" w:hAnsi="Arial" w:cs="Arial"/>
                <w:sz w:val="36"/>
                <w:szCs w:val="36"/>
              </w:rPr>
              <w:t xml:space="preserve"> </w:t>
            </w:r>
            <w:r w:rsidR="00215F63" w:rsidRPr="00CA7E3E">
              <w:rPr>
                <w:rFonts w:ascii="Arial" w:hAnsi="Arial" w:cs="Arial"/>
                <w:sz w:val="36"/>
                <w:szCs w:val="36"/>
                <w:u w:val="single"/>
              </w:rPr>
              <w:t>_</w:t>
            </w:r>
            <w:r w:rsidR="00C47C4A" w:rsidRPr="000556F2">
              <w:rPr>
                <w:rFonts w:ascii="Arial" w:hAnsi="Arial" w:cs="Arial"/>
                <w:sz w:val="36"/>
                <w:szCs w:val="36"/>
              </w:rPr>
              <w:t xml:space="preserve"> </w:t>
            </w:r>
            <w:r w:rsidRPr="00215F63">
              <w:rPr>
                <w:rFonts w:ascii="Arial" w:hAnsi="Arial" w:cs="Arial"/>
                <w:sz w:val="20"/>
                <w:szCs w:val="20"/>
              </w:rPr>
              <w:t>Quarter 2 (April 1 – June 30</w:t>
            </w:r>
            <w:r w:rsidR="002C4321" w:rsidRPr="00215F63">
              <w:rPr>
                <w:rFonts w:ascii="Arial" w:hAnsi="Arial" w:cs="Arial"/>
                <w:sz w:val="20"/>
                <w:szCs w:val="20"/>
              </w:rPr>
              <w:t>, 201</w:t>
            </w:r>
            <w:r w:rsidR="003110B5">
              <w:rPr>
                <w:rFonts w:ascii="Arial" w:hAnsi="Arial" w:cs="Arial"/>
                <w:sz w:val="20"/>
                <w:szCs w:val="20"/>
              </w:rPr>
              <w:t>7</w:t>
            </w:r>
            <w:r w:rsidRPr="00215F63">
              <w:rPr>
                <w:rFonts w:ascii="Arial" w:hAnsi="Arial" w:cs="Arial"/>
                <w:sz w:val="20"/>
                <w:szCs w:val="20"/>
              </w:rPr>
              <w:t>)</w:t>
            </w:r>
          </w:p>
          <w:p w:rsidR="000C209F" w:rsidRPr="00753B95" w:rsidRDefault="00753B95" w:rsidP="00360664">
            <w:pPr>
              <w:spacing w:after="0" w:line="240" w:lineRule="auto"/>
              <w:ind w:right="-720"/>
              <w:rPr>
                <w:rFonts w:ascii="Arial" w:hAnsi="Arial" w:cs="Arial"/>
                <w:sz w:val="20"/>
                <w:szCs w:val="20"/>
              </w:rPr>
            </w:pPr>
            <w:r w:rsidRPr="00753B95">
              <w:rPr>
                <w:rFonts w:ascii="Arial" w:hAnsi="Arial" w:cs="Arial"/>
                <w:sz w:val="36"/>
                <w:szCs w:val="36"/>
                <w:u w:val="single"/>
              </w:rPr>
              <w:t>_</w:t>
            </w:r>
            <w:r w:rsidR="001D763A" w:rsidRPr="00753B95">
              <w:rPr>
                <w:rFonts w:ascii="Arial" w:hAnsi="Arial" w:cs="Arial"/>
                <w:sz w:val="36"/>
                <w:szCs w:val="36"/>
              </w:rPr>
              <w:t xml:space="preserve"> </w:t>
            </w:r>
            <w:r w:rsidR="000C209F" w:rsidRPr="00753B95">
              <w:rPr>
                <w:rFonts w:ascii="Arial" w:hAnsi="Arial" w:cs="Arial"/>
                <w:sz w:val="20"/>
                <w:szCs w:val="20"/>
              </w:rPr>
              <w:t>Quarter 3 (July 1 – September 30</w:t>
            </w:r>
            <w:r w:rsidR="002C4321" w:rsidRPr="00753B95">
              <w:rPr>
                <w:rFonts w:ascii="Arial" w:hAnsi="Arial" w:cs="Arial"/>
                <w:sz w:val="20"/>
                <w:szCs w:val="20"/>
              </w:rPr>
              <w:t>, 201</w:t>
            </w:r>
            <w:r w:rsidR="003110B5">
              <w:rPr>
                <w:rFonts w:ascii="Arial" w:hAnsi="Arial" w:cs="Arial"/>
                <w:sz w:val="20"/>
                <w:szCs w:val="20"/>
              </w:rPr>
              <w:t>7</w:t>
            </w:r>
            <w:r w:rsidR="000C209F" w:rsidRPr="00753B95">
              <w:rPr>
                <w:rFonts w:ascii="Arial" w:hAnsi="Arial" w:cs="Arial"/>
                <w:sz w:val="20"/>
                <w:szCs w:val="20"/>
              </w:rPr>
              <w:t>)</w:t>
            </w:r>
          </w:p>
          <w:p w:rsidR="000C209F" w:rsidRPr="003110B5" w:rsidRDefault="003110B5" w:rsidP="003110B5">
            <w:pPr>
              <w:spacing w:after="0" w:line="240" w:lineRule="auto"/>
              <w:ind w:right="-720"/>
              <w:rPr>
                <w:rFonts w:ascii="Arial" w:hAnsi="Arial" w:cs="Arial"/>
                <w:sz w:val="20"/>
                <w:szCs w:val="20"/>
              </w:rPr>
            </w:pPr>
            <w:r w:rsidRPr="00753B95">
              <w:rPr>
                <w:rFonts w:ascii="Arial" w:hAnsi="Arial" w:cs="Arial"/>
                <w:sz w:val="36"/>
                <w:szCs w:val="36"/>
                <w:u w:val="single"/>
              </w:rPr>
              <w:t>_</w:t>
            </w:r>
            <w:r w:rsidR="00532264" w:rsidRPr="003110B5">
              <w:rPr>
                <w:rFonts w:ascii="Arial" w:hAnsi="Arial" w:cs="Arial"/>
                <w:sz w:val="36"/>
                <w:szCs w:val="36"/>
              </w:rPr>
              <w:t xml:space="preserve"> </w:t>
            </w:r>
            <w:r w:rsidR="000C209F" w:rsidRPr="003110B5">
              <w:rPr>
                <w:rFonts w:ascii="Arial" w:hAnsi="Arial" w:cs="Arial"/>
                <w:sz w:val="20"/>
                <w:szCs w:val="20"/>
              </w:rPr>
              <w:t xml:space="preserve">Quarter </w:t>
            </w:r>
            <w:r w:rsidR="005C75FE" w:rsidRPr="003110B5">
              <w:rPr>
                <w:rFonts w:ascii="Arial" w:hAnsi="Arial" w:cs="Arial"/>
                <w:sz w:val="20"/>
                <w:szCs w:val="20"/>
              </w:rPr>
              <w:t>4 (October 1 – December 31</w:t>
            </w:r>
            <w:r w:rsidR="002C4321" w:rsidRPr="003110B5">
              <w:rPr>
                <w:rFonts w:ascii="Arial" w:hAnsi="Arial" w:cs="Arial"/>
                <w:sz w:val="20"/>
                <w:szCs w:val="20"/>
              </w:rPr>
              <w:t>, 201</w:t>
            </w:r>
            <w:r w:rsidRPr="003110B5">
              <w:rPr>
                <w:rFonts w:ascii="Arial" w:hAnsi="Arial" w:cs="Arial"/>
                <w:sz w:val="20"/>
                <w:szCs w:val="20"/>
              </w:rPr>
              <w:t>7</w:t>
            </w:r>
            <w:r w:rsidR="000C209F" w:rsidRPr="003110B5">
              <w:rPr>
                <w:rFonts w:ascii="Arial" w:hAnsi="Arial" w:cs="Arial"/>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541ECB" w:rsidRDefault="00C1079D" w:rsidP="00360664">
            <w:pPr>
              <w:spacing w:after="0" w:line="240" w:lineRule="auto"/>
              <w:ind w:right="-108"/>
              <w:rPr>
                <w:rFonts w:ascii="Arial" w:hAnsi="Arial" w:cs="Arial"/>
                <w:sz w:val="24"/>
                <w:szCs w:val="24"/>
              </w:rPr>
            </w:pPr>
            <w:r w:rsidRPr="00541ECB">
              <w:rPr>
                <w:rFonts w:ascii="Arial" w:hAnsi="Arial" w:cs="Arial"/>
                <w:sz w:val="24"/>
                <w:szCs w:val="24"/>
              </w:rPr>
              <w:t xml:space="preserve">Simplified </w:t>
            </w:r>
            <w:r w:rsidR="00CA7E3E" w:rsidRPr="00753B95">
              <w:rPr>
                <w:rFonts w:ascii="Arial" w:hAnsi="Arial" w:cs="Arial"/>
                <w:sz w:val="24"/>
                <w:szCs w:val="24"/>
                <w:u w:val="single"/>
              </w:rPr>
              <w:t>C</w:t>
            </w:r>
            <w:r w:rsidRPr="00753B95">
              <w:rPr>
                <w:rFonts w:ascii="Arial" w:hAnsi="Arial" w:cs="Arial"/>
                <w:sz w:val="24"/>
                <w:szCs w:val="24"/>
                <w:u w:val="single"/>
              </w:rPr>
              <w:t>PT</w:t>
            </w:r>
            <w:r w:rsidRPr="00541ECB">
              <w:rPr>
                <w:rFonts w:ascii="Arial" w:hAnsi="Arial" w:cs="Arial"/>
                <w:sz w:val="24"/>
                <w:szCs w:val="24"/>
              </w:rPr>
              <w:t xml:space="preserve"> Performance-Based Assessment of Liquefaction and Effects</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2D74C2" w:rsidP="00360664">
            <w:pPr>
              <w:spacing w:after="0" w:line="240" w:lineRule="auto"/>
              <w:ind w:right="-108"/>
              <w:rPr>
                <w:rFonts w:ascii="Arial" w:hAnsi="Arial" w:cs="Arial"/>
                <w:sz w:val="20"/>
                <w:szCs w:val="20"/>
              </w:rPr>
            </w:pPr>
            <w:r>
              <w:rPr>
                <w:rFonts w:ascii="Arial" w:hAnsi="Arial" w:cs="Arial"/>
                <w:sz w:val="20"/>
                <w:szCs w:val="20"/>
              </w:rPr>
              <w:t>David Stevens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2D74C2">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2D74C2">
              <w:rPr>
                <w:rFonts w:ascii="Arial" w:hAnsi="Arial" w:cs="Arial"/>
                <w:sz w:val="20"/>
                <w:szCs w:val="20"/>
              </w:rPr>
              <w:t>589</w:t>
            </w:r>
            <w:r w:rsidRPr="00360664">
              <w:rPr>
                <w:rFonts w:ascii="Arial" w:hAnsi="Arial" w:cs="Arial"/>
                <w:sz w:val="20"/>
                <w:szCs w:val="20"/>
              </w:rPr>
              <w:t>-</w:t>
            </w:r>
            <w:r w:rsidR="002D74C2">
              <w:rPr>
                <w:rFonts w:ascii="Arial" w:hAnsi="Arial" w:cs="Arial"/>
                <w:sz w:val="20"/>
                <w:szCs w:val="20"/>
              </w:rPr>
              <w:t>8340</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9" w:history="1">
              <w:r w:rsidR="002D74C2">
                <w:rPr>
                  <w:rStyle w:val="Hyperlink"/>
                  <w:rFonts w:ascii="Arial" w:hAnsi="Arial" w:cs="Arial"/>
                  <w:color w:val="auto"/>
                  <w:sz w:val="20"/>
                  <w:szCs w:val="20"/>
                  <w:u w:val="none"/>
                </w:rPr>
                <w:t>davidstevens</w:t>
              </w:r>
              <w:r w:rsidR="00067968" w:rsidRPr="00067968">
                <w:rPr>
                  <w:rStyle w:val="Hyperlink"/>
                  <w:rFonts w:ascii="Arial" w:hAnsi="Arial" w:cs="Arial"/>
                  <w:color w:val="auto"/>
                  <w:sz w:val="20"/>
                  <w:szCs w:val="20"/>
                  <w:u w:val="none"/>
                </w:rPr>
                <w:t>@utah.gov</w:t>
              </w:r>
            </w:hyperlink>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7F0353" w:rsidP="00360664">
            <w:pPr>
              <w:spacing w:after="0" w:line="240" w:lineRule="auto"/>
              <w:ind w:right="-108"/>
              <w:rPr>
                <w:rFonts w:ascii="Arial" w:hAnsi="Arial" w:cs="Arial"/>
                <w:sz w:val="20"/>
                <w:szCs w:val="20"/>
              </w:rPr>
            </w:pPr>
            <w:r>
              <w:rPr>
                <w:rFonts w:ascii="Arial" w:hAnsi="Arial" w:cs="Arial"/>
                <w:sz w:val="20"/>
                <w:szCs w:val="20"/>
              </w:rPr>
              <w:t>FINET</w:t>
            </w:r>
            <w:r w:rsidR="00407984">
              <w:rPr>
                <w:rFonts w:ascii="Arial" w:hAnsi="Arial" w:cs="Arial"/>
                <w:sz w:val="20"/>
                <w:szCs w:val="20"/>
              </w:rPr>
              <w:t xml:space="preserve"> </w:t>
            </w:r>
            <w:r w:rsidR="00475B6A">
              <w:rPr>
                <w:rFonts w:ascii="Arial" w:hAnsi="Arial" w:cs="Arial"/>
                <w:sz w:val="20"/>
                <w:szCs w:val="20"/>
              </w:rPr>
              <w:t>42074</w:t>
            </w:r>
            <w:r w:rsidR="000C209F" w:rsidRPr="00360664">
              <w:rPr>
                <w:rFonts w:ascii="Arial" w:hAnsi="Arial" w:cs="Arial"/>
                <w:sz w:val="20"/>
                <w:szCs w:val="20"/>
              </w:rPr>
              <w:t xml:space="preserve">, ePM PIN </w:t>
            </w:r>
            <w:r w:rsidR="00067968" w:rsidRPr="00067968">
              <w:rPr>
                <w:rFonts w:ascii="Arial" w:hAnsi="Arial" w:cs="Arial"/>
                <w:sz w:val="20"/>
                <w:szCs w:val="20"/>
              </w:rPr>
              <w:t>14239</w:t>
            </w:r>
          </w:p>
          <w:p w:rsidR="000C209F" w:rsidRPr="00360664" w:rsidRDefault="000C209F" w:rsidP="00067968">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w:t>
            </w:r>
            <w:r w:rsidR="00067968">
              <w:rPr>
                <w:rFonts w:ascii="Arial" w:hAnsi="Arial" w:cs="Arial"/>
                <w:sz w:val="20"/>
                <w:szCs w:val="20"/>
              </w:rPr>
              <w:t>5</w:t>
            </w:r>
            <w:r w:rsidRPr="00360664">
              <w:rPr>
                <w:rFonts w:ascii="Arial" w:hAnsi="Arial" w:cs="Arial"/>
                <w:sz w:val="20"/>
                <w:szCs w:val="20"/>
              </w:rPr>
              <w:t>.</w:t>
            </w:r>
            <w:r w:rsidR="00814F16">
              <w:rPr>
                <w:rFonts w:ascii="Arial" w:hAnsi="Arial" w:cs="Arial"/>
                <w:sz w:val="20"/>
                <w:szCs w:val="20"/>
              </w:rPr>
              <w:t>40</w:t>
            </w:r>
            <w:r w:rsidR="00067968">
              <w:rPr>
                <w:rFonts w:ascii="Arial" w:hAnsi="Arial" w:cs="Arial"/>
                <w:sz w:val="20"/>
                <w:szCs w:val="20"/>
              </w:rPr>
              <w:t>2</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4F173B"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w:t>
            </w:r>
            <w:r w:rsidRPr="004F173B">
              <w:rPr>
                <w:rFonts w:ascii="Arial" w:hAnsi="Arial" w:cs="Arial"/>
                <w:sz w:val="20"/>
                <w:szCs w:val="20"/>
              </w:rPr>
              <w:t xml:space="preserve">. </w:t>
            </w:r>
            <w:r w:rsidR="00A1292D" w:rsidRPr="004F173B">
              <w:rPr>
                <w:rFonts w:ascii="Arial" w:hAnsi="Arial" w:cs="Arial"/>
                <w:sz w:val="20"/>
                <w:szCs w:val="20"/>
              </w:rPr>
              <w:t>169826</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A1292D" w:rsidRPr="004F173B">
              <w:rPr>
                <w:rFonts w:ascii="Arial" w:hAnsi="Arial" w:cs="Arial"/>
                <w:sz w:val="20"/>
                <w:szCs w:val="20"/>
              </w:rPr>
              <w:t>May 17, 2016</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A1292D" w:rsidP="00360664">
            <w:pPr>
              <w:spacing w:after="0" w:line="240" w:lineRule="auto"/>
              <w:ind w:right="-108"/>
              <w:rPr>
                <w:rFonts w:ascii="Arial" w:hAnsi="Arial" w:cs="Arial"/>
                <w:sz w:val="20"/>
                <w:szCs w:val="20"/>
              </w:rPr>
            </w:pPr>
            <w:r w:rsidRPr="004F173B">
              <w:rPr>
                <w:rFonts w:ascii="Arial" w:hAnsi="Arial" w:cs="Arial"/>
                <w:sz w:val="20"/>
                <w:szCs w:val="20"/>
              </w:rPr>
              <w:t>November 30, 2018</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7D695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A1292D" w:rsidRPr="004F173B">
              <w:rPr>
                <w:rFonts w:ascii="Arial" w:hAnsi="Arial" w:cs="Arial"/>
                <w:sz w:val="20"/>
                <w:szCs w:val="20"/>
              </w:rPr>
              <w:t>November 30, 2018</w:t>
            </w:r>
          </w:p>
          <w:p w:rsidR="000C209F" w:rsidRPr="00360664" w:rsidRDefault="000C209F" w:rsidP="008273D7">
            <w:pPr>
              <w:spacing w:after="0" w:line="240" w:lineRule="auto"/>
              <w:ind w:left="-108" w:right="-108"/>
              <w:rPr>
                <w:rFonts w:ascii="Arial" w:hAnsi="Arial" w:cs="Arial"/>
                <w:sz w:val="20"/>
                <w:szCs w:val="20"/>
              </w:rPr>
            </w:pP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4F173B"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00A1292D" w:rsidRPr="004F173B">
              <w:rPr>
                <w:rFonts w:ascii="Arial" w:hAnsi="Arial" w:cs="Arial"/>
                <w:sz w:val="20"/>
                <w:szCs w:val="20"/>
              </w:rPr>
              <w:t>0</w:t>
            </w: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Pr>
          <w:rFonts w:ascii="Arial" w:hAnsi="Arial" w:cs="Arial"/>
          <w:sz w:val="20"/>
          <w:szCs w:val="20"/>
        </w:rPr>
        <w:t xml:space="preserve">_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215F63" w:rsidTr="00360664">
        <w:tc>
          <w:tcPr>
            <w:tcW w:w="4158" w:type="dxa"/>
            <w:vAlign w:val="center"/>
          </w:tcPr>
          <w:p w:rsidR="00845B74" w:rsidRDefault="00475B6A" w:rsidP="00BE2ADA">
            <w:pPr>
              <w:spacing w:after="0" w:line="240" w:lineRule="auto"/>
              <w:ind w:right="-108"/>
              <w:jc w:val="center"/>
              <w:rPr>
                <w:rFonts w:ascii="Arial" w:hAnsi="Arial" w:cs="Arial"/>
                <w:sz w:val="20"/>
                <w:szCs w:val="20"/>
              </w:rPr>
            </w:pPr>
            <w:r>
              <w:rPr>
                <w:rFonts w:ascii="Arial" w:hAnsi="Arial" w:cs="Arial"/>
                <w:sz w:val="20"/>
                <w:szCs w:val="20"/>
              </w:rPr>
              <w:t>$93,000</w:t>
            </w:r>
            <w:r w:rsidR="004B003D">
              <w:rPr>
                <w:rFonts w:ascii="Arial" w:hAnsi="Arial" w:cs="Arial"/>
                <w:sz w:val="20"/>
                <w:szCs w:val="20"/>
              </w:rPr>
              <w:t>.00</w:t>
            </w:r>
            <w:r w:rsidR="00934F8D">
              <w:rPr>
                <w:rFonts w:ascii="Arial" w:hAnsi="Arial" w:cs="Arial"/>
                <w:sz w:val="20"/>
                <w:szCs w:val="20"/>
              </w:rPr>
              <w:t xml:space="preserve"> (current contract)</w:t>
            </w:r>
          </w:p>
          <w:p w:rsidR="00934F8D" w:rsidRPr="00360664" w:rsidRDefault="00934F8D" w:rsidP="00384F02">
            <w:pPr>
              <w:spacing w:after="0" w:line="240" w:lineRule="auto"/>
              <w:ind w:right="-108"/>
              <w:jc w:val="center"/>
              <w:rPr>
                <w:rFonts w:ascii="Arial" w:hAnsi="Arial" w:cs="Arial"/>
                <w:sz w:val="20"/>
                <w:szCs w:val="20"/>
              </w:rPr>
            </w:pPr>
            <w:r>
              <w:rPr>
                <w:rFonts w:ascii="Arial" w:hAnsi="Arial" w:cs="Arial"/>
                <w:sz w:val="20"/>
                <w:szCs w:val="20"/>
              </w:rPr>
              <w:t>$1</w:t>
            </w:r>
            <w:r w:rsidR="00384F02">
              <w:rPr>
                <w:rFonts w:ascii="Arial" w:hAnsi="Arial" w:cs="Arial"/>
                <w:sz w:val="20"/>
                <w:szCs w:val="20"/>
              </w:rPr>
              <w:t>42</w:t>
            </w:r>
            <w:r>
              <w:rPr>
                <w:rFonts w:ascii="Arial" w:hAnsi="Arial" w:cs="Arial"/>
                <w:sz w:val="20"/>
                <w:szCs w:val="20"/>
              </w:rPr>
              <w:t>,</w:t>
            </w:r>
            <w:r w:rsidR="00384F02">
              <w:rPr>
                <w:rFonts w:ascii="Arial" w:hAnsi="Arial" w:cs="Arial"/>
                <w:sz w:val="20"/>
                <w:szCs w:val="20"/>
              </w:rPr>
              <w:t>0</w:t>
            </w:r>
            <w:r>
              <w:rPr>
                <w:rFonts w:ascii="Arial" w:hAnsi="Arial" w:cs="Arial"/>
                <w:sz w:val="20"/>
                <w:szCs w:val="20"/>
              </w:rPr>
              <w:t>00.00 (total commitments)</w:t>
            </w:r>
          </w:p>
        </w:tc>
        <w:tc>
          <w:tcPr>
            <w:tcW w:w="3330" w:type="dxa"/>
            <w:vAlign w:val="center"/>
          </w:tcPr>
          <w:p w:rsidR="000C209F" w:rsidRPr="00360664" w:rsidRDefault="006F1879" w:rsidP="001D1DB8">
            <w:pPr>
              <w:spacing w:after="0" w:line="240" w:lineRule="auto"/>
              <w:ind w:left="-108" w:right="-108"/>
              <w:jc w:val="center"/>
              <w:rPr>
                <w:rFonts w:ascii="Arial" w:hAnsi="Arial" w:cs="Arial"/>
                <w:sz w:val="20"/>
                <w:szCs w:val="20"/>
              </w:rPr>
            </w:pPr>
            <w:r>
              <w:rPr>
                <w:rFonts w:ascii="Arial" w:hAnsi="Arial" w:cs="Arial"/>
                <w:sz w:val="20"/>
                <w:szCs w:val="20"/>
              </w:rPr>
              <w:t>$</w:t>
            </w:r>
            <w:r w:rsidR="001D1DB8">
              <w:rPr>
                <w:rFonts w:ascii="Arial" w:hAnsi="Arial" w:cs="Arial"/>
                <w:sz w:val="20"/>
                <w:szCs w:val="20"/>
              </w:rPr>
              <w:t>25,000</w:t>
            </w:r>
          </w:p>
        </w:tc>
        <w:tc>
          <w:tcPr>
            <w:tcW w:w="3420" w:type="dxa"/>
            <w:vAlign w:val="center"/>
          </w:tcPr>
          <w:p w:rsidR="000C209F" w:rsidRPr="00215F63" w:rsidRDefault="00D76AAB" w:rsidP="00360664">
            <w:pPr>
              <w:spacing w:after="0" w:line="240" w:lineRule="auto"/>
              <w:ind w:left="-108" w:right="-108"/>
              <w:jc w:val="center"/>
              <w:rPr>
                <w:rFonts w:ascii="Arial" w:hAnsi="Arial" w:cs="Arial"/>
                <w:sz w:val="20"/>
                <w:szCs w:val="20"/>
                <w:highlight w:val="yellow"/>
              </w:rPr>
            </w:pPr>
            <w:r>
              <w:rPr>
                <w:rFonts w:ascii="Arial" w:hAnsi="Arial" w:cs="Arial"/>
                <w:sz w:val="20"/>
                <w:szCs w:val="20"/>
              </w:rPr>
              <w:t>30</w:t>
            </w:r>
            <w:r w:rsidR="00845B74" w:rsidRPr="00A46661">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0C209F" w:rsidRPr="00360664" w:rsidRDefault="001D1DB8" w:rsidP="00360664">
            <w:pPr>
              <w:spacing w:after="0" w:line="240" w:lineRule="auto"/>
              <w:ind w:right="-108"/>
              <w:jc w:val="center"/>
              <w:rPr>
                <w:rFonts w:ascii="Arial" w:hAnsi="Arial" w:cs="Arial"/>
                <w:sz w:val="20"/>
                <w:szCs w:val="20"/>
              </w:rPr>
            </w:pPr>
            <w:r>
              <w:rPr>
                <w:rFonts w:ascii="Arial" w:hAnsi="Arial" w:cs="Arial"/>
                <w:sz w:val="20"/>
                <w:szCs w:val="20"/>
              </w:rPr>
              <w:t>27</w:t>
            </w:r>
            <w:r w:rsidR="002F66FD">
              <w:rPr>
                <w:rFonts w:ascii="Arial" w:hAnsi="Arial" w:cs="Arial"/>
                <w:sz w:val="20"/>
                <w:szCs w:val="20"/>
              </w:rPr>
              <w:t>%</w:t>
            </w:r>
          </w:p>
        </w:tc>
        <w:tc>
          <w:tcPr>
            <w:tcW w:w="3330" w:type="dxa"/>
          </w:tcPr>
          <w:p w:rsidR="000C209F" w:rsidRPr="00360664" w:rsidRDefault="006F1879" w:rsidP="001D1DB8">
            <w:pPr>
              <w:spacing w:after="0" w:line="240" w:lineRule="auto"/>
              <w:ind w:right="-108"/>
              <w:jc w:val="center"/>
              <w:rPr>
                <w:rFonts w:ascii="Arial" w:hAnsi="Arial" w:cs="Arial"/>
                <w:sz w:val="20"/>
                <w:szCs w:val="20"/>
              </w:rPr>
            </w:pPr>
            <w:r>
              <w:rPr>
                <w:rFonts w:ascii="Arial" w:hAnsi="Arial" w:cs="Arial"/>
                <w:sz w:val="20"/>
                <w:szCs w:val="20"/>
              </w:rPr>
              <w:t>$</w:t>
            </w:r>
            <w:r w:rsidR="001D1DB8">
              <w:rPr>
                <w:rFonts w:ascii="Arial" w:hAnsi="Arial" w:cs="Arial"/>
                <w:sz w:val="20"/>
                <w:szCs w:val="20"/>
              </w:rPr>
              <w:t>25,000</w:t>
            </w:r>
          </w:p>
        </w:tc>
        <w:tc>
          <w:tcPr>
            <w:tcW w:w="3420" w:type="dxa"/>
          </w:tcPr>
          <w:p w:rsidR="000C209F" w:rsidRPr="00360664" w:rsidRDefault="00E901D4" w:rsidP="00D47A1D">
            <w:pPr>
              <w:spacing w:after="0" w:line="240" w:lineRule="auto"/>
              <w:ind w:left="-108" w:right="-108"/>
              <w:jc w:val="center"/>
              <w:rPr>
                <w:rFonts w:ascii="Arial" w:hAnsi="Arial" w:cs="Arial"/>
                <w:sz w:val="20"/>
                <w:szCs w:val="20"/>
              </w:rPr>
            </w:pPr>
            <w:r>
              <w:rPr>
                <w:rFonts w:ascii="Arial" w:hAnsi="Arial" w:cs="Arial"/>
                <w:sz w:val="20"/>
                <w:szCs w:val="20"/>
              </w:rPr>
              <w:t>30</w:t>
            </w:r>
            <w:r w:rsidR="00272964">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8E57BB" w:rsidRDefault="00CF0586" w:rsidP="008E57BB">
            <w:pPr>
              <w:spacing w:after="0" w:line="240" w:lineRule="auto"/>
              <w:rPr>
                <w:rFonts w:ascii="Arial" w:hAnsi="Arial" w:cs="Arial"/>
                <w:sz w:val="20"/>
                <w:szCs w:val="20"/>
              </w:rPr>
            </w:pPr>
            <w:r w:rsidRPr="00CF0586">
              <w:rPr>
                <w:rFonts w:ascii="Arial" w:hAnsi="Arial" w:cs="Arial"/>
                <w:sz w:val="20"/>
                <w:szCs w:val="20"/>
              </w:rPr>
              <w:t>Conventional “pseudo-probabilistic” procedures to evaluate liquefaction triggering and its effects have been shown through recent research to produce estimates of liquefaction factor of safety at inconsistent and often unacceptable levels of risk. These errors are introduced through the incorrect assumption that using probabilistic ground motions in a deterministic liquefaction analysis will yield a probabilistic estimate of liquefaction factor of safety. The inconsistent consideration of liquefaction risk could contribute to undesirable performance or even collapse of various important structures such as bridges or retaining walls in the event of an earthquake. Conversely, the inconsistent consideration of liquefaction risk could also potentially contribute to the unnecessary and expensive over-design of liquefaction mitigation alternatives. Utilization of a fully-probabilistic or performance-based liquefaction triggering procedure, which considers both uncertainty in the seismic loading and the liquefaction triggering relationship, could effectively solve these problems. Furthermore, probabilistic evaluation of liquefaction triggering could potentially be taken into account when considering liquefaction effects such as lateral spreading or free-field liquefaction settlements. However, current performance-based liquefaction procedures (e.g. Kramer &amp; Mayfield 2007) are quite complex and beyond the level of practical application for most practicing engineers. Additionally, available performance-based methods generally focus on using the standard penetration test (SPT). Increasingly, the cone penetration test (CPT) is becoming a preferred instrument for performing in-situ assessment of liquefaction hazard. Development of code-compatible simplified approximations of performance-based analysis methods for the CPT to assess liquefaction triggering and its effects could be a viable solution to overcome these challenges.</w:t>
            </w:r>
          </w:p>
          <w:p w:rsidR="008E57BB" w:rsidRDefault="008E57BB" w:rsidP="00C26502">
            <w:pPr>
              <w:spacing w:after="0" w:line="240" w:lineRule="auto"/>
              <w:rPr>
                <w:rFonts w:ascii="Arial" w:hAnsi="Arial" w:cs="Arial"/>
                <w:sz w:val="20"/>
                <w:szCs w:val="20"/>
              </w:rPr>
            </w:pP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Objectives for this study include: </w:t>
            </w:r>
          </w:p>
          <w:p w:rsidR="00814F16" w:rsidRPr="004F173B" w:rsidRDefault="00814F16" w:rsidP="00814F16">
            <w:pPr>
              <w:spacing w:after="0" w:line="240" w:lineRule="auto"/>
              <w:rPr>
                <w:rFonts w:ascii="Arial" w:hAnsi="Arial" w:cs="Arial"/>
                <w:sz w:val="20"/>
                <w:szCs w:val="20"/>
              </w:rPr>
            </w:pPr>
          </w:p>
          <w:p w:rsidR="000F615B" w:rsidRPr="004F173B" w:rsidRDefault="000F615B" w:rsidP="000F615B">
            <w:pPr>
              <w:spacing w:after="0" w:line="240" w:lineRule="auto"/>
              <w:rPr>
                <w:rFonts w:ascii="Arial" w:hAnsi="Arial" w:cs="Arial"/>
                <w:sz w:val="20"/>
                <w:szCs w:val="20"/>
              </w:rPr>
            </w:pPr>
            <w:r w:rsidRPr="004F173B">
              <w:rPr>
                <w:rFonts w:ascii="Arial" w:hAnsi="Arial" w:cs="Arial"/>
                <w:sz w:val="20"/>
                <w:szCs w:val="20"/>
              </w:rPr>
              <w:t>1. Develop performance-based procedures for the CPT modeled after recent performance-based</w:t>
            </w:r>
            <w:r w:rsidR="00BF71B4">
              <w:rPr>
                <w:rFonts w:ascii="Arial" w:hAnsi="Arial" w:cs="Arial"/>
                <w:sz w:val="20"/>
                <w:szCs w:val="20"/>
              </w:rPr>
              <w:t xml:space="preserve"> </w:t>
            </w:r>
            <w:r w:rsidRPr="004F173B">
              <w:rPr>
                <w:rFonts w:ascii="Arial" w:hAnsi="Arial" w:cs="Arial"/>
                <w:sz w:val="20"/>
                <w:szCs w:val="20"/>
              </w:rPr>
              <w:t>procedures for the SPT to compute the hazard from liquefaction triggering, lateral spread</w:t>
            </w:r>
            <w:r w:rsidR="00BF71B4">
              <w:rPr>
                <w:rFonts w:ascii="Arial" w:hAnsi="Arial" w:cs="Arial"/>
                <w:sz w:val="20"/>
                <w:szCs w:val="20"/>
              </w:rPr>
              <w:t xml:space="preserve"> </w:t>
            </w:r>
            <w:r w:rsidRPr="004F173B">
              <w:rPr>
                <w:rFonts w:ascii="Arial" w:hAnsi="Arial" w:cs="Arial"/>
                <w:sz w:val="20"/>
                <w:szCs w:val="20"/>
              </w:rPr>
              <w:t>displacement, and post-liquefaction free-field settlement at select return periods (475, 1033, and</w:t>
            </w:r>
            <w:r w:rsidR="00BF71B4">
              <w:rPr>
                <w:rFonts w:ascii="Arial" w:hAnsi="Arial" w:cs="Arial"/>
                <w:sz w:val="20"/>
                <w:szCs w:val="20"/>
              </w:rPr>
              <w:t xml:space="preserve"> </w:t>
            </w:r>
            <w:r w:rsidRPr="004F173B">
              <w:rPr>
                <w:rFonts w:ascii="Arial" w:hAnsi="Arial" w:cs="Arial"/>
                <w:sz w:val="20"/>
                <w:szCs w:val="20"/>
              </w:rPr>
              <w:t>2475 years).</w:t>
            </w:r>
          </w:p>
          <w:p w:rsidR="000F615B" w:rsidRPr="004F173B" w:rsidRDefault="000F615B" w:rsidP="000F615B">
            <w:pPr>
              <w:spacing w:after="0" w:line="240" w:lineRule="auto"/>
              <w:rPr>
                <w:rFonts w:ascii="Arial" w:hAnsi="Arial" w:cs="Arial"/>
                <w:sz w:val="20"/>
                <w:szCs w:val="20"/>
              </w:rPr>
            </w:pPr>
            <w:r w:rsidRPr="004F173B">
              <w:rPr>
                <w:rFonts w:ascii="Arial" w:hAnsi="Arial" w:cs="Arial"/>
                <w:sz w:val="20"/>
                <w:szCs w:val="20"/>
              </w:rPr>
              <w:t>2. Develop simplified performance-based procedures for the CPT modeled after recent simplified</w:t>
            </w:r>
            <w:r w:rsidR="00BF71B4">
              <w:rPr>
                <w:rFonts w:ascii="Arial" w:hAnsi="Arial" w:cs="Arial"/>
                <w:sz w:val="20"/>
                <w:szCs w:val="20"/>
              </w:rPr>
              <w:t xml:space="preserve"> </w:t>
            </w:r>
            <w:r w:rsidRPr="004F173B">
              <w:rPr>
                <w:rFonts w:ascii="Arial" w:hAnsi="Arial" w:cs="Arial"/>
                <w:sz w:val="20"/>
                <w:szCs w:val="20"/>
              </w:rPr>
              <w:t>performance-based procedures for the SPT to closely approximate the performance-based</w:t>
            </w:r>
            <w:r w:rsidR="00BF71B4">
              <w:rPr>
                <w:rFonts w:ascii="Arial" w:hAnsi="Arial" w:cs="Arial"/>
                <w:sz w:val="20"/>
                <w:szCs w:val="20"/>
              </w:rPr>
              <w:t xml:space="preserve"> </w:t>
            </w:r>
            <w:r w:rsidRPr="004F173B">
              <w:rPr>
                <w:rFonts w:ascii="Arial" w:hAnsi="Arial" w:cs="Arial"/>
                <w:sz w:val="20"/>
                <w:szCs w:val="20"/>
              </w:rPr>
              <w:t>analysis results for liquefaction triggering, lateral spread displacement, and post-liquefaction</w:t>
            </w:r>
            <w:r w:rsidR="00BF71B4">
              <w:rPr>
                <w:rFonts w:ascii="Arial" w:hAnsi="Arial" w:cs="Arial"/>
                <w:sz w:val="20"/>
                <w:szCs w:val="20"/>
              </w:rPr>
              <w:t xml:space="preserve"> </w:t>
            </w:r>
            <w:r w:rsidRPr="004F173B">
              <w:rPr>
                <w:rFonts w:ascii="Arial" w:hAnsi="Arial" w:cs="Arial"/>
                <w:sz w:val="20"/>
                <w:szCs w:val="20"/>
              </w:rPr>
              <w:t>free-field settlement at select return periods (475, 1033, and 2475 years).</w:t>
            </w:r>
          </w:p>
          <w:p w:rsidR="00814F16" w:rsidRPr="004F173B" w:rsidRDefault="000F615B" w:rsidP="000F615B">
            <w:pPr>
              <w:spacing w:after="0" w:line="240" w:lineRule="auto"/>
              <w:rPr>
                <w:rFonts w:ascii="Arial" w:hAnsi="Arial" w:cs="Arial"/>
                <w:sz w:val="20"/>
                <w:szCs w:val="20"/>
              </w:rPr>
            </w:pPr>
            <w:r w:rsidRPr="004F173B">
              <w:rPr>
                <w:rFonts w:ascii="Arial" w:hAnsi="Arial" w:cs="Arial"/>
                <w:sz w:val="20"/>
                <w:szCs w:val="20"/>
              </w:rPr>
              <w:t>3. Develop liquefaction triggering, lateral spread displacement, and post-liquefaction reference</w:t>
            </w:r>
            <w:r w:rsidR="00BF71B4">
              <w:rPr>
                <w:rFonts w:ascii="Arial" w:hAnsi="Arial" w:cs="Arial"/>
                <w:sz w:val="20"/>
                <w:szCs w:val="20"/>
              </w:rPr>
              <w:t xml:space="preserve"> </w:t>
            </w:r>
            <w:r w:rsidRPr="004F173B">
              <w:rPr>
                <w:rFonts w:ascii="Arial" w:hAnsi="Arial" w:cs="Arial"/>
                <w:sz w:val="20"/>
                <w:szCs w:val="20"/>
              </w:rPr>
              <w:t>parameter maps in GIS format at return periods of 475 years, 1033 years, and 2475 years for</w:t>
            </w:r>
            <w:r w:rsidR="00BF71B4">
              <w:rPr>
                <w:rFonts w:ascii="Arial" w:hAnsi="Arial" w:cs="Arial"/>
                <w:sz w:val="20"/>
                <w:szCs w:val="20"/>
              </w:rPr>
              <w:t xml:space="preserve"> </w:t>
            </w:r>
            <w:r w:rsidRPr="004F173B">
              <w:rPr>
                <w:rFonts w:ascii="Arial" w:hAnsi="Arial" w:cs="Arial"/>
                <w:sz w:val="20"/>
                <w:szCs w:val="20"/>
              </w:rPr>
              <w:t>each of the states participating in the study.</w:t>
            </w:r>
            <w:r w:rsidR="000C65A5" w:rsidRPr="004F173B">
              <w:rPr>
                <w:rFonts w:ascii="Arial" w:hAnsi="Arial" w:cs="Arial"/>
                <w:sz w:val="20"/>
                <w:szCs w:val="20"/>
              </w:rPr>
              <w:br/>
            </w:r>
          </w:p>
          <w:p w:rsidR="004F586D" w:rsidRDefault="00B07C63" w:rsidP="004F586D">
            <w:pPr>
              <w:spacing w:after="0" w:line="240" w:lineRule="auto"/>
              <w:rPr>
                <w:rFonts w:ascii="Arial" w:hAnsi="Arial" w:cs="Arial"/>
                <w:sz w:val="20"/>
                <w:szCs w:val="20"/>
              </w:rPr>
            </w:pPr>
            <w:r w:rsidRPr="00B07C63">
              <w:rPr>
                <w:rFonts w:ascii="Arial" w:hAnsi="Arial" w:cs="Arial"/>
                <w:sz w:val="20"/>
                <w:szCs w:val="20"/>
                <w:u w:val="single"/>
              </w:rPr>
              <w:t>Currently f</w:t>
            </w:r>
            <w:r w:rsidR="005806C7" w:rsidRPr="00B07C63">
              <w:rPr>
                <w:rFonts w:ascii="Arial" w:hAnsi="Arial" w:cs="Arial"/>
                <w:sz w:val="20"/>
                <w:szCs w:val="20"/>
                <w:u w:val="single"/>
              </w:rPr>
              <w:t>unded</w:t>
            </w:r>
            <w:r w:rsidR="00B56759">
              <w:rPr>
                <w:rFonts w:ascii="Arial" w:hAnsi="Arial" w:cs="Arial"/>
                <w:sz w:val="20"/>
                <w:szCs w:val="20"/>
              </w:rPr>
              <w:t xml:space="preserve"> contract</w:t>
            </w:r>
            <w:r w:rsidR="005806C7">
              <w:rPr>
                <w:rFonts w:ascii="Arial" w:hAnsi="Arial" w:cs="Arial"/>
                <w:sz w:val="20"/>
                <w:szCs w:val="20"/>
              </w:rPr>
              <w:t xml:space="preserve"> t</w:t>
            </w:r>
            <w:r w:rsidR="004F586D" w:rsidRPr="004F586D">
              <w:rPr>
                <w:rFonts w:ascii="Arial" w:hAnsi="Arial" w:cs="Arial"/>
                <w:sz w:val="20"/>
                <w:szCs w:val="20"/>
              </w:rPr>
              <w:t xml:space="preserve">asks for this study include, regarding the participating states: </w:t>
            </w:r>
          </w:p>
          <w:p w:rsidR="004F586D" w:rsidRPr="004F173B" w:rsidRDefault="004F586D" w:rsidP="004F586D">
            <w:pPr>
              <w:spacing w:after="0" w:line="240" w:lineRule="auto"/>
              <w:rPr>
                <w:rFonts w:ascii="Arial" w:hAnsi="Arial" w:cs="Arial"/>
                <w:sz w:val="20"/>
                <w:szCs w:val="20"/>
              </w:rPr>
            </w:pPr>
          </w:p>
          <w:p w:rsidR="001F3C02" w:rsidRPr="004F173B" w:rsidRDefault="000F615B" w:rsidP="004F586D">
            <w:pPr>
              <w:spacing w:after="0" w:line="240" w:lineRule="auto"/>
              <w:rPr>
                <w:rFonts w:ascii="Arial" w:hAnsi="Arial" w:cs="Arial"/>
                <w:sz w:val="20"/>
                <w:szCs w:val="20"/>
              </w:rPr>
            </w:pPr>
            <w:r w:rsidRPr="004F173B">
              <w:rPr>
                <w:rFonts w:ascii="Arial" w:hAnsi="Arial" w:cs="Arial"/>
                <w:sz w:val="20"/>
                <w:szCs w:val="20"/>
              </w:rPr>
              <w:t>1. Develop full performance-based liquefaction triggering procedure</w:t>
            </w:r>
          </w:p>
          <w:p w:rsidR="000F615B" w:rsidRPr="004F173B" w:rsidRDefault="000F615B" w:rsidP="004F586D">
            <w:pPr>
              <w:spacing w:after="0" w:line="240" w:lineRule="auto"/>
              <w:rPr>
                <w:rFonts w:ascii="Arial" w:hAnsi="Arial" w:cs="Arial"/>
                <w:sz w:val="20"/>
                <w:szCs w:val="20"/>
              </w:rPr>
            </w:pPr>
            <w:r w:rsidRPr="004F173B">
              <w:rPr>
                <w:rFonts w:ascii="Arial" w:hAnsi="Arial" w:cs="Arial"/>
                <w:sz w:val="20"/>
                <w:szCs w:val="20"/>
              </w:rPr>
              <w:t>2. Develop full performance-based lateral spread procedure</w:t>
            </w:r>
          </w:p>
          <w:p w:rsidR="000F615B" w:rsidRPr="004F173B" w:rsidRDefault="000F615B" w:rsidP="004F586D">
            <w:pPr>
              <w:spacing w:after="0" w:line="240" w:lineRule="auto"/>
              <w:rPr>
                <w:rFonts w:ascii="Arial" w:hAnsi="Arial" w:cs="Arial"/>
                <w:sz w:val="20"/>
                <w:szCs w:val="20"/>
              </w:rPr>
            </w:pPr>
            <w:r w:rsidRPr="004F173B">
              <w:rPr>
                <w:rFonts w:ascii="Arial" w:hAnsi="Arial" w:cs="Arial"/>
                <w:sz w:val="20"/>
                <w:szCs w:val="20"/>
              </w:rPr>
              <w:t>3. Develop full performance-based post-liquefaction, free-field settlement procedure</w:t>
            </w:r>
          </w:p>
          <w:p w:rsidR="000F615B" w:rsidRDefault="000F615B" w:rsidP="000F615B">
            <w:pPr>
              <w:spacing w:after="0" w:line="240" w:lineRule="auto"/>
              <w:rPr>
                <w:rFonts w:ascii="Arial" w:hAnsi="Arial" w:cs="Arial"/>
                <w:sz w:val="20"/>
                <w:szCs w:val="20"/>
              </w:rPr>
            </w:pPr>
            <w:r w:rsidRPr="004F173B">
              <w:rPr>
                <w:rFonts w:ascii="Arial" w:hAnsi="Arial" w:cs="Arial"/>
                <w:sz w:val="20"/>
                <w:szCs w:val="20"/>
              </w:rPr>
              <w:t>4. Develop a numerical tool that will allow the calculation of performance-based liquefaction</w:t>
            </w:r>
            <w:r w:rsidR="001A49D9">
              <w:rPr>
                <w:rFonts w:ascii="Arial" w:hAnsi="Arial" w:cs="Arial"/>
                <w:sz w:val="20"/>
                <w:szCs w:val="20"/>
              </w:rPr>
              <w:t xml:space="preserve"> </w:t>
            </w:r>
            <w:r w:rsidRPr="004F173B">
              <w:rPr>
                <w:rFonts w:ascii="Arial" w:hAnsi="Arial" w:cs="Arial"/>
                <w:sz w:val="20"/>
                <w:szCs w:val="20"/>
              </w:rPr>
              <w:t>triggering, post-liquefaction settlement, and lateral spread displacement</w:t>
            </w:r>
          </w:p>
          <w:p w:rsidR="00EF7C5F" w:rsidRPr="004F173B" w:rsidRDefault="00EF7C5F" w:rsidP="000F615B">
            <w:pPr>
              <w:spacing w:after="0" w:line="240" w:lineRule="auto"/>
              <w:rPr>
                <w:rFonts w:ascii="Arial" w:hAnsi="Arial" w:cs="Arial"/>
                <w:sz w:val="20"/>
                <w:szCs w:val="20"/>
              </w:rPr>
            </w:pPr>
          </w:p>
          <w:p w:rsidR="001A49D9" w:rsidRDefault="00EF7C5F" w:rsidP="001A49D9">
            <w:pPr>
              <w:spacing w:after="0" w:line="240" w:lineRule="auto"/>
              <w:rPr>
                <w:rFonts w:ascii="Arial" w:hAnsi="Arial" w:cs="Arial"/>
                <w:sz w:val="20"/>
                <w:szCs w:val="20"/>
              </w:rPr>
            </w:pPr>
            <w:r>
              <w:rPr>
                <w:rFonts w:ascii="Arial" w:hAnsi="Arial" w:cs="Arial"/>
                <w:sz w:val="20"/>
                <w:szCs w:val="20"/>
              </w:rPr>
              <w:t>11</w:t>
            </w:r>
            <w:r w:rsidR="001A49D9">
              <w:rPr>
                <w:rFonts w:ascii="Arial" w:hAnsi="Arial" w:cs="Arial"/>
                <w:sz w:val="20"/>
                <w:szCs w:val="20"/>
              </w:rPr>
              <w:t>.</w:t>
            </w:r>
            <w:r w:rsidR="001A49D9" w:rsidRPr="001A49D9">
              <w:rPr>
                <w:rFonts w:ascii="Arial" w:hAnsi="Arial" w:cs="Arial"/>
                <w:sz w:val="20"/>
                <w:szCs w:val="20"/>
              </w:rPr>
              <w:t xml:space="preserve"> Preparation of</w:t>
            </w:r>
            <w:r w:rsidR="001A49D9">
              <w:rPr>
                <w:rFonts w:ascii="Arial" w:hAnsi="Arial" w:cs="Arial"/>
                <w:sz w:val="20"/>
                <w:szCs w:val="20"/>
              </w:rPr>
              <w:t xml:space="preserve"> the Annual and Final Reports</w:t>
            </w:r>
          </w:p>
          <w:p w:rsidR="001A49D9" w:rsidRDefault="00EF7C5F" w:rsidP="001A49D9">
            <w:pPr>
              <w:spacing w:after="0" w:line="240" w:lineRule="auto"/>
              <w:rPr>
                <w:rFonts w:ascii="Arial" w:hAnsi="Arial" w:cs="Arial"/>
                <w:sz w:val="20"/>
                <w:szCs w:val="20"/>
              </w:rPr>
            </w:pPr>
            <w:r>
              <w:rPr>
                <w:rFonts w:ascii="Arial" w:hAnsi="Arial" w:cs="Arial"/>
                <w:sz w:val="20"/>
                <w:szCs w:val="20"/>
              </w:rPr>
              <w:t>12.</w:t>
            </w:r>
            <w:r w:rsidR="001A49D9">
              <w:rPr>
                <w:rFonts w:ascii="Arial" w:hAnsi="Arial" w:cs="Arial"/>
                <w:sz w:val="20"/>
                <w:szCs w:val="20"/>
              </w:rPr>
              <w:t xml:space="preserve"> Dissemination of Results</w:t>
            </w:r>
          </w:p>
          <w:p w:rsidR="001A49D9" w:rsidRDefault="00EF7C5F" w:rsidP="001A49D9">
            <w:pPr>
              <w:spacing w:after="0" w:line="240" w:lineRule="auto"/>
              <w:rPr>
                <w:rFonts w:ascii="Arial" w:hAnsi="Arial" w:cs="Arial"/>
                <w:sz w:val="20"/>
                <w:szCs w:val="20"/>
              </w:rPr>
            </w:pPr>
            <w:r>
              <w:rPr>
                <w:rFonts w:ascii="Arial" w:hAnsi="Arial" w:cs="Arial"/>
                <w:sz w:val="20"/>
                <w:szCs w:val="20"/>
              </w:rPr>
              <w:t>13.</w:t>
            </w:r>
            <w:r w:rsidR="001A49D9" w:rsidRPr="001A49D9">
              <w:rPr>
                <w:rFonts w:ascii="Arial" w:hAnsi="Arial" w:cs="Arial"/>
                <w:sz w:val="20"/>
                <w:szCs w:val="20"/>
              </w:rPr>
              <w:t xml:space="preserve"> Technical Advisory Committee</w:t>
            </w:r>
            <w:r w:rsidR="001A49D9">
              <w:rPr>
                <w:rFonts w:ascii="Arial" w:hAnsi="Arial" w:cs="Arial"/>
                <w:sz w:val="20"/>
                <w:szCs w:val="20"/>
              </w:rPr>
              <w:t xml:space="preserve"> </w:t>
            </w:r>
            <w:r w:rsidR="00D91105">
              <w:rPr>
                <w:rFonts w:ascii="Arial" w:hAnsi="Arial" w:cs="Arial"/>
                <w:sz w:val="20"/>
                <w:szCs w:val="20"/>
              </w:rPr>
              <w:t>(TAC) Meetings</w:t>
            </w:r>
          </w:p>
          <w:p w:rsidR="001A49D9" w:rsidRPr="004F173B" w:rsidRDefault="001A49D9" w:rsidP="000F615B">
            <w:pPr>
              <w:spacing w:after="0" w:line="240" w:lineRule="auto"/>
              <w:rPr>
                <w:rFonts w:ascii="Arial" w:hAnsi="Arial" w:cs="Arial"/>
                <w:sz w:val="20"/>
                <w:szCs w:val="20"/>
              </w:rPr>
            </w:pPr>
          </w:p>
          <w:p w:rsidR="002765D0" w:rsidRDefault="00D73367" w:rsidP="002765D0">
            <w:pPr>
              <w:spacing w:after="0" w:line="240" w:lineRule="auto"/>
              <w:rPr>
                <w:rFonts w:ascii="Arial" w:hAnsi="Arial" w:cs="Arial"/>
                <w:sz w:val="20"/>
                <w:szCs w:val="20"/>
              </w:rPr>
            </w:pPr>
            <w:r>
              <w:rPr>
                <w:rFonts w:ascii="Arial" w:hAnsi="Arial" w:cs="Arial"/>
                <w:sz w:val="20"/>
                <w:szCs w:val="20"/>
              </w:rPr>
              <w:t xml:space="preserve">Dr. </w:t>
            </w:r>
            <w:r w:rsidR="00C26502">
              <w:rPr>
                <w:rFonts w:ascii="Arial" w:hAnsi="Arial" w:cs="Arial"/>
                <w:sz w:val="20"/>
                <w:szCs w:val="20"/>
              </w:rPr>
              <w:t xml:space="preserve">Kevin Franke </w:t>
            </w:r>
            <w:r>
              <w:rPr>
                <w:rFonts w:ascii="Arial" w:hAnsi="Arial" w:cs="Arial"/>
                <w:sz w:val="20"/>
                <w:szCs w:val="20"/>
              </w:rPr>
              <w:t>of BYU is the Principal Investigator for this research project.</w:t>
            </w:r>
            <w:r w:rsidR="003D6A0B">
              <w:rPr>
                <w:rFonts w:ascii="Arial" w:hAnsi="Arial" w:cs="Arial"/>
                <w:sz w:val="20"/>
                <w:szCs w:val="20"/>
              </w:rPr>
              <w:t xml:space="preserve">  The technical advisory committee (TAC) for the study </w:t>
            </w:r>
            <w:r w:rsidR="00CF0586">
              <w:rPr>
                <w:rFonts w:ascii="Arial" w:hAnsi="Arial" w:cs="Arial"/>
                <w:sz w:val="20"/>
                <w:szCs w:val="20"/>
              </w:rPr>
              <w:t xml:space="preserve">currently </w:t>
            </w:r>
            <w:r w:rsidR="003D6A0B">
              <w:rPr>
                <w:rFonts w:ascii="Arial" w:hAnsi="Arial" w:cs="Arial"/>
                <w:sz w:val="20"/>
                <w:szCs w:val="20"/>
              </w:rPr>
              <w:t xml:space="preserve">includes representatives from UT, CT, </w:t>
            </w:r>
            <w:r w:rsidR="00923793">
              <w:rPr>
                <w:rFonts w:ascii="Arial" w:hAnsi="Arial" w:cs="Arial"/>
                <w:sz w:val="20"/>
                <w:szCs w:val="20"/>
              </w:rPr>
              <w:t xml:space="preserve">OR, and </w:t>
            </w:r>
            <w:r w:rsidR="003D6A0B" w:rsidRPr="003D6A0B">
              <w:rPr>
                <w:rFonts w:ascii="Arial" w:hAnsi="Arial" w:cs="Arial"/>
                <w:sz w:val="20"/>
                <w:szCs w:val="20"/>
              </w:rPr>
              <w:t>SC</w:t>
            </w:r>
            <w:r w:rsidR="003D6A0B">
              <w:rPr>
                <w:rFonts w:ascii="Arial" w:hAnsi="Arial" w:cs="Arial"/>
                <w:sz w:val="20"/>
                <w:szCs w:val="20"/>
              </w:rPr>
              <w:t xml:space="preserve"> </w:t>
            </w:r>
            <w:r w:rsidR="000B1557">
              <w:rPr>
                <w:rFonts w:ascii="Arial" w:hAnsi="Arial" w:cs="Arial"/>
                <w:sz w:val="20"/>
                <w:szCs w:val="20"/>
              </w:rPr>
              <w:t xml:space="preserve">state </w:t>
            </w:r>
            <w:r w:rsidR="003D6A0B">
              <w:rPr>
                <w:rFonts w:ascii="Arial" w:hAnsi="Arial" w:cs="Arial"/>
                <w:sz w:val="20"/>
                <w:szCs w:val="20"/>
              </w:rPr>
              <w:t>DOTs.</w:t>
            </w:r>
          </w:p>
          <w:p w:rsidR="00974B55" w:rsidRPr="00360664" w:rsidRDefault="00974B55" w:rsidP="002765D0">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78688E" w:rsidRDefault="000C209F" w:rsidP="00716C86">
            <w:pPr>
              <w:spacing w:after="0" w:line="240" w:lineRule="auto"/>
              <w:rPr>
                <w:rFonts w:ascii="Arial" w:hAnsi="Arial" w:cs="Arial"/>
                <w:b/>
                <w:sz w:val="20"/>
                <w:szCs w:val="20"/>
              </w:rPr>
            </w:pPr>
          </w:p>
          <w:p w:rsidR="000C209F" w:rsidRPr="0078688E" w:rsidRDefault="000C209F" w:rsidP="00716C86">
            <w:pPr>
              <w:spacing w:after="0" w:line="240" w:lineRule="auto"/>
              <w:rPr>
                <w:rFonts w:ascii="Arial" w:hAnsi="Arial" w:cs="Arial"/>
                <w:sz w:val="20"/>
                <w:szCs w:val="20"/>
              </w:rPr>
            </w:pPr>
            <w:r w:rsidRPr="00DD489E">
              <w:rPr>
                <w:rFonts w:ascii="Arial" w:hAnsi="Arial" w:cs="Arial"/>
                <w:b/>
                <w:sz w:val="20"/>
                <w:szCs w:val="20"/>
              </w:rPr>
              <w:t>Progress this Quarter (includes meetings, work plan status, contract status, significant progress, etc.):</w:t>
            </w:r>
          </w:p>
          <w:p w:rsidR="000C209F" w:rsidRPr="0078688E" w:rsidRDefault="000C209F" w:rsidP="00716C86">
            <w:pPr>
              <w:spacing w:after="0" w:line="240" w:lineRule="auto"/>
              <w:rPr>
                <w:rFonts w:ascii="Arial" w:hAnsi="Arial" w:cs="Arial"/>
                <w:sz w:val="20"/>
                <w:szCs w:val="20"/>
              </w:rPr>
            </w:pPr>
          </w:p>
          <w:p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1</w:t>
            </w:r>
            <w:r w:rsidRPr="002D74C2">
              <w:rPr>
                <w:rFonts w:ascii="Arial" w:hAnsi="Arial" w:cs="Arial"/>
                <w:sz w:val="20"/>
                <w:szCs w:val="20"/>
              </w:rPr>
              <w:t xml:space="preserve"> – </w:t>
            </w:r>
            <w:r w:rsidR="00975A81">
              <w:rPr>
                <w:rFonts w:ascii="Arial" w:hAnsi="Arial" w:cs="Arial"/>
                <w:sz w:val="20"/>
                <w:szCs w:val="20"/>
              </w:rPr>
              <w:t>100</w:t>
            </w:r>
            <w:r w:rsidR="000D463D" w:rsidRPr="00AB3889">
              <w:rPr>
                <w:rFonts w:ascii="Arial" w:hAnsi="Arial" w:cs="Arial"/>
                <w:sz w:val="20"/>
                <w:szCs w:val="20"/>
              </w:rPr>
              <w:t>% complete.</w:t>
            </w:r>
          </w:p>
          <w:p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2</w:t>
            </w:r>
            <w:r w:rsidRPr="002D74C2">
              <w:rPr>
                <w:rFonts w:ascii="Arial" w:hAnsi="Arial" w:cs="Arial"/>
                <w:sz w:val="20"/>
                <w:szCs w:val="20"/>
              </w:rPr>
              <w:t xml:space="preserve"> –</w:t>
            </w:r>
            <w:r w:rsidR="006E7805">
              <w:rPr>
                <w:rFonts w:ascii="Arial" w:hAnsi="Arial" w:cs="Arial"/>
                <w:sz w:val="20"/>
                <w:szCs w:val="20"/>
              </w:rPr>
              <w:t xml:space="preserve"> </w:t>
            </w:r>
            <w:r w:rsidR="00975A81">
              <w:rPr>
                <w:rFonts w:ascii="Arial" w:hAnsi="Arial" w:cs="Arial"/>
                <w:sz w:val="20"/>
                <w:szCs w:val="20"/>
              </w:rPr>
              <w:t>100</w:t>
            </w:r>
            <w:r w:rsidR="000D463D" w:rsidRPr="00AB3889">
              <w:rPr>
                <w:rFonts w:ascii="Arial" w:hAnsi="Arial" w:cs="Arial"/>
                <w:sz w:val="20"/>
                <w:szCs w:val="20"/>
              </w:rPr>
              <w:t>% complete.</w:t>
            </w:r>
          </w:p>
          <w:p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3</w:t>
            </w:r>
            <w:r w:rsidRPr="002D74C2">
              <w:rPr>
                <w:rFonts w:ascii="Arial" w:hAnsi="Arial" w:cs="Arial"/>
                <w:sz w:val="20"/>
                <w:szCs w:val="20"/>
              </w:rPr>
              <w:t xml:space="preserve"> – </w:t>
            </w:r>
            <w:r w:rsidR="00975A81">
              <w:rPr>
                <w:rFonts w:ascii="Arial" w:hAnsi="Arial" w:cs="Arial"/>
                <w:sz w:val="20"/>
                <w:szCs w:val="20"/>
              </w:rPr>
              <w:t>100</w:t>
            </w:r>
            <w:r w:rsidR="000D463D" w:rsidRPr="00AB3889">
              <w:rPr>
                <w:rFonts w:ascii="Arial" w:hAnsi="Arial" w:cs="Arial"/>
                <w:sz w:val="20"/>
                <w:szCs w:val="20"/>
              </w:rPr>
              <w:t>% complete.</w:t>
            </w:r>
          </w:p>
          <w:p w:rsidR="002D74C2" w:rsidRPr="004E1A24" w:rsidRDefault="002D74C2" w:rsidP="002D74C2">
            <w:pPr>
              <w:spacing w:after="0" w:line="240" w:lineRule="auto"/>
              <w:rPr>
                <w:rFonts w:ascii="Arial" w:hAnsi="Arial" w:cs="Arial"/>
                <w:b/>
                <w:sz w:val="20"/>
                <w:szCs w:val="20"/>
              </w:rPr>
            </w:pPr>
            <w:r w:rsidRPr="002D74C2">
              <w:rPr>
                <w:rFonts w:ascii="Arial" w:hAnsi="Arial" w:cs="Arial"/>
                <w:b/>
                <w:sz w:val="20"/>
                <w:szCs w:val="20"/>
              </w:rPr>
              <w:t>Task 4</w:t>
            </w:r>
            <w:r w:rsidRPr="002D74C2">
              <w:rPr>
                <w:rFonts w:ascii="Arial" w:hAnsi="Arial" w:cs="Arial"/>
                <w:sz w:val="20"/>
                <w:szCs w:val="20"/>
              </w:rPr>
              <w:t xml:space="preserve"> – </w:t>
            </w:r>
            <w:r w:rsidR="00975A81">
              <w:rPr>
                <w:rFonts w:ascii="Arial" w:hAnsi="Arial" w:cs="Arial"/>
                <w:sz w:val="20"/>
                <w:szCs w:val="20"/>
              </w:rPr>
              <w:t>95</w:t>
            </w:r>
            <w:r w:rsidR="000D463D">
              <w:rPr>
                <w:rFonts w:ascii="Arial" w:hAnsi="Arial" w:cs="Arial"/>
                <w:sz w:val="20"/>
                <w:szCs w:val="20"/>
              </w:rPr>
              <w:t>% complete.  BYU continued developing</w:t>
            </w:r>
            <w:r w:rsidR="004E1A24">
              <w:rPr>
                <w:rFonts w:ascii="Arial" w:hAnsi="Arial" w:cs="Arial"/>
                <w:sz w:val="20"/>
                <w:szCs w:val="20"/>
              </w:rPr>
              <w:t xml:space="preserve"> the numerical computation too</w:t>
            </w:r>
            <w:r w:rsidR="004E1A24" w:rsidRPr="004E1A24">
              <w:rPr>
                <w:rFonts w:ascii="Arial" w:hAnsi="Arial" w:cs="Arial"/>
                <w:sz w:val="20"/>
                <w:szCs w:val="20"/>
              </w:rPr>
              <w:t>l</w:t>
            </w:r>
            <w:r w:rsidR="004E1A24">
              <w:rPr>
                <w:rFonts w:ascii="Arial" w:hAnsi="Arial" w:cs="Arial"/>
                <w:sz w:val="20"/>
                <w:szCs w:val="20"/>
              </w:rPr>
              <w:t>,</w:t>
            </w:r>
            <w:r w:rsidR="004E1A24" w:rsidRPr="004E1A24">
              <w:rPr>
                <w:rFonts w:ascii="Arial" w:hAnsi="Arial" w:cs="Arial"/>
                <w:sz w:val="20"/>
                <w:szCs w:val="20"/>
              </w:rPr>
              <w:t xml:space="preserve"> CPTLiquefY</w:t>
            </w:r>
            <w:r w:rsidR="004E1A24">
              <w:rPr>
                <w:rFonts w:ascii="Arial" w:hAnsi="Arial" w:cs="Arial"/>
                <w:sz w:val="20"/>
                <w:szCs w:val="20"/>
              </w:rPr>
              <w:t>.</w:t>
            </w:r>
            <w:r w:rsidR="00322D8F">
              <w:t xml:space="preserve"> </w:t>
            </w:r>
            <w:r w:rsidR="00322D8F" w:rsidRPr="00322D8F">
              <w:rPr>
                <w:rFonts w:ascii="Arial" w:hAnsi="Arial" w:cs="Arial"/>
                <w:sz w:val="20"/>
                <w:szCs w:val="20"/>
              </w:rPr>
              <w:t>BYU completed and submitted the Year 1, Quarter 2 update report (Task 4) for TAC review.</w:t>
            </w:r>
          </w:p>
          <w:p w:rsidR="002D74C2" w:rsidRDefault="002D74C2" w:rsidP="00716C86">
            <w:pPr>
              <w:spacing w:after="0" w:line="240" w:lineRule="auto"/>
              <w:rPr>
                <w:rFonts w:ascii="Arial" w:hAnsi="Arial" w:cs="Arial"/>
                <w:sz w:val="20"/>
                <w:szCs w:val="20"/>
              </w:rPr>
            </w:pPr>
          </w:p>
          <w:p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1</w:t>
            </w:r>
            <w:r>
              <w:rPr>
                <w:rFonts w:ascii="Arial" w:hAnsi="Arial" w:cs="Arial"/>
                <w:b/>
                <w:sz w:val="20"/>
                <w:szCs w:val="20"/>
              </w:rPr>
              <w:t>1</w:t>
            </w:r>
            <w:r w:rsidRPr="002D74C2">
              <w:rPr>
                <w:rFonts w:ascii="Arial" w:hAnsi="Arial" w:cs="Arial"/>
                <w:sz w:val="20"/>
                <w:szCs w:val="20"/>
              </w:rPr>
              <w:t xml:space="preserve"> – </w:t>
            </w:r>
            <w:r w:rsidR="00975A81">
              <w:rPr>
                <w:rFonts w:ascii="Arial" w:hAnsi="Arial" w:cs="Arial"/>
                <w:sz w:val="20"/>
                <w:szCs w:val="20"/>
              </w:rPr>
              <w:t>40% complete</w:t>
            </w:r>
          </w:p>
          <w:p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w:t>
            </w:r>
            <w:r w:rsidRPr="002D74C2">
              <w:rPr>
                <w:rFonts w:ascii="Arial" w:hAnsi="Arial" w:cs="Arial"/>
                <w:b/>
                <w:sz w:val="20"/>
                <w:szCs w:val="20"/>
              </w:rPr>
              <w:t>2</w:t>
            </w:r>
            <w:r w:rsidRPr="002D74C2">
              <w:rPr>
                <w:rFonts w:ascii="Arial" w:hAnsi="Arial" w:cs="Arial"/>
                <w:sz w:val="20"/>
                <w:szCs w:val="20"/>
              </w:rPr>
              <w:t xml:space="preserve"> – </w:t>
            </w:r>
            <w:r w:rsidR="005F2022">
              <w:rPr>
                <w:rFonts w:ascii="Arial" w:hAnsi="Arial" w:cs="Arial"/>
                <w:sz w:val="20"/>
                <w:szCs w:val="20"/>
              </w:rPr>
              <w:t>No work yet.</w:t>
            </w:r>
          </w:p>
          <w:p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lastRenderedPageBreak/>
              <w:t xml:space="preserve">Task </w:t>
            </w:r>
            <w:r>
              <w:rPr>
                <w:rFonts w:ascii="Arial" w:hAnsi="Arial" w:cs="Arial"/>
                <w:b/>
                <w:sz w:val="20"/>
                <w:szCs w:val="20"/>
              </w:rPr>
              <w:t>1</w:t>
            </w:r>
            <w:r w:rsidRPr="002D74C2">
              <w:rPr>
                <w:rFonts w:ascii="Arial" w:hAnsi="Arial" w:cs="Arial"/>
                <w:b/>
                <w:sz w:val="20"/>
                <w:szCs w:val="20"/>
              </w:rPr>
              <w:t>3</w:t>
            </w:r>
            <w:r w:rsidRPr="002D74C2">
              <w:rPr>
                <w:rFonts w:ascii="Arial" w:hAnsi="Arial" w:cs="Arial"/>
                <w:sz w:val="20"/>
                <w:szCs w:val="20"/>
              </w:rPr>
              <w:t xml:space="preserve"> – </w:t>
            </w:r>
            <w:r w:rsidR="00056D98">
              <w:rPr>
                <w:rFonts w:ascii="Arial" w:hAnsi="Arial" w:cs="Arial"/>
                <w:sz w:val="20"/>
                <w:szCs w:val="20"/>
              </w:rPr>
              <w:t>3</w:t>
            </w:r>
            <w:r w:rsidR="005F2022">
              <w:rPr>
                <w:rFonts w:ascii="Arial" w:hAnsi="Arial" w:cs="Arial"/>
                <w:sz w:val="20"/>
                <w:szCs w:val="20"/>
              </w:rPr>
              <w:t>0% complete.</w:t>
            </w:r>
            <w:r w:rsidR="004D2B8A">
              <w:rPr>
                <w:rFonts w:ascii="Arial" w:hAnsi="Arial" w:cs="Arial"/>
                <w:sz w:val="20"/>
                <w:szCs w:val="20"/>
              </w:rPr>
              <w:t xml:space="preserve">  In February the TAC met via web conference to review and discuss project progress.</w:t>
            </w:r>
          </w:p>
          <w:p w:rsidR="002D74C2" w:rsidRDefault="002D74C2" w:rsidP="00716C86">
            <w:pPr>
              <w:spacing w:after="0" w:line="240" w:lineRule="auto"/>
              <w:rPr>
                <w:rFonts w:ascii="Arial" w:hAnsi="Arial" w:cs="Arial"/>
                <w:sz w:val="20"/>
                <w:szCs w:val="20"/>
              </w:rPr>
            </w:pPr>
          </w:p>
          <w:p w:rsidR="00B07C63" w:rsidRDefault="00B07C63" w:rsidP="00B07C63">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 No changes made.</w:t>
            </w:r>
          </w:p>
          <w:p w:rsidR="00716C86" w:rsidRPr="006E7805" w:rsidRDefault="00716C86" w:rsidP="006E7805">
            <w:pPr>
              <w:spacing w:after="0" w:line="240" w:lineRule="auto"/>
              <w:rPr>
                <w:rFonts w:ascii="Arial" w:hAnsi="Arial" w:cs="Arial"/>
                <w:sz w:val="20"/>
                <w:szCs w:val="20"/>
              </w:rPr>
            </w:pPr>
          </w:p>
        </w:tc>
      </w:tr>
      <w:tr w:rsidR="000C209F" w:rsidRPr="00360664" w:rsidTr="003B3781">
        <w:tc>
          <w:tcPr>
            <w:tcW w:w="10908" w:type="dxa"/>
          </w:tcPr>
          <w:p w:rsidR="000C209F" w:rsidRPr="0078688E" w:rsidRDefault="000C209F" w:rsidP="00360664">
            <w:pPr>
              <w:spacing w:after="0" w:line="240" w:lineRule="auto"/>
              <w:rPr>
                <w:rFonts w:ascii="Arial" w:hAnsi="Arial" w:cs="Arial"/>
                <w:b/>
                <w:sz w:val="20"/>
                <w:szCs w:val="20"/>
              </w:rPr>
            </w:pPr>
          </w:p>
          <w:p w:rsidR="000C209F" w:rsidRPr="0078688E" w:rsidRDefault="000C209F" w:rsidP="00716C86">
            <w:pPr>
              <w:keepNext/>
              <w:keepLines/>
              <w:spacing w:after="0" w:line="240" w:lineRule="auto"/>
              <w:rPr>
                <w:rFonts w:ascii="Arial" w:hAnsi="Arial" w:cs="Arial"/>
                <w:sz w:val="20"/>
                <w:szCs w:val="20"/>
              </w:rPr>
            </w:pPr>
            <w:r w:rsidRPr="00DD489E">
              <w:rPr>
                <w:rFonts w:ascii="Arial" w:hAnsi="Arial" w:cs="Arial"/>
                <w:b/>
                <w:sz w:val="20"/>
                <w:szCs w:val="20"/>
              </w:rPr>
              <w:t>Anticipated work next quarter</w:t>
            </w:r>
            <w:r w:rsidRPr="00DD489E">
              <w:rPr>
                <w:rFonts w:ascii="Arial" w:hAnsi="Arial" w:cs="Arial"/>
                <w:sz w:val="20"/>
                <w:szCs w:val="20"/>
              </w:rPr>
              <w:t>:</w:t>
            </w:r>
          </w:p>
          <w:p w:rsidR="00B07C63" w:rsidRDefault="00B07C63" w:rsidP="00215F63">
            <w:pPr>
              <w:keepNext/>
              <w:keepLines/>
              <w:tabs>
                <w:tab w:val="left" w:pos="7567"/>
              </w:tabs>
              <w:spacing w:after="0" w:line="240" w:lineRule="auto"/>
              <w:rPr>
                <w:rFonts w:ascii="Arial" w:hAnsi="Arial" w:cs="Arial"/>
                <w:sz w:val="20"/>
                <w:szCs w:val="20"/>
              </w:rPr>
            </w:pPr>
          </w:p>
          <w:p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Task 1</w:t>
            </w:r>
            <w:r w:rsidRPr="002D74C2">
              <w:rPr>
                <w:rFonts w:ascii="Arial" w:hAnsi="Arial" w:cs="Arial"/>
                <w:sz w:val="20"/>
                <w:szCs w:val="20"/>
              </w:rPr>
              <w:t xml:space="preserve"> – </w:t>
            </w:r>
            <w:r w:rsidR="00975A81">
              <w:rPr>
                <w:rFonts w:ascii="Arial" w:hAnsi="Arial" w:cs="Arial"/>
                <w:sz w:val="20"/>
                <w:szCs w:val="20"/>
              </w:rPr>
              <w:t>Completed</w:t>
            </w:r>
          </w:p>
          <w:p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Task 2</w:t>
            </w:r>
            <w:r w:rsidRPr="002D74C2">
              <w:rPr>
                <w:rFonts w:ascii="Arial" w:hAnsi="Arial" w:cs="Arial"/>
                <w:sz w:val="20"/>
                <w:szCs w:val="20"/>
              </w:rPr>
              <w:t xml:space="preserve"> – </w:t>
            </w:r>
            <w:r w:rsidR="00975A81">
              <w:rPr>
                <w:rFonts w:ascii="Arial" w:hAnsi="Arial" w:cs="Arial"/>
                <w:sz w:val="20"/>
                <w:szCs w:val="20"/>
              </w:rPr>
              <w:t>Completed</w:t>
            </w:r>
          </w:p>
          <w:p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Task 3</w:t>
            </w:r>
            <w:r w:rsidRPr="002D74C2">
              <w:rPr>
                <w:rFonts w:ascii="Arial" w:hAnsi="Arial" w:cs="Arial"/>
                <w:sz w:val="20"/>
                <w:szCs w:val="20"/>
              </w:rPr>
              <w:t xml:space="preserve"> –</w:t>
            </w:r>
            <w:r w:rsidR="007905E2">
              <w:rPr>
                <w:rFonts w:ascii="Arial" w:hAnsi="Arial" w:cs="Arial"/>
                <w:sz w:val="20"/>
                <w:szCs w:val="20"/>
              </w:rPr>
              <w:t xml:space="preserve"> </w:t>
            </w:r>
            <w:r w:rsidR="00975A81">
              <w:rPr>
                <w:rFonts w:ascii="Arial" w:hAnsi="Arial" w:cs="Arial"/>
                <w:sz w:val="20"/>
                <w:szCs w:val="20"/>
              </w:rPr>
              <w:t>Completed</w:t>
            </w:r>
          </w:p>
          <w:p w:rsidR="00DD489E" w:rsidRPr="002D74C2" w:rsidRDefault="00B07C63" w:rsidP="00DD489E">
            <w:pPr>
              <w:spacing w:after="0" w:line="240" w:lineRule="auto"/>
              <w:rPr>
                <w:rFonts w:ascii="Arial" w:hAnsi="Arial" w:cs="Arial"/>
                <w:sz w:val="20"/>
                <w:szCs w:val="20"/>
              </w:rPr>
            </w:pPr>
            <w:r w:rsidRPr="002D74C2">
              <w:rPr>
                <w:rFonts w:ascii="Arial" w:hAnsi="Arial" w:cs="Arial"/>
                <w:b/>
                <w:sz w:val="20"/>
                <w:szCs w:val="20"/>
              </w:rPr>
              <w:t>Task 4</w:t>
            </w:r>
            <w:r w:rsidRPr="002D74C2">
              <w:rPr>
                <w:rFonts w:ascii="Arial" w:hAnsi="Arial" w:cs="Arial"/>
                <w:sz w:val="20"/>
                <w:szCs w:val="20"/>
              </w:rPr>
              <w:t xml:space="preserve"> – </w:t>
            </w:r>
            <w:r w:rsidR="00715C84">
              <w:rPr>
                <w:rFonts w:ascii="Arial" w:hAnsi="Arial" w:cs="Arial"/>
                <w:sz w:val="20"/>
                <w:szCs w:val="20"/>
              </w:rPr>
              <w:t>Co</w:t>
            </w:r>
            <w:r w:rsidR="002C3D03">
              <w:rPr>
                <w:rFonts w:ascii="Arial" w:hAnsi="Arial" w:cs="Arial"/>
                <w:sz w:val="20"/>
                <w:szCs w:val="20"/>
              </w:rPr>
              <w:t>mplete validation studies with</w:t>
            </w:r>
            <w:r w:rsidR="004E1A24" w:rsidRPr="004E1A24">
              <w:rPr>
                <w:rFonts w:ascii="Arial" w:hAnsi="Arial" w:cs="Arial"/>
                <w:sz w:val="20"/>
                <w:szCs w:val="20"/>
              </w:rPr>
              <w:t xml:space="preserve"> CPTLiquefY</w:t>
            </w:r>
            <w:r w:rsidR="00872226">
              <w:rPr>
                <w:rFonts w:ascii="Arial" w:hAnsi="Arial" w:cs="Arial"/>
                <w:sz w:val="20"/>
                <w:szCs w:val="20"/>
              </w:rPr>
              <w:t>.</w:t>
            </w:r>
            <w:r w:rsidR="00DD489E">
              <w:rPr>
                <w:rFonts w:ascii="Arial" w:hAnsi="Arial" w:cs="Arial"/>
                <w:sz w:val="20"/>
                <w:szCs w:val="20"/>
              </w:rPr>
              <w:t xml:space="preserve">  Complete and submit the Year 1, Quarter 3 update report for TAC review.</w:t>
            </w:r>
          </w:p>
          <w:p w:rsidR="003E1EF8" w:rsidRDefault="003E1EF8" w:rsidP="00B07C63">
            <w:pPr>
              <w:spacing w:after="0" w:line="240" w:lineRule="auto"/>
              <w:rPr>
                <w:rFonts w:ascii="Arial" w:hAnsi="Arial" w:cs="Arial"/>
                <w:sz w:val="20"/>
                <w:szCs w:val="20"/>
              </w:rPr>
            </w:pPr>
          </w:p>
          <w:p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Task 1</w:t>
            </w:r>
            <w:r>
              <w:rPr>
                <w:rFonts w:ascii="Arial" w:hAnsi="Arial" w:cs="Arial"/>
                <w:b/>
                <w:sz w:val="20"/>
                <w:szCs w:val="20"/>
              </w:rPr>
              <w:t>1</w:t>
            </w:r>
            <w:r w:rsidRPr="002D74C2">
              <w:rPr>
                <w:rFonts w:ascii="Arial" w:hAnsi="Arial" w:cs="Arial"/>
                <w:sz w:val="20"/>
                <w:szCs w:val="20"/>
              </w:rPr>
              <w:t xml:space="preserve"> – </w:t>
            </w:r>
            <w:r w:rsidR="002C3D03">
              <w:rPr>
                <w:rFonts w:ascii="Arial" w:hAnsi="Arial" w:cs="Arial"/>
                <w:sz w:val="20"/>
                <w:szCs w:val="20"/>
              </w:rPr>
              <w:t>None</w:t>
            </w:r>
            <w:r w:rsidR="006E6FFF">
              <w:rPr>
                <w:rFonts w:ascii="Arial" w:hAnsi="Arial" w:cs="Arial"/>
                <w:sz w:val="20"/>
                <w:szCs w:val="20"/>
              </w:rPr>
              <w:t>.</w:t>
            </w:r>
          </w:p>
          <w:p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w:t>
            </w:r>
            <w:r w:rsidRPr="002D74C2">
              <w:rPr>
                <w:rFonts w:ascii="Arial" w:hAnsi="Arial" w:cs="Arial"/>
                <w:b/>
                <w:sz w:val="20"/>
                <w:szCs w:val="20"/>
              </w:rPr>
              <w:t>2</w:t>
            </w:r>
            <w:r w:rsidRPr="002D74C2">
              <w:rPr>
                <w:rFonts w:ascii="Arial" w:hAnsi="Arial" w:cs="Arial"/>
                <w:sz w:val="20"/>
                <w:szCs w:val="20"/>
              </w:rPr>
              <w:t xml:space="preserve"> – </w:t>
            </w:r>
            <w:r w:rsidR="002C3D03">
              <w:rPr>
                <w:rFonts w:ascii="Arial" w:hAnsi="Arial" w:cs="Arial"/>
                <w:sz w:val="20"/>
                <w:szCs w:val="20"/>
              </w:rPr>
              <w:t>Begin preparation of two or three journal papers</w:t>
            </w:r>
            <w:r w:rsidR="006E6FFF">
              <w:rPr>
                <w:rFonts w:ascii="Arial" w:hAnsi="Arial" w:cs="Arial"/>
                <w:sz w:val="20"/>
                <w:szCs w:val="20"/>
              </w:rPr>
              <w:t>.</w:t>
            </w:r>
          </w:p>
          <w:p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w:t>
            </w:r>
            <w:r w:rsidRPr="002D74C2">
              <w:rPr>
                <w:rFonts w:ascii="Arial" w:hAnsi="Arial" w:cs="Arial"/>
                <w:b/>
                <w:sz w:val="20"/>
                <w:szCs w:val="20"/>
              </w:rPr>
              <w:t>3</w:t>
            </w:r>
            <w:r w:rsidRPr="002D74C2">
              <w:rPr>
                <w:rFonts w:ascii="Arial" w:hAnsi="Arial" w:cs="Arial"/>
                <w:sz w:val="20"/>
                <w:szCs w:val="20"/>
              </w:rPr>
              <w:t xml:space="preserve"> – </w:t>
            </w:r>
            <w:r w:rsidR="006E6FFF">
              <w:rPr>
                <w:rFonts w:ascii="Arial" w:hAnsi="Arial" w:cs="Arial"/>
                <w:sz w:val="20"/>
                <w:szCs w:val="20"/>
              </w:rPr>
              <w:t xml:space="preserve">Consider holding </w:t>
            </w:r>
            <w:r w:rsidR="00872226" w:rsidRPr="00872226">
              <w:rPr>
                <w:rFonts w:ascii="Arial" w:hAnsi="Arial" w:cs="Arial"/>
                <w:sz w:val="20"/>
                <w:szCs w:val="20"/>
              </w:rPr>
              <w:t>another TAC web-conference to review and discuss ad</w:t>
            </w:r>
            <w:r w:rsidR="002C3D03">
              <w:rPr>
                <w:rFonts w:ascii="Arial" w:hAnsi="Arial" w:cs="Arial"/>
                <w:sz w:val="20"/>
                <w:szCs w:val="20"/>
              </w:rPr>
              <w:t>ditional results from the study</w:t>
            </w:r>
            <w:r w:rsidR="006E6FFF">
              <w:rPr>
                <w:rFonts w:ascii="Arial" w:hAnsi="Arial" w:cs="Arial"/>
                <w:sz w:val="20"/>
                <w:szCs w:val="20"/>
              </w:rPr>
              <w:t>.</w:t>
            </w:r>
          </w:p>
          <w:p w:rsidR="00B07C63" w:rsidRDefault="00B07C63" w:rsidP="00215F63">
            <w:pPr>
              <w:keepNext/>
              <w:keepLines/>
              <w:tabs>
                <w:tab w:val="left" w:pos="7567"/>
              </w:tabs>
              <w:spacing w:after="0" w:line="240" w:lineRule="auto"/>
              <w:rPr>
                <w:rFonts w:ascii="Arial" w:hAnsi="Arial" w:cs="Arial"/>
                <w:sz w:val="20"/>
                <w:szCs w:val="20"/>
              </w:rPr>
            </w:pPr>
          </w:p>
          <w:p w:rsidR="00B07C63" w:rsidRDefault="00B07C63" w:rsidP="00215F63">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 </w:t>
            </w:r>
            <w:r w:rsidR="00872226">
              <w:rPr>
                <w:rFonts w:ascii="Arial" w:hAnsi="Arial" w:cs="Arial"/>
                <w:sz w:val="20"/>
                <w:szCs w:val="20"/>
              </w:rPr>
              <w:t xml:space="preserve">Complete </w:t>
            </w:r>
            <w:r w:rsidR="00646FAC">
              <w:rPr>
                <w:rFonts w:ascii="Arial" w:hAnsi="Arial" w:cs="Arial"/>
                <w:sz w:val="20"/>
                <w:szCs w:val="20"/>
              </w:rPr>
              <w:t xml:space="preserve">the </w:t>
            </w:r>
            <w:r w:rsidR="00872226">
              <w:rPr>
                <w:rFonts w:ascii="Arial" w:hAnsi="Arial" w:cs="Arial"/>
                <w:sz w:val="20"/>
                <w:szCs w:val="20"/>
              </w:rPr>
              <w:t>2</w:t>
            </w:r>
            <w:r w:rsidR="00872226" w:rsidRPr="00872226">
              <w:rPr>
                <w:rFonts w:ascii="Arial" w:hAnsi="Arial" w:cs="Arial"/>
                <w:sz w:val="20"/>
                <w:szCs w:val="20"/>
                <w:vertAlign w:val="superscript"/>
              </w:rPr>
              <w:t>nd</w:t>
            </w:r>
            <w:r w:rsidR="00872226">
              <w:rPr>
                <w:rFonts w:ascii="Arial" w:hAnsi="Arial" w:cs="Arial"/>
                <w:sz w:val="20"/>
                <w:szCs w:val="20"/>
              </w:rPr>
              <w:t xml:space="preserve"> year funding transfers to UDOT.  Amend the contract with the additional funding to execute the 2</w:t>
            </w:r>
            <w:r w:rsidR="00872226" w:rsidRPr="00872226">
              <w:rPr>
                <w:rFonts w:ascii="Arial" w:hAnsi="Arial" w:cs="Arial"/>
                <w:sz w:val="20"/>
                <w:szCs w:val="20"/>
                <w:vertAlign w:val="superscript"/>
              </w:rPr>
              <w:t>nd</w:t>
            </w:r>
            <w:r w:rsidR="00872226">
              <w:rPr>
                <w:rFonts w:ascii="Arial" w:hAnsi="Arial" w:cs="Arial"/>
                <w:sz w:val="20"/>
                <w:szCs w:val="20"/>
              </w:rPr>
              <w:t xml:space="preserve"> year scope activities.</w:t>
            </w:r>
          </w:p>
          <w:p w:rsidR="004202CA" w:rsidRPr="0078688E" w:rsidRDefault="004202CA" w:rsidP="0014543A">
            <w:pPr>
              <w:keepNext/>
              <w:keepLines/>
              <w:tabs>
                <w:tab w:val="left" w:pos="7567"/>
              </w:tabs>
              <w:spacing w:after="0" w:line="240" w:lineRule="auto"/>
              <w:rPr>
                <w:rFonts w:ascii="Arial" w:hAnsi="Arial" w:cs="Arial"/>
                <w:sz w:val="20"/>
                <w:szCs w:val="20"/>
              </w:rPr>
            </w:pPr>
          </w:p>
        </w:tc>
      </w:tr>
    </w:tbl>
    <w:p w:rsidR="008B7F86" w:rsidRDefault="008B7F86">
      <w:pPr>
        <w:spacing w:after="0" w:line="240" w:lineRule="auto"/>
        <w:rPr>
          <w:rFonts w:ascii="Arial" w:hAnsi="Arial" w:cs="Arial"/>
          <w:sz w:val="20"/>
          <w:szCs w:val="20"/>
        </w:rPr>
      </w:pPr>
    </w:p>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Significant Results:</w:t>
            </w:r>
          </w:p>
          <w:p w:rsidR="00D52F90" w:rsidRDefault="00D52F90" w:rsidP="00D52F90">
            <w:pPr>
              <w:spacing w:after="0" w:line="240" w:lineRule="auto"/>
              <w:rPr>
                <w:rFonts w:ascii="Arial" w:hAnsi="Arial" w:cs="Arial"/>
                <w:sz w:val="20"/>
                <w:szCs w:val="20"/>
              </w:rPr>
            </w:pPr>
          </w:p>
          <w:p w:rsidR="002C3D03" w:rsidRDefault="00975A81" w:rsidP="002C3D03">
            <w:pPr>
              <w:spacing w:after="0" w:line="240" w:lineRule="auto"/>
              <w:rPr>
                <w:rFonts w:ascii="Arial" w:hAnsi="Arial" w:cs="Arial"/>
                <w:sz w:val="20"/>
                <w:szCs w:val="20"/>
              </w:rPr>
            </w:pPr>
            <w:r>
              <w:rPr>
                <w:rFonts w:ascii="Arial" w:hAnsi="Arial" w:cs="Arial"/>
                <w:sz w:val="20"/>
                <w:szCs w:val="20"/>
              </w:rPr>
              <w:t>CPTLiquefY has been completed and validated with numerous checks and debugging exercises. The program is now running well with the new USGS uniform hazard tool</w:t>
            </w:r>
            <w:r w:rsidR="00A063C2">
              <w:rPr>
                <w:rFonts w:ascii="Arial" w:hAnsi="Arial" w:cs="Arial"/>
                <w:sz w:val="20"/>
                <w:szCs w:val="20"/>
              </w:rPr>
              <w:t xml:space="preserve">, and is capable of performing performance-based liquefaction hazard analysis using either the 2008 or the 2014 USGS probabilistic seismic hazard data. </w:t>
            </w:r>
          </w:p>
          <w:p w:rsidR="00A063C2" w:rsidRDefault="00A063C2" w:rsidP="002C3D03">
            <w:pPr>
              <w:spacing w:after="0" w:line="240" w:lineRule="auto"/>
              <w:rPr>
                <w:rFonts w:ascii="Arial" w:hAnsi="Arial" w:cs="Arial"/>
                <w:sz w:val="20"/>
                <w:szCs w:val="20"/>
              </w:rPr>
            </w:pPr>
          </w:p>
          <w:p w:rsidR="00A063C2" w:rsidRDefault="00A063C2" w:rsidP="002C3D03">
            <w:pPr>
              <w:spacing w:after="0" w:line="240" w:lineRule="auto"/>
              <w:rPr>
                <w:rFonts w:ascii="Arial" w:hAnsi="Arial" w:cs="Arial"/>
                <w:sz w:val="20"/>
                <w:szCs w:val="20"/>
              </w:rPr>
            </w:pPr>
            <w:r>
              <w:rPr>
                <w:rFonts w:ascii="Arial" w:hAnsi="Arial" w:cs="Arial"/>
                <w:sz w:val="20"/>
                <w:szCs w:val="20"/>
              </w:rPr>
              <w:t xml:space="preserve">Comparative analyses are now being performed at 10 different cities across the US (representing different levels of seismicity) at three different return periods (475, 1033, and 2475 years) with 20 different CPT soundings. The analyses are assessing how the performance-based methods differ from the conventional pseudo-probabilistic methods that are currently recommended by AASHTO. Preliminary results show a similar trend to previous performance-based studies with the SPT in that the performance-based methods tend to predict smaller hazards in areas of low/moderate seismicity and/or at low return periods. </w:t>
            </w:r>
          </w:p>
          <w:p w:rsidR="002C3D03" w:rsidRDefault="002C3D03" w:rsidP="002C3D03">
            <w:pPr>
              <w:spacing w:after="0" w:line="240" w:lineRule="auto"/>
              <w:rPr>
                <w:rFonts w:ascii="Arial" w:hAnsi="Arial" w:cs="Arial"/>
                <w:sz w:val="20"/>
                <w:szCs w:val="20"/>
              </w:rPr>
            </w:pPr>
          </w:p>
          <w:p w:rsidR="001729B6" w:rsidRDefault="00A063C2" w:rsidP="002C3D03">
            <w:pPr>
              <w:spacing w:after="0" w:line="240" w:lineRule="auto"/>
              <w:rPr>
                <w:rFonts w:ascii="Arial" w:hAnsi="Arial" w:cs="Arial"/>
                <w:sz w:val="20"/>
                <w:szCs w:val="20"/>
              </w:rPr>
            </w:pPr>
            <w:r>
              <w:rPr>
                <w:rFonts w:ascii="Arial" w:hAnsi="Arial" w:cs="Arial"/>
                <w:sz w:val="20"/>
                <w:szCs w:val="20"/>
              </w:rPr>
              <w:t>The draft Year 1, Quarter 3</w:t>
            </w:r>
            <w:r w:rsidR="002C3D03">
              <w:rPr>
                <w:rFonts w:ascii="Arial" w:hAnsi="Arial" w:cs="Arial"/>
                <w:sz w:val="20"/>
                <w:szCs w:val="20"/>
              </w:rPr>
              <w:t xml:space="preserve"> update report </w:t>
            </w:r>
            <w:r>
              <w:rPr>
                <w:rFonts w:ascii="Arial" w:hAnsi="Arial" w:cs="Arial"/>
                <w:sz w:val="20"/>
                <w:szCs w:val="20"/>
              </w:rPr>
              <w:t>is nearly completed, and will be</w:t>
            </w:r>
            <w:r w:rsidR="002C3D03">
              <w:rPr>
                <w:rFonts w:ascii="Arial" w:hAnsi="Arial" w:cs="Arial"/>
                <w:sz w:val="20"/>
                <w:szCs w:val="20"/>
              </w:rPr>
              <w:t xml:space="preserve"> submitted for TAC feedback and comments</w:t>
            </w:r>
            <w:r>
              <w:rPr>
                <w:rFonts w:ascii="Arial" w:hAnsi="Arial" w:cs="Arial"/>
                <w:sz w:val="20"/>
                <w:szCs w:val="20"/>
              </w:rPr>
              <w:t xml:space="preserve"> within the next week or two</w:t>
            </w:r>
            <w:r w:rsidR="002C3D03">
              <w:rPr>
                <w:rFonts w:ascii="Arial" w:hAnsi="Arial" w:cs="Arial"/>
                <w:sz w:val="20"/>
                <w:szCs w:val="20"/>
              </w:rPr>
              <w:t xml:space="preserve">.  </w:t>
            </w:r>
          </w:p>
          <w:p w:rsidR="001729B6" w:rsidRPr="00CC401B" w:rsidRDefault="001729B6" w:rsidP="00344E45">
            <w:pPr>
              <w:spacing w:after="0" w:line="240" w:lineRule="auto"/>
              <w:rPr>
                <w:rFonts w:ascii="Arial" w:hAnsi="Arial" w:cs="Arial"/>
                <w:sz w:val="20"/>
                <w:szCs w:val="20"/>
              </w:rPr>
            </w:pPr>
          </w:p>
        </w:tc>
      </w:tr>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rsidR="000C209F" w:rsidRDefault="000C209F" w:rsidP="00360664">
            <w:pPr>
              <w:spacing w:after="0" w:line="240" w:lineRule="auto"/>
              <w:rPr>
                <w:rFonts w:ascii="Arial" w:hAnsi="Arial" w:cs="Arial"/>
                <w:sz w:val="20"/>
                <w:szCs w:val="20"/>
              </w:rPr>
            </w:pPr>
          </w:p>
          <w:p w:rsidR="0090315B" w:rsidRDefault="00ED35BF" w:rsidP="00360664">
            <w:pPr>
              <w:spacing w:after="0" w:line="240" w:lineRule="auto"/>
              <w:rPr>
                <w:rFonts w:ascii="Arial" w:hAnsi="Arial" w:cs="Arial"/>
                <w:sz w:val="20"/>
                <w:szCs w:val="20"/>
              </w:rPr>
            </w:pPr>
            <w:r w:rsidRPr="00637E5B">
              <w:rPr>
                <w:rFonts w:ascii="Arial" w:hAnsi="Arial" w:cs="Arial"/>
                <w:sz w:val="20"/>
                <w:szCs w:val="20"/>
              </w:rPr>
              <w:t>None to report.</w:t>
            </w:r>
          </w:p>
          <w:p w:rsidR="000C209F" w:rsidRPr="00360664" w:rsidRDefault="000C209F" w:rsidP="00D51D40">
            <w:pPr>
              <w:spacing w:after="0" w:line="240" w:lineRule="auto"/>
              <w:rPr>
                <w:rFonts w:ascii="Arial" w:hAnsi="Arial" w:cs="Arial"/>
                <w:b/>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Default="000C209F" w:rsidP="00360664">
            <w:pPr>
              <w:spacing w:after="0" w:line="240" w:lineRule="auto"/>
              <w:rPr>
                <w:rFonts w:ascii="Arial" w:hAnsi="Arial" w:cs="Arial"/>
                <w:sz w:val="20"/>
                <w:szCs w:val="20"/>
              </w:rPr>
            </w:pPr>
          </w:p>
          <w:p w:rsidR="00344E45" w:rsidRDefault="00ED35BF" w:rsidP="00360664">
            <w:pPr>
              <w:spacing w:after="0" w:line="240" w:lineRule="auto"/>
              <w:rPr>
                <w:rFonts w:ascii="Arial" w:hAnsi="Arial" w:cs="Arial"/>
                <w:sz w:val="20"/>
                <w:szCs w:val="20"/>
              </w:rPr>
            </w:pPr>
            <w:r w:rsidRPr="00637E5B">
              <w:rPr>
                <w:rFonts w:ascii="Arial" w:hAnsi="Arial" w:cs="Arial"/>
                <w:sz w:val="20"/>
                <w:szCs w:val="20"/>
              </w:rPr>
              <w:t>None to report yet.</w:t>
            </w:r>
          </w:p>
          <w:p w:rsidR="00907579" w:rsidRPr="00360664" w:rsidRDefault="00907579" w:rsidP="00344E45">
            <w:pPr>
              <w:spacing w:after="0" w:line="240" w:lineRule="auto"/>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12F" w:rsidRDefault="00D6312F" w:rsidP="00106C83">
      <w:pPr>
        <w:spacing w:after="0" w:line="240" w:lineRule="auto"/>
      </w:pPr>
      <w:r>
        <w:separator/>
      </w:r>
    </w:p>
  </w:endnote>
  <w:endnote w:type="continuationSeparator" w:id="0">
    <w:p w:rsidR="00D6312F" w:rsidRDefault="00D6312F"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89E" w:rsidRDefault="00DD489E" w:rsidP="00E371D1">
    <w:pPr>
      <w:pStyle w:val="Footer"/>
      <w:ind w:left="-810"/>
    </w:pPr>
    <w:r>
      <w:t>TPF Program Standard Quarterly Reporting Format – 7/2011</w:t>
    </w:r>
  </w:p>
  <w:p w:rsidR="00DD489E" w:rsidRDefault="00DD48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12F" w:rsidRDefault="00D6312F" w:rsidP="00106C83">
      <w:pPr>
        <w:spacing w:after="0" w:line="240" w:lineRule="auto"/>
      </w:pPr>
      <w:r>
        <w:separator/>
      </w:r>
    </w:p>
  </w:footnote>
  <w:footnote w:type="continuationSeparator" w:id="0">
    <w:p w:rsidR="00D6312F" w:rsidRDefault="00D6312F"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4A3F"/>
    <w:rsid w:val="00006CB3"/>
    <w:rsid w:val="00010300"/>
    <w:rsid w:val="0001316D"/>
    <w:rsid w:val="00015D61"/>
    <w:rsid w:val="00020513"/>
    <w:rsid w:val="00021A3F"/>
    <w:rsid w:val="00021E18"/>
    <w:rsid w:val="00027840"/>
    <w:rsid w:val="000305F4"/>
    <w:rsid w:val="0003260A"/>
    <w:rsid w:val="000335CC"/>
    <w:rsid w:val="000342EB"/>
    <w:rsid w:val="00035DAD"/>
    <w:rsid w:val="00037FBC"/>
    <w:rsid w:val="00040795"/>
    <w:rsid w:val="000452C8"/>
    <w:rsid w:val="00045C7E"/>
    <w:rsid w:val="00046DCA"/>
    <w:rsid w:val="000556F2"/>
    <w:rsid w:val="00056D98"/>
    <w:rsid w:val="00060908"/>
    <w:rsid w:val="00060DDA"/>
    <w:rsid w:val="00061A91"/>
    <w:rsid w:val="000632E0"/>
    <w:rsid w:val="0006342D"/>
    <w:rsid w:val="00064DBC"/>
    <w:rsid w:val="00065B11"/>
    <w:rsid w:val="00067968"/>
    <w:rsid w:val="00071797"/>
    <w:rsid w:val="000736BB"/>
    <w:rsid w:val="00074656"/>
    <w:rsid w:val="0007547B"/>
    <w:rsid w:val="0008172C"/>
    <w:rsid w:val="00085456"/>
    <w:rsid w:val="00086047"/>
    <w:rsid w:val="00087DC0"/>
    <w:rsid w:val="000937EA"/>
    <w:rsid w:val="000957A8"/>
    <w:rsid w:val="000A0D23"/>
    <w:rsid w:val="000A1304"/>
    <w:rsid w:val="000A7C22"/>
    <w:rsid w:val="000B1557"/>
    <w:rsid w:val="000B2F53"/>
    <w:rsid w:val="000B665A"/>
    <w:rsid w:val="000C19CB"/>
    <w:rsid w:val="000C209F"/>
    <w:rsid w:val="000C2F8D"/>
    <w:rsid w:val="000C3E6D"/>
    <w:rsid w:val="000C4744"/>
    <w:rsid w:val="000C4AC9"/>
    <w:rsid w:val="000C65A5"/>
    <w:rsid w:val="000D1273"/>
    <w:rsid w:val="000D463D"/>
    <w:rsid w:val="000D6962"/>
    <w:rsid w:val="000E112D"/>
    <w:rsid w:val="000E189F"/>
    <w:rsid w:val="000E1C3A"/>
    <w:rsid w:val="000F489B"/>
    <w:rsid w:val="000F615B"/>
    <w:rsid w:val="000F73AD"/>
    <w:rsid w:val="000F752B"/>
    <w:rsid w:val="000F7DCA"/>
    <w:rsid w:val="001028A5"/>
    <w:rsid w:val="00103835"/>
    <w:rsid w:val="00106C83"/>
    <w:rsid w:val="001147C8"/>
    <w:rsid w:val="00114A2D"/>
    <w:rsid w:val="001151DF"/>
    <w:rsid w:val="00121037"/>
    <w:rsid w:val="00122CE0"/>
    <w:rsid w:val="00122DE0"/>
    <w:rsid w:val="00127D97"/>
    <w:rsid w:val="001336E7"/>
    <w:rsid w:val="00134EE1"/>
    <w:rsid w:val="001428DF"/>
    <w:rsid w:val="001429F4"/>
    <w:rsid w:val="0014543A"/>
    <w:rsid w:val="001536F4"/>
    <w:rsid w:val="00154785"/>
    <w:rsid w:val="00154791"/>
    <w:rsid w:val="001547D0"/>
    <w:rsid w:val="00161153"/>
    <w:rsid w:val="00164E36"/>
    <w:rsid w:val="00165AF3"/>
    <w:rsid w:val="001729B6"/>
    <w:rsid w:val="00174FA3"/>
    <w:rsid w:val="00176B22"/>
    <w:rsid w:val="00181F8B"/>
    <w:rsid w:val="0018433C"/>
    <w:rsid w:val="00186107"/>
    <w:rsid w:val="00186B05"/>
    <w:rsid w:val="00190459"/>
    <w:rsid w:val="001918E8"/>
    <w:rsid w:val="00191F1F"/>
    <w:rsid w:val="00194CD6"/>
    <w:rsid w:val="00197E96"/>
    <w:rsid w:val="001A1210"/>
    <w:rsid w:val="001A25A1"/>
    <w:rsid w:val="001A2E6F"/>
    <w:rsid w:val="001A3095"/>
    <w:rsid w:val="001A3467"/>
    <w:rsid w:val="001A46FD"/>
    <w:rsid w:val="001A49D9"/>
    <w:rsid w:val="001A7398"/>
    <w:rsid w:val="001C03A1"/>
    <w:rsid w:val="001C0A2C"/>
    <w:rsid w:val="001C0E72"/>
    <w:rsid w:val="001C1DDE"/>
    <w:rsid w:val="001C1E3F"/>
    <w:rsid w:val="001C6EFD"/>
    <w:rsid w:val="001C7724"/>
    <w:rsid w:val="001D1DB8"/>
    <w:rsid w:val="001D2FB4"/>
    <w:rsid w:val="001D763A"/>
    <w:rsid w:val="001D77C2"/>
    <w:rsid w:val="001D7F6C"/>
    <w:rsid w:val="001E7777"/>
    <w:rsid w:val="001F10B5"/>
    <w:rsid w:val="001F1101"/>
    <w:rsid w:val="001F3C02"/>
    <w:rsid w:val="001F7414"/>
    <w:rsid w:val="00202788"/>
    <w:rsid w:val="002028BE"/>
    <w:rsid w:val="00205F86"/>
    <w:rsid w:val="0020636B"/>
    <w:rsid w:val="0021446D"/>
    <w:rsid w:val="00214FE9"/>
    <w:rsid w:val="00215F63"/>
    <w:rsid w:val="0022101B"/>
    <w:rsid w:val="00221214"/>
    <w:rsid w:val="00225004"/>
    <w:rsid w:val="0023315F"/>
    <w:rsid w:val="00236961"/>
    <w:rsid w:val="00236E81"/>
    <w:rsid w:val="00237469"/>
    <w:rsid w:val="002416F6"/>
    <w:rsid w:val="00243FCC"/>
    <w:rsid w:val="002442E9"/>
    <w:rsid w:val="00245D5B"/>
    <w:rsid w:val="0025100B"/>
    <w:rsid w:val="0025205E"/>
    <w:rsid w:val="002571EA"/>
    <w:rsid w:val="002661B7"/>
    <w:rsid w:val="00271658"/>
    <w:rsid w:val="00272964"/>
    <w:rsid w:val="002742C3"/>
    <w:rsid w:val="002752EA"/>
    <w:rsid w:val="00276274"/>
    <w:rsid w:val="002765D0"/>
    <w:rsid w:val="00281C9D"/>
    <w:rsid w:val="00281E8E"/>
    <w:rsid w:val="00285DA3"/>
    <w:rsid w:val="00291F1C"/>
    <w:rsid w:val="0029327C"/>
    <w:rsid w:val="002936D0"/>
    <w:rsid w:val="00293FD8"/>
    <w:rsid w:val="002A0D13"/>
    <w:rsid w:val="002A0E0A"/>
    <w:rsid w:val="002A61A3"/>
    <w:rsid w:val="002A79C8"/>
    <w:rsid w:val="002B1447"/>
    <w:rsid w:val="002B31FF"/>
    <w:rsid w:val="002B45B0"/>
    <w:rsid w:val="002B56F3"/>
    <w:rsid w:val="002B708D"/>
    <w:rsid w:val="002B7515"/>
    <w:rsid w:val="002C2F72"/>
    <w:rsid w:val="002C3D03"/>
    <w:rsid w:val="002C4321"/>
    <w:rsid w:val="002C6E75"/>
    <w:rsid w:val="002D0754"/>
    <w:rsid w:val="002D0D07"/>
    <w:rsid w:val="002D353E"/>
    <w:rsid w:val="002D60CF"/>
    <w:rsid w:val="002D6EA4"/>
    <w:rsid w:val="002D74C2"/>
    <w:rsid w:val="002E3814"/>
    <w:rsid w:val="002E38C3"/>
    <w:rsid w:val="002E5C07"/>
    <w:rsid w:val="002F3D8F"/>
    <w:rsid w:val="002F44FD"/>
    <w:rsid w:val="002F5B74"/>
    <w:rsid w:val="002F66FD"/>
    <w:rsid w:val="0030162E"/>
    <w:rsid w:val="00303BFD"/>
    <w:rsid w:val="003057C7"/>
    <w:rsid w:val="0030656A"/>
    <w:rsid w:val="003110B5"/>
    <w:rsid w:val="00313136"/>
    <w:rsid w:val="003133E9"/>
    <w:rsid w:val="0031390E"/>
    <w:rsid w:val="00315011"/>
    <w:rsid w:val="00315979"/>
    <w:rsid w:val="00317414"/>
    <w:rsid w:val="00321691"/>
    <w:rsid w:val="003227F0"/>
    <w:rsid w:val="00322D8F"/>
    <w:rsid w:val="0032612B"/>
    <w:rsid w:val="00326702"/>
    <w:rsid w:val="00327AC3"/>
    <w:rsid w:val="00332429"/>
    <w:rsid w:val="0033444C"/>
    <w:rsid w:val="003372CD"/>
    <w:rsid w:val="00337E98"/>
    <w:rsid w:val="00340B50"/>
    <w:rsid w:val="00341D76"/>
    <w:rsid w:val="003442D7"/>
    <w:rsid w:val="00344E45"/>
    <w:rsid w:val="00346691"/>
    <w:rsid w:val="00357BC4"/>
    <w:rsid w:val="00360664"/>
    <w:rsid w:val="00362F45"/>
    <w:rsid w:val="003630A0"/>
    <w:rsid w:val="003634EC"/>
    <w:rsid w:val="00366877"/>
    <w:rsid w:val="003739F6"/>
    <w:rsid w:val="00374D25"/>
    <w:rsid w:val="0037649F"/>
    <w:rsid w:val="00382110"/>
    <w:rsid w:val="00384F02"/>
    <w:rsid w:val="0038529F"/>
    <w:rsid w:val="003859E2"/>
    <w:rsid w:val="00385EE7"/>
    <w:rsid w:val="00386FBE"/>
    <w:rsid w:val="0038705A"/>
    <w:rsid w:val="00395A48"/>
    <w:rsid w:val="003979BD"/>
    <w:rsid w:val="003B2236"/>
    <w:rsid w:val="003B3175"/>
    <w:rsid w:val="003B3781"/>
    <w:rsid w:val="003B4554"/>
    <w:rsid w:val="003B7379"/>
    <w:rsid w:val="003B7740"/>
    <w:rsid w:val="003C239E"/>
    <w:rsid w:val="003C2C2A"/>
    <w:rsid w:val="003C2CCC"/>
    <w:rsid w:val="003D1430"/>
    <w:rsid w:val="003D6A0B"/>
    <w:rsid w:val="003E0A8C"/>
    <w:rsid w:val="003E1EF8"/>
    <w:rsid w:val="003E43F0"/>
    <w:rsid w:val="003E4DE4"/>
    <w:rsid w:val="003E5DCB"/>
    <w:rsid w:val="003F381B"/>
    <w:rsid w:val="003F462A"/>
    <w:rsid w:val="00401351"/>
    <w:rsid w:val="004046FE"/>
    <w:rsid w:val="00406380"/>
    <w:rsid w:val="00407984"/>
    <w:rsid w:val="00413511"/>
    <w:rsid w:val="004144E6"/>
    <w:rsid w:val="004156B2"/>
    <w:rsid w:val="0041707D"/>
    <w:rsid w:val="004202CA"/>
    <w:rsid w:val="00432286"/>
    <w:rsid w:val="00432521"/>
    <w:rsid w:val="0043487E"/>
    <w:rsid w:val="00436383"/>
    <w:rsid w:val="00437734"/>
    <w:rsid w:val="004377DD"/>
    <w:rsid w:val="00437E79"/>
    <w:rsid w:val="00440CE6"/>
    <w:rsid w:val="004476BB"/>
    <w:rsid w:val="00447F77"/>
    <w:rsid w:val="004519D7"/>
    <w:rsid w:val="0045218A"/>
    <w:rsid w:val="00452515"/>
    <w:rsid w:val="00455A67"/>
    <w:rsid w:val="0046217B"/>
    <w:rsid w:val="00463EA1"/>
    <w:rsid w:val="004717D8"/>
    <w:rsid w:val="00474EBA"/>
    <w:rsid w:val="00475B6A"/>
    <w:rsid w:val="00476BA3"/>
    <w:rsid w:val="00480AC3"/>
    <w:rsid w:val="004828D8"/>
    <w:rsid w:val="004846CC"/>
    <w:rsid w:val="004913CE"/>
    <w:rsid w:val="00492C17"/>
    <w:rsid w:val="004974E1"/>
    <w:rsid w:val="004A3ABB"/>
    <w:rsid w:val="004A5173"/>
    <w:rsid w:val="004A5230"/>
    <w:rsid w:val="004B003D"/>
    <w:rsid w:val="004B3E34"/>
    <w:rsid w:val="004D2B8A"/>
    <w:rsid w:val="004D5EEE"/>
    <w:rsid w:val="004D6151"/>
    <w:rsid w:val="004D6DF5"/>
    <w:rsid w:val="004E14DC"/>
    <w:rsid w:val="004E1A24"/>
    <w:rsid w:val="004E4852"/>
    <w:rsid w:val="004E4A6C"/>
    <w:rsid w:val="004E6402"/>
    <w:rsid w:val="004E771A"/>
    <w:rsid w:val="004F173B"/>
    <w:rsid w:val="004F586D"/>
    <w:rsid w:val="00501478"/>
    <w:rsid w:val="005030A0"/>
    <w:rsid w:val="00504F10"/>
    <w:rsid w:val="005066DA"/>
    <w:rsid w:val="00506FC6"/>
    <w:rsid w:val="005077FE"/>
    <w:rsid w:val="00511F24"/>
    <w:rsid w:val="00511FD0"/>
    <w:rsid w:val="00512783"/>
    <w:rsid w:val="005130F7"/>
    <w:rsid w:val="005135ED"/>
    <w:rsid w:val="00517E74"/>
    <w:rsid w:val="00520070"/>
    <w:rsid w:val="00520D9B"/>
    <w:rsid w:val="00526BB3"/>
    <w:rsid w:val="00532264"/>
    <w:rsid w:val="00533DC2"/>
    <w:rsid w:val="00534F97"/>
    <w:rsid w:val="00535598"/>
    <w:rsid w:val="00535AE5"/>
    <w:rsid w:val="0053700F"/>
    <w:rsid w:val="00541957"/>
    <w:rsid w:val="00541ECB"/>
    <w:rsid w:val="00545CF7"/>
    <w:rsid w:val="00547870"/>
    <w:rsid w:val="00547EE3"/>
    <w:rsid w:val="0055178A"/>
    <w:rsid w:val="00551D8A"/>
    <w:rsid w:val="00553788"/>
    <w:rsid w:val="0056012D"/>
    <w:rsid w:val="0056196C"/>
    <w:rsid w:val="00567491"/>
    <w:rsid w:val="00567605"/>
    <w:rsid w:val="0057047E"/>
    <w:rsid w:val="0057136C"/>
    <w:rsid w:val="00572A58"/>
    <w:rsid w:val="00574EA0"/>
    <w:rsid w:val="00577067"/>
    <w:rsid w:val="005806C7"/>
    <w:rsid w:val="00581B36"/>
    <w:rsid w:val="0058332B"/>
    <w:rsid w:val="0058363E"/>
    <w:rsid w:val="00583E8E"/>
    <w:rsid w:val="00587908"/>
    <w:rsid w:val="00591AF5"/>
    <w:rsid w:val="0059636D"/>
    <w:rsid w:val="005965D0"/>
    <w:rsid w:val="005A0EC0"/>
    <w:rsid w:val="005A16F8"/>
    <w:rsid w:val="005A4A58"/>
    <w:rsid w:val="005A4E82"/>
    <w:rsid w:val="005B4511"/>
    <w:rsid w:val="005B4745"/>
    <w:rsid w:val="005C01E8"/>
    <w:rsid w:val="005C2C1F"/>
    <w:rsid w:val="005C75FE"/>
    <w:rsid w:val="005C7625"/>
    <w:rsid w:val="005D1401"/>
    <w:rsid w:val="005D25B4"/>
    <w:rsid w:val="005D3419"/>
    <w:rsid w:val="005D567C"/>
    <w:rsid w:val="005D676C"/>
    <w:rsid w:val="005D7C5E"/>
    <w:rsid w:val="005F2022"/>
    <w:rsid w:val="005F5558"/>
    <w:rsid w:val="006015F0"/>
    <w:rsid w:val="00601AE7"/>
    <w:rsid w:val="00601EBD"/>
    <w:rsid w:val="00602A2F"/>
    <w:rsid w:val="0060386E"/>
    <w:rsid w:val="00603F07"/>
    <w:rsid w:val="006073E2"/>
    <w:rsid w:val="00611C50"/>
    <w:rsid w:val="006168C2"/>
    <w:rsid w:val="00620B85"/>
    <w:rsid w:val="00623262"/>
    <w:rsid w:val="006232CC"/>
    <w:rsid w:val="00626480"/>
    <w:rsid w:val="00631C35"/>
    <w:rsid w:val="00631D3F"/>
    <w:rsid w:val="006337FF"/>
    <w:rsid w:val="00636B01"/>
    <w:rsid w:val="00637E5B"/>
    <w:rsid w:val="00640344"/>
    <w:rsid w:val="00640E08"/>
    <w:rsid w:val="00641054"/>
    <w:rsid w:val="00642821"/>
    <w:rsid w:val="0064542D"/>
    <w:rsid w:val="00645C02"/>
    <w:rsid w:val="00646FAC"/>
    <w:rsid w:val="00653AE0"/>
    <w:rsid w:val="00654B31"/>
    <w:rsid w:val="00657540"/>
    <w:rsid w:val="006645A1"/>
    <w:rsid w:val="0066537B"/>
    <w:rsid w:val="00670A8E"/>
    <w:rsid w:val="0068036E"/>
    <w:rsid w:val="00682C5E"/>
    <w:rsid w:val="00687192"/>
    <w:rsid w:val="006A5420"/>
    <w:rsid w:val="006A7AC1"/>
    <w:rsid w:val="006B1998"/>
    <w:rsid w:val="006B42FE"/>
    <w:rsid w:val="006B6D4A"/>
    <w:rsid w:val="006B7448"/>
    <w:rsid w:val="006B7F63"/>
    <w:rsid w:val="006C08D2"/>
    <w:rsid w:val="006C1783"/>
    <w:rsid w:val="006C2DA5"/>
    <w:rsid w:val="006C378D"/>
    <w:rsid w:val="006C438C"/>
    <w:rsid w:val="006C4E6B"/>
    <w:rsid w:val="006C50DB"/>
    <w:rsid w:val="006C7F35"/>
    <w:rsid w:val="006D03A4"/>
    <w:rsid w:val="006D6160"/>
    <w:rsid w:val="006E1171"/>
    <w:rsid w:val="006E1297"/>
    <w:rsid w:val="006E6FFF"/>
    <w:rsid w:val="006E7805"/>
    <w:rsid w:val="006F1879"/>
    <w:rsid w:val="006F669A"/>
    <w:rsid w:val="006F6A29"/>
    <w:rsid w:val="00705BE7"/>
    <w:rsid w:val="00707493"/>
    <w:rsid w:val="00715C3B"/>
    <w:rsid w:val="00715C84"/>
    <w:rsid w:val="00716C86"/>
    <w:rsid w:val="00725BCF"/>
    <w:rsid w:val="00726BE1"/>
    <w:rsid w:val="007308C4"/>
    <w:rsid w:val="00731FB6"/>
    <w:rsid w:val="00732659"/>
    <w:rsid w:val="00733FC5"/>
    <w:rsid w:val="00741D56"/>
    <w:rsid w:val="00742FFE"/>
    <w:rsid w:val="00743C01"/>
    <w:rsid w:val="007449D3"/>
    <w:rsid w:val="007459C3"/>
    <w:rsid w:val="00752379"/>
    <w:rsid w:val="00753B95"/>
    <w:rsid w:val="00754076"/>
    <w:rsid w:val="00755D8B"/>
    <w:rsid w:val="00756D70"/>
    <w:rsid w:val="007604EA"/>
    <w:rsid w:val="00760A2B"/>
    <w:rsid w:val="00763824"/>
    <w:rsid w:val="00763DDA"/>
    <w:rsid w:val="00770417"/>
    <w:rsid w:val="00770FD2"/>
    <w:rsid w:val="00774CA4"/>
    <w:rsid w:val="00774FAA"/>
    <w:rsid w:val="00777B5F"/>
    <w:rsid w:val="00784EC4"/>
    <w:rsid w:val="0078688E"/>
    <w:rsid w:val="007905E2"/>
    <w:rsid w:val="00790C4A"/>
    <w:rsid w:val="0079114B"/>
    <w:rsid w:val="0079313F"/>
    <w:rsid w:val="007932BB"/>
    <w:rsid w:val="007A4135"/>
    <w:rsid w:val="007A4DE8"/>
    <w:rsid w:val="007A5F19"/>
    <w:rsid w:val="007B3202"/>
    <w:rsid w:val="007B3CBC"/>
    <w:rsid w:val="007B5208"/>
    <w:rsid w:val="007B5995"/>
    <w:rsid w:val="007B5EFC"/>
    <w:rsid w:val="007B7989"/>
    <w:rsid w:val="007B7FDB"/>
    <w:rsid w:val="007C2525"/>
    <w:rsid w:val="007C3363"/>
    <w:rsid w:val="007C480F"/>
    <w:rsid w:val="007C5DD0"/>
    <w:rsid w:val="007D0862"/>
    <w:rsid w:val="007D0ADF"/>
    <w:rsid w:val="007D1298"/>
    <w:rsid w:val="007D1439"/>
    <w:rsid w:val="007D18E0"/>
    <w:rsid w:val="007D27BC"/>
    <w:rsid w:val="007D2B1D"/>
    <w:rsid w:val="007D2BB8"/>
    <w:rsid w:val="007D5695"/>
    <w:rsid w:val="007D5CA9"/>
    <w:rsid w:val="007D695F"/>
    <w:rsid w:val="007D7479"/>
    <w:rsid w:val="007E5BD2"/>
    <w:rsid w:val="007F0353"/>
    <w:rsid w:val="007F0BF1"/>
    <w:rsid w:val="007F2705"/>
    <w:rsid w:val="007F4964"/>
    <w:rsid w:val="007F635C"/>
    <w:rsid w:val="00800E72"/>
    <w:rsid w:val="00803CB4"/>
    <w:rsid w:val="00805225"/>
    <w:rsid w:val="00811DF5"/>
    <w:rsid w:val="00813575"/>
    <w:rsid w:val="008137D5"/>
    <w:rsid w:val="00814F16"/>
    <w:rsid w:val="008202B0"/>
    <w:rsid w:val="00821F4B"/>
    <w:rsid w:val="00822B79"/>
    <w:rsid w:val="00822FE0"/>
    <w:rsid w:val="00826193"/>
    <w:rsid w:val="008273D7"/>
    <w:rsid w:val="00833757"/>
    <w:rsid w:val="00833D43"/>
    <w:rsid w:val="00842C14"/>
    <w:rsid w:val="008451C1"/>
    <w:rsid w:val="00845B74"/>
    <w:rsid w:val="008479DD"/>
    <w:rsid w:val="00851FDC"/>
    <w:rsid w:val="008531FF"/>
    <w:rsid w:val="00853ADF"/>
    <w:rsid w:val="00854A9B"/>
    <w:rsid w:val="008559B8"/>
    <w:rsid w:val="00863AD7"/>
    <w:rsid w:val="00864DD3"/>
    <w:rsid w:val="00866277"/>
    <w:rsid w:val="00867CFC"/>
    <w:rsid w:val="00872226"/>
    <w:rsid w:val="008727B7"/>
    <w:rsid w:val="00872F18"/>
    <w:rsid w:val="008730EB"/>
    <w:rsid w:val="00874EF7"/>
    <w:rsid w:val="008753B7"/>
    <w:rsid w:val="00876312"/>
    <w:rsid w:val="00883F30"/>
    <w:rsid w:val="008860BE"/>
    <w:rsid w:val="008942C9"/>
    <w:rsid w:val="008A6693"/>
    <w:rsid w:val="008B15DB"/>
    <w:rsid w:val="008B3332"/>
    <w:rsid w:val="008B449D"/>
    <w:rsid w:val="008B7F86"/>
    <w:rsid w:val="008C06A5"/>
    <w:rsid w:val="008C22B3"/>
    <w:rsid w:val="008D06D3"/>
    <w:rsid w:val="008D1B39"/>
    <w:rsid w:val="008D3307"/>
    <w:rsid w:val="008E2853"/>
    <w:rsid w:val="008E57BB"/>
    <w:rsid w:val="008E6C4D"/>
    <w:rsid w:val="008E6F0C"/>
    <w:rsid w:val="008E75C5"/>
    <w:rsid w:val="008E7F29"/>
    <w:rsid w:val="008F00F3"/>
    <w:rsid w:val="008F3D6B"/>
    <w:rsid w:val="008F5A12"/>
    <w:rsid w:val="008F7F87"/>
    <w:rsid w:val="00900981"/>
    <w:rsid w:val="00901F7B"/>
    <w:rsid w:val="00902A65"/>
    <w:rsid w:val="0090315B"/>
    <w:rsid w:val="00905929"/>
    <w:rsid w:val="00907579"/>
    <w:rsid w:val="0091609B"/>
    <w:rsid w:val="0092091E"/>
    <w:rsid w:val="00922BC1"/>
    <w:rsid w:val="00923793"/>
    <w:rsid w:val="009255A2"/>
    <w:rsid w:val="00926E5F"/>
    <w:rsid w:val="00930617"/>
    <w:rsid w:val="00931376"/>
    <w:rsid w:val="00931D5A"/>
    <w:rsid w:val="00934F8D"/>
    <w:rsid w:val="00935EEF"/>
    <w:rsid w:val="00936D01"/>
    <w:rsid w:val="009431CA"/>
    <w:rsid w:val="00950310"/>
    <w:rsid w:val="00953F07"/>
    <w:rsid w:val="00954BF6"/>
    <w:rsid w:val="00956349"/>
    <w:rsid w:val="009568FA"/>
    <w:rsid w:val="00957DF3"/>
    <w:rsid w:val="0096036D"/>
    <w:rsid w:val="00974B55"/>
    <w:rsid w:val="00975A81"/>
    <w:rsid w:val="00977F01"/>
    <w:rsid w:val="00980874"/>
    <w:rsid w:val="0098654C"/>
    <w:rsid w:val="00990B9B"/>
    <w:rsid w:val="00990EA4"/>
    <w:rsid w:val="009944A4"/>
    <w:rsid w:val="00994743"/>
    <w:rsid w:val="009958E4"/>
    <w:rsid w:val="00997B12"/>
    <w:rsid w:val="009A1ADB"/>
    <w:rsid w:val="009A62E2"/>
    <w:rsid w:val="009A666B"/>
    <w:rsid w:val="009A6841"/>
    <w:rsid w:val="009A76C8"/>
    <w:rsid w:val="009B0CE7"/>
    <w:rsid w:val="009B1790"/>
    <w:rsid w:val="009B2161"/>
    <w:rsid w:val="009B32D9"/>
    <w:rsid w:val="009B3FBC"/>
    <w:rsid w:val="009B6056"/>
    <w:rsid w:val="009B699B"/>
    <w:rsid w:val="009B6BB8"/>
    <w:rsid w:val="009B74C8"/>
    <w:rsid w:val="009C154D"/>
    <w:rsid w:val="009C3C41"/>
    <w:rsid w:val="009E245A"/>
    <w:rsid w:val="009E7D89"/>
    <w:rsid w:val="009F1434"/>
    <w:rsid w:val="009F264E"/>
    <w:rsid w:val="009F4F48"/>
    <w:rsid w:val="009F753A"/>
    <w:rsid w:val="009F7672"/>
    <w:rsid w:val="00A063C2"/>
    <w:rsid w:val="00A1292D"/>
    <w:rsid w:val="00A17DA3"/>
    <w:rsid w:val="00A21B03"/>
    <w:rsid w:val="00A2219C"/>
    <w:rsid w:val="00A247A2"/>
    <w:rsid w:val="00A26E0B"/>
    <w:rsid w:val="00A33635"/>
    <w:rsid w:val="00A34F1F"/>
    <w:rsid w:val="00A41C8E"/>
    <w:rsid w:val="00A4212B"/>
    <w:rsid w:val="00A43875"/>
    <w:rsid w:val="00A4439C"/>
    <w:rsid w:val="00A45297"/>
    <w:rsid w:val="00A464CB"/>
    <w:rsid w:val="00A46661"/>
    <w:rsid w:val="00A50219"/>
    <w:rsid w:val="00A5026A"/>
    <w:rsid w:val="00A5061D"/>
    <w:rsid w:val="00A515F5"/>
    <w:rsid w:val="00A52629"/>
    <w:rsid w:val="00A606D4"/>
    <w:rsid w:val="00A60BD4"/>
    <w:rsid w:val="00A622D5"/>
    <w:rsid w:val="00A63677"/>
    <w:rsid w:val="00A6396D"/>
    <w:rsid w:val="00A64232"/>
    <w:rsid w:val="00A701C7"/>
    <w:rsid w:val="00A74E74"/>
    <w:rsid w:val="00A77243"/>
    <w:rsid w:val="00A803FA"/>
    <w:rsid w:val="00A81C53"/>
    <w:rsid w:val="00A82694"/>
    <w:rsid w:val="00A85447"/>
    <w:rsid w:val="00A937D9"/>
    <w:rsid w:val="00A9556F"/>
    <w:rsid w:val="00A97CF7"/>
    <w:rsid w:val="00AA54A6"/>
    <w:rsid w:val="00AA72F5"/>
    <w:rsid w:val="00AB0016"/>
    <w:rsid w:val="00AB1949"/>
    <w:rsid w:val="00AB1B0F"/>
    <w:rsid w:val="00AB3E7F"/>
    <w:rsid w:val="00AB7C11"/>
    <w:rsid w:val="00AC5E5C"/>
    <w:rsid w:val="00AD04F0"/>
    <w:rsid w:val="00AD2868"/>
    <w:rsid w:val="00AD5786"/>
    <w:rsid w:val="00AD6893"/>
    <w:rsid w:val="00AE185D"/>
    <w:rsid w:val="00AE2045"/>
    <w:rsid w:val="00AE46B0"/>
    <w:rsid w:val="00AE4CB3"/>
    <w:rsid w:val="00AE628E"/>
    <w:rsid w:val="00AF15B9"/>
    <w:rsid w:val="00AF4849"/>
    <w:rsid w:val="00AF5252"/>
    <w:rsid w:val="00B00836"/>
    <w:rsid w:val="00B02CE3"/>
    <w:rsid w:val="00B052C3"/>
    <w:rsid w:val="00B07C63"/>
    <w:rsid w:val="00B12771"/>
    <w:rsid w:val="00B15312"/>
    <w:rsid w:val="00B2185C"/>
    <w:rsid w:val="00B265C0"/>
    <w:rsid w:val="00B30F4C"/>
    <w:rsid w:val="00B367BE"/>
    <w:rsid w:val="00B37065"/>
    <w:rsid w:val="00B44C2D"/>
    <w:rsid w:val="00B44F1A"/>
    <w:rsid w:val="00B45A07"/>
    <w:rsid w:val="00B46767"/>
    <w:rsid w:val="00B46D2F"/>
    <w:rsid w:val="00B46E23"/>
    <w:rsid w:val="00B47884"/>
    <w:rsid w:val="00B47C54"/>
    <w:rsid w:val="00B52061"/>
    <w:rsid w:val="00B52859"/>
    <w:rsid w:val="00B53C27"/>
    <w:rsid w:val="00B56759"/>
    <w:rsid w:val="00B61EC4"/>
    <w:rsid w:val="00B6412E"/>
    <w:rsid w:val="00B649D5"/>
    <w:rsid w:val="00B65AE3"/>
    <w:rsid w:val="00B65E0D"/>
    <w:rsid w:val="00B66A21"/>
    <w:rsid w:val="00B67C0D"/>
    <w:rsid w:val="00B707C0"/>
    <w:rsid w:val="00B72B10"/>
    <w:rsid w:val="00B73AA7"/>
    <w:rsid w:val="00B7626D"/>
    <w:rsid w:val="00B773E9"/>
    <w:rsid w:val="00B809B3"/>
    <w:rsid w:val="00B850D9"/>
    <w:rsid w:val="00B855FB"/>
    <w:rsid w:val="00B86D1B"/>
    <w:rsid w:val="00B87615"/>
    <w:rsid w:val="00B9188E"/>
    <w:rsid w:val="00B94860"/>
    <w:rsid w:val="00B95933"/>
    <w:rsid w:val="00B97F67"/>
    <w:rsid w:val="00BA08C8"/>
    <w:rsid w:val="00BA0A58"/>
    <w:rsid w:val="00BA2F0A"/>
    <w:rsid w:val="00BA3C12"/>
    <w:rsid w:val="00BA5BF2"/>
    <w:rsid w:val="00BB2F20"/>
    <w:rsid w:val="00BB3628"/>
    <w:rsid w:val="00BB5AEE"/>
    <w:rsid w:val="00BC1C41"/>
    <w:rsid w:val="00BC4290"/>
    <w:rsid w:val="00BD1068"/>
    <w:rsid w:val="00BD234B"/>
    <w:rsid w:val="00BD26AD"/>
    <w:rsid w:val="00BD56BC"/>
    <w:rsid w:val="00BD653C"/>
    <w:rsid w:val="00BE1A35"/>
    <w:rsid w:val="00BE2ADA"/>
    <w:rsid w:val="00BE30B7"/>
    <w:rsid w:val="00BF0BF7"/>
    <w:rsid w:val="00BF0C78"/>
    <w:rsid w:val="00BF26C7"/>
    <w:rsid w:val="00BF3A67"/>
    <w:rsid w:val="00BF5713"/>
    <w:rsid w:val="00BF59F6"/>
    <w:rsid w:val="00BF715D"/>
    <w:rsid w:val="00BF71B4"/>
    <w:rsid w:val="00C07F95"/>
    <w:rsid w:val="00C1079D"/>
    <w:rsid w:val="00C10FE4"/>
    <w:rsid w:val="00C13753"/>
    <w:rsid w:val="00C1542A"/>
    <w:rsid w:val="00C2005E"/>
    <w:rsid w:val="00C220B7"/>
    <w:rsid w:val="00C26502"/>
    <w:rsid w:val="00C26570"/>
    <w:rsid w:val="00C353A0"/>
    <w:rsid w:val="00C36682"/>
    <w:rsid w:val="00C41367"/>
    <w:rsid w:val="00C42324"/>
    <w:rsid w:val="00C478EA"/>
    <w:rsid w:val="00C47C4A"/>
    <w:rsid w:val="00C510FD"/>
    <w:rsid w:val="00C51E33"/>
    <w:rsid w:val="00C554E6"/>
    <w:rsid w:val="00C57074"/>
    <w:rsid w:val="00C62BDF"/>
    <w:rsid w:val="00C65466"/>
    <w:rsid w:val="00C673B0"/>
    <w:rsid w:val="00C75F3D"/>
    <w:rsid w:val="00C81384"/>
    <w:rsid w:val="00C84D56"/>
    <w:rsid w:val="00C853D8"/>
    <w:rsid w:val="00C8566C"/>
    <w:rsid w:val="00C87783"/>
    <w:rsid w:val="00C90307"/>
    <w:rsid w:val="00C944EC"/>
    <w:rsid w:val="00C96E11"/>
    <w:rsid w:val="00C973F7"/>
    <w:rsid w:val="00CA0F72"/>
    <w:rsid w:val="00CA11F2"/>
    <w:rsid w:val="00CA1FBA"/>
    <w:rsid w:val="00CA24C5"/>
    <w:rsid w:val="00CA64BB"/>
    <w:rsid w:val="00CA6C32"/>
    <w:rsid w:val="00CA7BD3"/>
    <w:rsid w:val="00CA7E3E"/>
    <w:rsid w:val="00CB005D"/>
    <w:rsid w:val="00CB08A8"/>
    <w:rsid w:val="00CB1B4E"/>
    <w:rsid w:val="00CB67EA"/>
    <w:rsid w:val="00CB763E"/>
    <w:rsid w:val="00CC033F"/>
    <w:rsid w:val="00CC3865"/>
    <w:rsid w:val="00CC401B"/>
    <w:rsid w:val="00CC57BE"/>
    <w:rsid w:val="00CD00EA"/>
    <w:rsid w:val="00CD1B7E"/>
    <w:rsid w:val="00CD7E8A"/>
    <w:rsid w:val="00CE27F9"/>
    <w:rsid w:val="00CE2EA8"/>
    <w:rsid w:val="00CE6739"/>
    <w:rsid w:val="00CF0586"/>
    <w:rsid w:val="00CF0AE4"/>
    <w:rsid w:val="00CF7676"/>
    <w:rsid w:val="00D00A11"/>
    <w:rsid w:val="00D031F3"/>
    <w:rsid w:val="00D05555"/>
    <w:rsid w:val="00D056BA"/>
    <w:rsid w:val="00D06294"/>
    <w:rsid w:val="00D07D43"/>
    <w:rsid w:val="00D10420"/>
    <w:rsid w:val="00D15B0D"/>
    <w:rsid w:val="00D15C36"/>
    <w:rsid w:val="00D17C41"/>
    <w:rsid w:val="00D20F0C"/>
    <w:rsid w:val="00D21FE0"/>
    <w:rsid w:val="00D2329A"/>
    <w:rsid w:val="00D25918"/>
    <w:rsid w:val="00D27F8F"/>
    <w:rsid w:val="00D30C5D"/>
    <w:rsid w:val="00D328B8"/>
    <w:rsid w:val="00D33634"/>
    <w:rsid w:val="00D3591A"/>
    <w:rsid w:val="00D40910"/>
    <w:rsid w:val="00D43FC8"/>
    <w:rsid w:val="00D47A1D"/>
    <w:rsid w:val="00D51D40"/>
    <w:rsid w:val="00D52F90"/>
    <w:rsid w:val="00D55F59"/>
    <w:rsid w:val="00D6312F"/>
    <w:rsid w:val="00D64CBB"/>
    <w:rsid w:val="00D67CDB"/>
    <w:rsid w:val="00D72D13"/>
    <w:rsid w:val="00D73308"/>
    <w:rsid w:val="00D73367"/>
    <w:rsid w:val="00D74CFF"/>
    <w:rsid w:val="00D76AAB"/>
    <w:rsid w:val="00D8797B"/>
    <w:rsid w:val="00D905D6"/>
    <w:rsid w:val="00D91105"/>
    <w:rsid w:val="00D91678"/>
    <w:rsid w:val="00D92CCD"/>
    <w:rsid w:val="00D9396F"/>
    <w:rsid w:val="00D97C29"/>
    <w:rsid w:val="00DA1322"/>
    <w:rsid w:val="00DA3DB5"/>
    <w:rsid w:val="00DA4AE9"/>
    <w:rsid w:val="00DB0E58"/>
    <w:rsid w:val="00DB66E9"/>
    <w:rsid w:val="00DC08E0"/>
    <w:rsid w:val="00DC54C4"/>
    <w:rsid w:val="00DC6DF0"/>
    <w:rsid w:val="00DC781A"/>
    <w:rsid w:val="00DD489E"/>
    <w:rsid w:val="00DD6D1B"/>
    <w:rsid w:val="00DE1FDE"/>
    <w:rsid w:val="00DE2E58"/>
    <w:rsid w:val="00DE359D"/>
    <w:rsid w:val="00DE549E"/>
    <w:rsid w:val="00DF0220"/>
    <w:rsid w:val="00DF4F8A"/>
    <w:rsid w:val="00DF790A"/>
    <w:rsid w:val="00E003D2"/>
    <w:rsid w:val="00E03378"/>
    <w:rsid w:val="00E04954"/>
    <w:rsid w:val="00E04BD8"/>
    <w:rsid w:val="00E05E0F"/>
    <w:rsid w:val="00E06D63"/>
    <w:rsid w:val="00E107BB"/>
    <w:rsid w:val="00E14146"/>
    <w:rsid w:val="00E1603B"/>
    <w:rsid w:val="00E17112"/>
    <w:rsid w:val="00E22EA9"/>
    <w:rsid w:val="00E24A6B"/>
    <w:rsid w:val="00E252F2"/>
    <w:rsid w:val="00E2660D"/>
    <w:rsid w:val="00E30184"/>
    <w:rsid w:val="00E32A42"/>
    <w:rsid w:val="00E35E0F"/>
    <w:rsid w:val="00E36F6B"/>
    <w:rsid w:val="00E371D1"/>
    <w:rsid w:val="00E47EB2"/>
    <w:rsid w:val="00E53738"/>
    <w:rsid w:val="00E61227"/>
    <w:rsid w:val="00E65AB9"/>
    <w:rsid w:val="00E660E7"/>
    <w:rsid w:val="00E6710A"/>
    <w:rsid w:val="00E71B63"/>
    <w:rsid w:val="00E84F3B"/>
    <w:rsid w:val="00E901D4"/>
    <w:rsid w:val="00E919DB"/>
    <w:rsid w:val="00E92CC3"/>
    <w:rsid w:val="00E95C98"/>
    <w:rsid w:val="00E95E5A"/>
    <w:rsid w:val="00E96594"/>
    <w:rsid w:val="00EA1C9E"/>
    <w:rsid w:val="00EA2676"/>
    <w:rsid w:val="00EA6697"/>
    <w:rsid w:val="00EA736A"/>
    <w:rsid w:val="00EB0DB3"/>
    <w:rsid w:val="00EB144C"/>
    <w:rsid w:val="00EB3A0C"/>
    <w:rsid w:val="00EB6860"/>
    <w:rsid w:val="00EC4414"/>
    <w:rsid w:val="00EC5178"/>
    <w:rsid w:val="00EC7DFE"/>
    <w:rsid w:val="00ED19A9"/>
    <w:rsid w:val="00ED35BF"/>
    <w:rsid w:val="00ED3FD5"/>
    <w:rsid w:val="00ED450F"/>
    <w:rsid w:val="00ED5F67"/>
    <w:rsid w:val="00EE1C5F"/>
    <w:rsid w:val="00EF0113"/>
    <w:rsid w:val="00EF08AE"/>
    <w:rsid w:val="00EF24DF"/>
    <w:rsid w:val="00EF2813"/>
    <w:rsid w:val="00EF480F"/>
    <w:rsid w:val="00EF4B63"/>
    <w:rsid w:val="00EF5790"/>
    <w:rsid w:val="00EF5916"/>
    <w:rsid w:val="00EF7C5F"/>
    <w:rsid w:val="00F00AEA"/>
    <w:rsid w:val="00F03FD7"/>
    <w:rsid w:val="00F05325"/>
    <w:rsid w:val="00F0602A"/>
    <w:rsid w:val="00F060A7"/>
    <w:rsid w:val="00F07349"/>
    <w:rsid w:val="00F12C6B"/>
    <w:rsid w:val="00F15F19"/>
    <w:rsid w:val="00F17EBA"/>
    <w:rsid w:val="00F23C32"/>
    <w:rsid w:val="00F256A6"/>
    <w:rsid w:val="00F25D7E"/>
    <w:rsid w:val="00F265D6"/>
    <w:rsid w:val="00F31DF8"/>
    <w:rsid w:val="00F334AA"/>
    <w:rsid w:val="00F40A56"/>
    <w:rsid w:val="00F44489"/>
    <w:rsid w:val="00F44B81"/>
    <w:rsid w:val="00F475EF"/>
    <w:rsid w:val="00F5003E"/>
    <w:rsid w:val="00F5478B"/>
    <w:rsid w:val="00F56012"/>
    <w:rsid w:val="00F60ABD"/>
    <w:rsid w:val="00F62E9D"/>
    <w:rsid w:val="00F67F7C"/>
    <w:rsid w:val="00F7183A"/>
    <w:rsid w:val="00F75CDE"/>
    <w:rsid w:val="00F7756F"/>
    <w:rsid w:val="00F77B94"/>
    <w:rsid w:val="00F839FD"/>
    <w:rsid w:val="00F84450"/>
    <w:rsid w:val="00F84E5A"/>
    <w:rsid w:val="00F91EE4"/>
    <w:rsid w:val="00F93966"/>
    <w:rsid w:val="00F955F9"/>
    <w:rsid w:val="00FA073F"/>
    <w:rsid w:val="00FB001F"/>
    <w:rsid w:val="00FB1817"/>
    <w:rsid w:val="00FB7172"/>
    <w:rsid w:val="00FB7ED8"/>
    <w:rsid w:val="00FC2B72"/>
    <w:rsid w:val="00FC31CD"/>
    <w:rsid w:val="00FC3FB7"/>
    <w:rsid w:val="00FC7344"/>
    <w:rsid w:val="00FD0B6F"/>
    <w:rsid w:val="00FD13FB"/>
    <w:rsid w:val="00FD2F4A"/>
    <w:rsid w:val="00FD34C6"/>
    <w:rsid w:val="00FD3F3F"/>
    <w:rsid w:val="00FE37C1"/>
    <w:rsid w:val="00FE44F3"/>
    <w:rsid w:val="00FE58BF"/>
    <w:rsid w:val="00FE6F10"/>
    <w:rsid w:val="00FE7490"/>
    <w:rsid w:val="00FF272F"/>
    <w:rsid w:val="00FF32BE"/>
    <w:rsid w:val="00FF4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0F61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0F6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avidstevens@uta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A74AA-BA72-4157-91BF-C601BD942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1125</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8279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2</cp:revision>
  <cp:lastPrinted>2011-06-21T20:32:00Z</cp:lastPrinted>
  <dcterms:created xsi:type="dcterms:W3CDTF">2017-05-03T20:25:00Z</dcterms:created>
  <dcterms:modified xsi:type="dcterms:W3CDTF">2017-05-03T20:25:00Z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