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8" w:line="275" w:lineRule="auto"/>
        <w:ind w:left="3625" w:right="2816" w:hanging="693.0000000000001"/>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TRANSPORTATION POOLED FUND PROGRAM QUARTERLY PROGRESS REPORT</w:t>
      </w:r>
      <w:r w:rsidDel="00000000" w:rsidR="00000000" w:rsidRPr="00000000">
        <w:rPr>
          <w:rtl w:val="0"/>
        </w:rPr>
      </w:r>
    </w:p>
    <w:p w:rsidR="00000000" w:rsidDel="00000000" w:rsidP="00000000" w:rsidRDefault="00000000" w:rsidRPr="00000000" w14:paraId="00000002">
      <w:pPr>
        <w:tabs>
          <w:tab w:val="left" w:pos="10911"/>
        </w:tabs>
        <w:spacing w:line="239" w:lineRule="auto"/>
        <w:ind w:left="2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left" w:pos="10911"/>
        </w:tabs>
        <w:spacing w:line="239" w:lineRule="auto"/>
        <w:ind w:left="2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Lead Agency (FHWA or State DOT):  </w:t>
      </w:r>
      <w:r w:rsidDel="00000000" w:rsidR="00000000" w:rsidRPr="00000000">
        <w:rPr>
          <w:rFonts w:ascii="Arial" w:cs="Arial" w:eastAsia="Arial" w:hAnsi="Arial"/>
          <w:sz w:val="24"/>
          <w:szCs w:val="24"/>
          <w:u w:val="single"/>
          <w:rtl w:val="0"/>
        </w:rPr>
        <w:t xml:space="preserve">Colorado Department of Transportation</w:t>
      </w:r>
      <w:r w:rsidDel="00000000" w:rsidR="00000000" w:rsidRPr="00000000">
        <w:rPr>
          <w:rtl w:val="0"/>
        </w:rPr>
      </w:r>
    </w:p>
    <w:p w:rsidR="00000000" w:rsidDel="00000000" w:rsidP="00000000" w:rsidRDefault="00000000" w:rsidRPr="00000000" w14:paraId="00000004">
      <w:pPr>
        <w:spacing w:before="7"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before="74" w:lineRule="auto"/>
        <w:ind w:left="22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4" w:line="276" w:lineRule="auto"/>
        <w:ind w:left="220" w:right="10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r w:rsidDel="00000000" w:rsidR="00000000" w:rsidRPr="00000000">
        <w:rPr>
          <w:rtl w:val="0"/>
        </w:rPr>
      </w:r>
    </w:p>
    <w:p w:rsidR="00000000" w:rsidDel="00000000" w:rsidP="00000000" w:rsidRDefault="00000000" w:rsidRPr="00000000" w14:paraId="00000007">
      <w:pPr>
        <w:spacing w:before="11" w:lineRule="auto"/>
        <w:rPr>
          <w:rFonts w:ascii="Arial" w:cs="Arial" w:eastAsia="Arial" w:hAnsi="Arial"/>
          <w:i w:val="1"/>
          <w:sz w:val="27"/>
          <w:szCs w:val="27"/>
        </w:rPr>
      </w:pPr>
      <w:r w:rsidDel="00000000" w:rsidR="00000000" w:rsidRPr="00000000">
        <w:rPr>
          <w:rtl w:val="0"/>
        </w:rPr>
      </w:r>
    </w:p>
    <w:tbl>
      <w:tblPr>
        <w:tblStyle w:val="Table1"/>
        <w:tblW w:w="10908.0" w:type="dxa"/>
        <w:jc w:val="left"/>
        <w:tblInd w:w="106.0" w:type="dxa"/>
        <w:tblLayout w:type="fixed"/>
        <w:tblLook w:val="0000"/>
      </w:tblPr>
      <w:tblGrid>
        <w:gridCol w:w="4159"/>
        <w:gridCol w:w="1260"/>
        <w:gridCol w:w="2069"/>
        <w:gridCol w:w="3420"/>
        <w:tblGridChange w:id="0">
          <w:tblGrid>
            <w:gridCol w:w="4159"/>
            <w:gridCol w:w="1260"/>
            <w:gridCol w:w="2069"/>
            <w:gridCol w:w="3420"/>
          </w:tblGrid>
        </w:tblGridChange>
      </w:tblGrid>
      <w:tr>
        <w:trPr>
          <w:cantSplit w:val="0"/>
          <w:trHeight w:val="2006" w:hRule="atLeast"/>
          <w:tblHeader w:val="0"/>
        </w:trPr>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Transportation Pooled Fund Program Project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88"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TPF-5(380)</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Transportation Pooled Fund Program - Report Period:</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1 (January 1 – March 31)</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color w:val="000000"/>
                <w:sz w:val="20"/>
                <w:szCs w:val="20"/>
                <w:rtl w:val="0"/>
              </w:rPr>
              <w:t xml:space="preserve">Quarter 2 (April 1 – June 30)</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413" w:lineRule="auto"/>
              <w:ind w:left="99" w:firstLine="0"/>
              <w:rPr>
                <w:rFonts w:ascii="Arial" w:cs="Arial" w:eastAsia="Arial" w:hAnsi="Arial"/>
                <w:color w:val="000000"/>
                <w:sz w:val="20"/>
                <w:szCs w:val="20"/>
              </w:rPr>
            </w:pPr>
            <w:bookmarkStart w:colFirst="0" w:colLast="0" w:name="_heading=h.gjdgxs" w:id="0"/>
            <w:bookmarkEnd w:id="0"/>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color w:val="000000"/>
                <w:sz w:val="20"/>
                <w:szCs w:val="20"/>
                <w:rtl w:val="0"/>
              </w:rPr>
              <w:t xml:space="preserve">Quarter 3 (July 1 – September 30)</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413" w:lineRule="auto"/>
              <w:ind w:left="99" w:firstLine="0"/>
              <w:rPr>
                <w:rFonts w:ascii="Arial" w:cs="Arial" w:eastAsia="Arial" w:hAnsi="Arial"/>
                <w:color w:val="000000"/>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Arial" w:cs="Arial" w:eastAsia="Arial" w:hAnsi="Arial"/>
                <w:color w:val="000000"/>
                <w:sz w:val="20"/>
                <w:szCs w:val="20"/>
                <w:rtl w:val="0"/>
              </w:rPr>
              <w:t xml:space="preserve">Quarter 4 (October 1 – December 31)</w:t>
            </w:r>
          </w:p>
        </w:tc>
      </w:tr>
      <w:tr>
        <w:trPr>
          <w:cantSplit w:val="0"/>
          <w:trHeight w:val="701" w:hRule="atLeast"/>
          <w:tblHeader w:val="0"/>
        </w:trPr>
        <w:tc>
          <w:tcPr>
            <w:gridSpan w:val="4"/>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Project Title: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95" w:lineRule="auto"/>
              <w:ind w:left="295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Autonomous Maintenance Technology (AMT) Pool Fund</w:t>
            </w:r>
          </w:p>
        </w:tc>
      </w:tr>
      <w:tr>
        <w:trPr>
          <w:cantSplit w:val="0"/>
          <w:trHeight w:val="69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Name of Project Manager(s):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93"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David Reeves</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Phone Number: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93" w:lineRule="auto"/>
              <w:ind w:left="103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303-757-9518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E-Mail</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93" w:lineRule="auto"/>
              <w:ind w:left="553" w:firstLine="0"/>
              <w:rPr>
                <w:rFonts w:ascii="Arial" w:cs="Arial" w:eastAsia="Arial" w:hAnsi="Arial"/>
                <w:color w:val="000000"/>
                <w:sz w:val="20"/>
                <w:szCs w:val="20"/>
              </w:rPr>
            </w:pPr>
            <w:hyperlink r:id="rId7">
              <w:r w:rsidDel="00000000" w:rsidR="00000000" w:rsidRPr="00000000">
                <w:rPr>
                  <w:rFonts w:ascii="Arial" w:cs="Arial" w:eastAsia="Arial" w:hAnsi="Arial"/>
                  <w:color w:val="000000"/>
                  <w:sz w:val="20"/>
                  <w:szCs w:val="20"/>
                  <w:rtl w:val="0"/>
                </w:rPr>
                <w:t xml:space="preserve">david.reeves@state.co.us</w:t>
              </w:r>
            </w:hyperlink>
            <w:r w:rsidDel="00000000" w:rsidR="00000000" w:rsidRPr="00000000">
              <w:rPr>
                <w:rtl w:val="0"/>
              </w:rPr>
            </w:r>
          </w:p>
        </w:tc>
      </w:tr>
      <w:tr>
        <w:trPr>
          <w:cantSplit w:val="0"/>
          <w:trHeight w:val="7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Lead Agency Project ID:</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95"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WBS 22610.06.01</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Other Project ID (i.e., contract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01" w:lineRule="auto"/>
              <w:ind w:left="55" w:firstLine="0"/>
              <w:rPr>
                <w:rFonts w:ascii="Arial" w:cs="Arial" w:eastAsia="Arial" w:hAnsi="Arial"/>
                <w:color w:val="000000"/>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24" w:lineRule="auto"/>
              <w:ind w:left="102" w:firstLine="0"/>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Project Start Date: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01" w:lineRule="auto"/>
              <w:ind w:left="55"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8/14/2018</w:t>
            </w:r>
          </w:p>
        </w:tc>
      </w:tr>
      <w:tr>
        <w:trPr>
          <w:cantSplit w:val="0"/>
          <w:trHeight w:val="7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Original Project End Date: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01" w:lineRule="auto"/>
              <w:ind w:left="55"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12/31/2024</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24" w:lineRule="auto"/>
              <w:ind w:left="99"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Current Project End Date: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95"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12/31/2024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Number of Extensions: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95" w:lineRule="auto"/>
              <w:ind w:left="28"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w:t>
            </w:r>
          </w:p>
        </w:tc>
      </w:tr>
    </w:tbl>
    <w:p w:rsidR="00000000" w:rsidDel="00000000" w:rsidP="00000000" w:rsidRDefault="00000000" w:rsidRPr="00000000" w14:paraId="0000002B">
      <w:pPr>
        <w:spacing w:before="5" w:lineRule="auto"/>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2C">
      <w:pPr>
        <w:pStyle w:val="Heading1"/>
        <w:ind w:firstLine="220"/>
        <w:rPr/>
      </w:pPr>
      <w:r w:rsidDel="00000000" w:rsidR="00000000" w:rsidRPr="00000000">
        <w:rPr>
          <w:rtl w:val="0"/>
        </w:rPr>
        <w:t xml:space="preserve">Project schedule status:</w:t>
      </w:r>
    </w:p>
    <w:p w:rsidR="00000000" w:rsidDel="00000000" w:rsidP="00000000" w:rsidRDefault="00000000" w:rsidRPr="00000000" w14:paraId="0000002D">
      <w:pPr>
        <w:tabs>
          <w:tab w:val="left" w:pos="2379"/>
          <w:tab w:val="left" w:pos="5259"/>
          <w:tab w:val="left" w:pos="8139"/>
        </w:tabs>
        <w:spacing w:before="30" w:lineRule="auto"/>
        <w:ind w:left="2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On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On revised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0"/>
          <w:szCs w:val="20"/>
          <w:rtl w:val="0"/>
        </w:rPr>
        <w:t xml:space="preserve">Ahead of schedule</w:t>
        <w:tab/>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0"/>
          <w:szCs w:val="20"/>
          <w:rtl w:val="0"/>
        </w:rPr>
        <w:t xml:space="preserve">Behind schedule</w:t>
      </w:r>
    </w:p>
    <w:p w:rsidR="00000000" w:rsidDel="00000000" w:rsidP="00000000" w:rsidRDefault="00000000" w:rsidRPr="00000000" w14:paraId="0000002E">
      <w:pPr>
        <w:spacing w:before="5"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before="74" w:lineRule="auto"/>
        <w:ind w:left="2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Overall Project Statistics:</w:t>
      </w:r>
    </w:p>
    <w:p w:rsidR="00000000" w:rsidDel="00000000" w:rsidP="00000000" w:rsidRDefault="00000000" w:rsidRPr="00000000" w14:paraId="00000030">
      <w:pPr>
        <w:spacing w:before="10" w:lineRule="auto"/>
        <w:rPr>
          <w:rFonts w:ascii="Arial" w:cs="Arial" w:eastAsia="Arial" w:hAnsi="Arial"/>
          <w:sz w:val="2"/>
          <w:szCs w:val="2"/>
        </w:rPr>
      </w:pPr>
      <w:r w:rsidDel="00000000" w:rsidR="00000000" w:rsidRPr="00000000">
        <w:rPr>
          <w:rtl w:val="0"/>
        </w:rPr>
      </w:r>
    </w:p>
    <w:tbl>
      <w:tblPr>
        <w:tblStyle w:val="Table2"/>
        <w:tblW w:w="10908.0" w:type="dxa"/>
        <w:jc w:val="left"/>
        <w:tblInd w:w="106.0" w:type="dxa"/>
        <w:tblLayout w:type="fixed"/>
        <w:tblLook w:val="0000"/>
      </w:tblPr>
      <w:tblGrid>
        <w:gridCol w:w="4159"/>
        <w:gridCol w:w="3329"/>
        <w:gridCol w:w="3420"/>
        <w:tblGridChange w:id="0">
          <w:tblGrid>
            <w:gridCol w:w="4159"/>
            <w:gridCol w:w="3329"/>
            <w:gridCol w:w="3420"/>
          </w:tblGrid>
        </w:tblGridChange>
      </w:tblGrid>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4" w:lineRule="auto"/>
              <w:ind w:left="110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Project Budget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24" w:lineRule="auto"/>
              <w:ind w:left="3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Cost to Date for Project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711" w:right="873" w:hanging="55"/>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Percentage of Work Completed to Date</w:t>
            </w:r>
            <w:r w:rsidDel="00000000" w:rsidR="00000000" w:rsidRPr="00000000">
              <w:rPr>
                <w:rtl w:val="0"/>
              </w:rPr>
            </w:r>
          </w:p>
        </w:tc>
      </w:tr>
      <w:tr>
        <w:trPr>
          <w:cantSplit w:val="0"/>
          <w:trHeight w:val="6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jc w:val="center"/>
              <w:rPr/>
            </w:pPr>
            <w:r w:rsidDel="00000000" w:rsidR="00000000" w:rsidRPr="00000000">
              <w:rPr>
                <w:rtl w:val="0"/>
              </w:rPr>
              <w:t xml:space="preserve">$297,297 (4 projects encumbered)</w:t>
            </w:r>
          </w:p>
          <w:p w:rsidR="00000000" w:rsidDel="00000000" w:rsidP="00000000" w:rsidRDefault="00000000" w:rsidRPr="00000000" w14:paraId="00000035">
            <w:pPr>
              <w:jc w:val="center"/>
              <w:rPr/>
            </w:pPr>
            <w:r w:rsidDel="00000000" w:rsidR="00000000" w:rsidRPr="00000000">
              <w:rPr>
                <w:rtl w:val="0"/>
              </w:rPr>
              <w:t xml:space="preserve">$975,000 (transferred to CDOT)</w:t>
            </w:r>
          </w:p>
          <w:p w:rsidR="00000000" w:rsidDel="00000000" w:rsidP="00000000" w:rsidRDefault="00000000" w:rsidRPr="00000000" w14:paraId="00000036">
            <w:pPr>
              <w:jc w:val="center"/>
              <w:rPr/>
            </w:pPr>
            <w:r w:rsidDel="00000000" w:rsidR="00000000" w:rsidRPr="00000000">
              <w:rPr>
                <w:rtl w:val="0"/>
              </w:rPr>
              <w:t xml:space="preserve">$455,221 (Available for future projects)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rPr/>
            </w:pPr>
            <w:r w:rsidDel="00000000" w:rsidR="00000000" w:rsidRPr="00000000">
              <w:rPr>
                <w:rtl w:val="0"/>
              </w:rPr>
              <w:t xml:space="preserve"> $170,415 (amount invoiced to date)</w:t>
            </w:r>
          </w:p>
          <w:p w:rsidR="00000000" w:rsidDel="00000000" w:rsidP="00000000" w:rsidRDefault="00000000" w:rsidRPr="00000000" w14:paraId="0000003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18" w:lineRule="auto"/>
              <w:ind w:left="2" w:firstLine="0"/>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57</w:t>
            </w: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3A">
      <w:pPr>
        <w:spacing w:before="5"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B">
      <w:pPr>
        <w:spacing w:before="74" w:lineRule="auto"/>
        <w:ind w:left="220" w:firstLine="0"/>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Quarterly </w:t>
      </w:r>
      <w:r w:rsidDel="00000000" w:rsidR="00000000" w:rsidRPr="00000000">
        <w:rPr>
          <w:rFonts w:ascii="Arial" w:cs="Arial" w:eastAsia="Arial" w:hAnsi="Arial"/>
          <w:sz w:val="20"/>
          <w:szCs w:val="20"/>
          <w:rtl w:val="0"/>
        </w:rPr>
        <w:t xml:space="preserve">Project Statistics:</w:t>
      </w:r>
    </w:p>
    <w:p w:rsidR="00000000" w:rsidDel="00000000" w:rsidP="00000000" w:rsidRDefault="00000000" w:rsidRPr="00000000" w14:paraId="0000003C">
      <w:pPr>
        <w:spacing w:before="10" w:lineRule="auto"/>
        <w:rPr>
          <w:rFonts w:ascii="Arial" w:cs="Arial" w:eastAsia="Arial" w:hAnsi="Arial"/>
          <w:sz w:val="2"/>
          <w:szCs w:val="2"/>
        </w:rPr>
      </w:pPr>
      <w:r w:rsidDel="00000000" w:rsidR="00000000" w:rsidRPr="00000000">
        <w:rPr>
          <w:rtl w:val="0"/>
        </w:rPr>
      </w:r>
    </w:p>
    <w:tbl>
      <w:tblPr>
        <w:tblStyle w:val="Table3"/>
        <w:tblW w:w="10908.0" w:type="dxa"/>
        <w:jc w:val="left"/>
        <w:tblInd w:w="106.0" w:type="dxa"/>
        <w:tblLayout w:type="fixed"/>
        <w:tblLook w:val="0000"/>
      </w:tblPr>
      <w:tblGrid>
        <w:gridCol w:w="4159"/>
        <w:gridCol w:w="3329"/>
        <w:gridCol w:w="3420"/>
        <w:tblGridChange w:id="0">
          <w:tblGrid>
            <w:gridCol w:w="4159"/>
            <w:gridCol w:w="3329"/>
            <w:gridCol w:w="3420"/>
          </w:tblGrid>
        </w:tblGridChange>
      </w:tblGrid>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656" w:right="755" w:firstLine="275"/>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Project Expenses and Percentage This Quarter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433" w:right="683" w:hanging="57.00000000000003"/>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Amount of Funds Expended This Quarter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adada"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656" w:right="950" w:hanging="57.00000000000003"/>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Total Percentage of Time Used to Date</w:t>
            </w:r>
            <w:r w:rsidDel="00000000" w:rsidR="00000000" w:rsidRPr="00000000">
              <w:rPr>
                <w:rtl w:val="0"/>
              </w:rPr>
            </w:r>
          </w:p>
        </w:tc>
      </w:tr>
      <w:tr>
        <w:trPr>
          <w:cantSplit w:val="0"/>
          <w:trHeight w:val="47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jc w:val="center"/>
              <w:rPr/>
            </w:pPr>
            <w:r w:rsidDel="00000000" w:rsidR="00000000" w:rsidRPr="00000000">
              <w:rPr>
                <w:rtl w:val="0"/>
              </w:rPr>
              <w:t xml:space="preserve">Ongoing Project (N/A)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jc w:val="center"/>
              <w:rPr/>
            </w:pPr>
            <w:r w:rsidDel="00000000" w:rsidR="00000000" w:rsidRPr="00000000">
              <w:rPr>
                <w:rtl w:val="0"/>
              </w:rPr>
              <w:t xml:space="preserve">Ongoing Project (N/A)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tl w:val="0"/>
              </w:rPr>
              <w:t xml:space="preserve">Ongoing Project (N/A)</w:t>
            </w:r>
            <w:r w:rsidDel="00000000" w:rsidR="00000000" w:rsidRPr="00000000">
              <w:rPr>
                <w:rtl w:val="0"/>
              </w:rPr>
            </w:r>
          </w:p>
        </w:tc>
      </w:tr>
    </w:tbl>
    <w:p w:rsidR="00000000" w:rsidDel="00000000" w:rsidP="00000000" w:rsidRDefault="00000000" w:rsidRPr="00000000" w14:paraId="00000043">
      <w:pPr>
        <w:jc w:val="center"/>
        <w:rPr>
          <w:rFonts w:ascii="Arial" w:cs="Arial" w:eastAsia="Arial" w:hAnsi="Arial"/>
          <w:sz w:val="20"/>
          <w:szCs w:val="20"/>
        </w:rPr>
        <w:sectPr>
          <w:footerReference r:id="rId8" w:type="default"/>
          <w:pgSz w:h="15840" w:w="12240" w:orient="portrait"/>
          <w:pgMar w:bottom="1200" w:top="660" w:left="500" w:right="620" w:header="720" w:footer="1017"/>
          <w:pgNumType w:start="1"/>
        </w:sectPr>
      </w:pPr>
      <w:r w:rsidDel="00000000" w:rsidR="00000000" w:rsidRPr="00000000">
        <w:rPr>
          <w:rtl w:val="0"/>
        </w:rPr>
      </w:r>
    </w:p>
    <w:p w:rsidR="00000000" w:rsidDel="00000000" w:rsidP="00000000" w:rsidRDefault="00000000" w:rsidRPr="00000000" w14:paraId="00000044">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5">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45630" cy="5594564"/>
                <wp:effectExtent b="0" l="0" r="0" t="0"/>
                <wp:docPr id="26" name=""/>
                <a:graphic>
                  <a:graphicData uri="http://schemas.microsoft.com/office/word/2010/wordprocessingShape">
                    <wps:wsp>
                      <wps:cNvSpPr/>
                      <wps:cNvPr id="3" name="Shape 3"/>
                      <wps:spPr>
                        <a:xfrm>
                          <a:off x="1882710" y="994467"/>
                          <a:ext cx="6926580" cy="5571067"/>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Description</w:t>
                            </w:r>
                            <w:r w:rsidDel="00000000" w:rsidR="00000000" w:rsidRPr="00000000">
                              <w:rPr>
                                <w:rFonts w:ascii="Arial" w:cs="Arial" w:eastAsia="Arial" w:hAnsi="Arial"/>
                                <w:b w:val="0"/>
                                <w:i w:val="0"/>
                                <w:smallCaps w:val="0"/>
                                <w:strike w:val="0"/>
                                <w:color w:val="000000"/>
                                <w:sz w:val="20"/>
                                <w:vertAlign w:val="baseline"/>
                              </w:rPr>
                              <w:t xml:space="preserve">:</w:t>
                            </w:r>
                          </w:p>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70"/>
                              <w:ind w:left="180" w:right="216.00000381469727"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The Colorado Department of Transportation (CDOT) has helped to develop a first</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of</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spread deployment nationwide in DOT maintenance operations.</w:t>
                            </w:r>
                          </w:p>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Currently there are five projects related to this pooled fund:</w:t>
                            </w: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77.000093460083"/>
                              <w:ind w:left="555" w:right="272.00000762939453" w:firstLine="91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5380-18-01 AMT Coordination (CSU) $71,700 - Dr. Tom Bradley (PI), Ann Batchelor (PM). Colorado State University (CSU). Provides administrative management and support of the pool fund. This includes travel for annual meetings.</w:t>
                            </w:r>
                          </w:p>
                          <w:p w:rsidR="00000000" w:rsidDel="00000000" w:rsidP="00000000" w:rsidRDefault="00000000" w:rsidRPr="00000000">
                            <w:pPr>
                              <w:spacing w:after="0" w:before="12.000000476837158" w:line="240"/>
                              <w:ind w:left="555" w:right="0" w:firstLine="91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5380-19-03 ATMA Dev Guide (MST) $92,572 - Dr. Xianbiao (XB) Hu (PI). Missouri University of Science and Technology (MST)</w:t>
                            </w:r>
                          </w:p>
                          <w:p w:rsidR="00000000" w:rsidDel="00000000" w:rsidP="00000000" w:rsidRDefault="00000000" w:rsidRPr="00000000">
                            <w:pPr>
                              <w:spacing w:after="0" w:before="12.000000476837158" w:line="240"/>
                              <w:ind w:left="555" w:right="0" w:firstLine="91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5380-20-04 ATMA Tabletop $22,300 – Will Moorhead (PI), All Clear Emergency Management, Golden, Colorado </w:t>
                            </w:r>
                          </w:p>
                          <w:p w:rsidR="00000000" w:rsidDel="00000000" w:rsidP="00000000" w:rsidRDefault="00000000" w:rsidRPr="00000000">
                            <w:pPr>
                              <w:spacing w:after="0" w:before="12.000000476837158" w:line="240"/>
                              <w:ind w:left="555" w:right="0" w:firstLine="91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5380-20-05 ATMA Cybersecurity Complement $50,000 – Dr. Jeremy Daily (PI), Colorado State University, Fort Collins.</w:t>
                            </w:r>
                          </w:p>
                          <w:p w:rsidR="00000000" w:rsidDel="00000000" w:rsidP="00000000" w:rsidRDefault="00000000" w:rsidRPr="00000000">
                            <w:pPr>
                              <w:spacing w:after="0" w:before="12.000000476837158" w:line="240"/>
                              <w:ind w:left="555" w:right="0" w:firstLine="91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5380-20-06 ATMA Documentation $130,000 – Dr. Xianbiao (XB) Hu (PI), Missouri Tech University.</w:t>
                            </w:r>
                          </w:p>
                          <w:p w:rsidR="00000000" w:rsidDel="00000000" w:rsidP="00000000" w:rsidRDefault="00000000" w:rsidRPr="00000000">
                            <w:pPr>
                              <w:spacing w:after="0" w:before="12.000000476837158" w:line="240"/>
                              <w:ind w:left="1280" w:right="0" w:firstLine="256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18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Each project has a separate quarterly progress report in the lead’s state desired format.</w:t>
                            </w:r>
                            <w:r w:rsidDel="00000000" w:rsidR="00000000" w:rsidRPr="00000000">
                              <w:rPr>
                                <w:rFonts w:ascii="Arial" w:cs="Arial" w:eastAsia="Arial" w:hAnsi="Arial"/>
                                <w:b w:val="0"/>
                                <w:i w:val="0"/>
                                <w:smallCaps w:val="0"/>
                                <w:strike w:val="0"/>
                                <w:color w:val="000000"/>
                                <w:sz w:val="20"/>
                                <w:vertAlign w:val="baseline"/>
                              </w:rPr>
                              <w:br w:type="textWrapping"/>
                            </w:r>
                          </w:p>
                        </w:txbxContent>
                      </wps:txbx>
                      <wps:bodyPr anchorCtr="0" anchor="t" bIns="0" lIns="0" spcFirstLastPara="1" rIns="0" wrap="square" tIns="0">
                        <a:noAutofit/>
                      </wps:bodyPr>
                    </wps:wsp>
                  </a:graphicData>
                </a:graphic>
              </wp:inline>
            </w:drawing>
          </mc:Choice>
          <mc:Fallback>
            <w:drawing>
              <wp:inline distB="0" distT="0" distL="0" distR="0">
                <wp:extent cx="6945630" cy="5594564"/>
                <wp:effectExtent b="0" l="0" r="0" t="0"/>
                <wp:docPr id="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945630" cy="559456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before="11"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ind w:left="112" w:firstLine="0"/>
        <w:rPr>
          <w:rFonts w:ascii="Times New Roman" w:cs="Times New Roman" w:eastAsia="Times New Roman" w:hAnsi="Times New Roman"/>
          <w:sz w:val="20"/>
          <w:szCs w:val="20"/>
        </w:rPr>
        <w:sectPr>
          <w:type w:val="nextPage"/>
          <w:pgSz w:h="15840" w:w="12240" w:orient="portrait"/>
          <w:pgMar w:bottom="1200" w:top="640" w:left="500" w:right="620" w:header="0" w:footer="1017"/>
        </w:sect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45630" cy="7355317"/>
                <wp:effectExtent b="0" l="0" r="0" t="0"/>
                <wp:docPr id="25" name=""/>
                <a:graphic>
                  <a:graphicData uri="http://schemas.microsoft.com/office/word/2010/wordprocessingShape">
                    <wps:wsp>
                      <wps:cNvSpPr/>
                      <wps:cNvPr id="2" name="Shape 2"/>
                      <wps:spPr>
                        <a:xfrm>
                          <a:off x="1882710" y="177434"/>
                          <a:ext cx="6926580" cy="720513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Progress this Quarter (includes meetings, work plan status, contract status, significant progress, etc.):</w:t>
                            </w:r>
                          </w:p>
                          <w:p w:rsidR="00000000" w:rsidDel="00000000" w:rsidP="00000000" w:rsidRDefault="00000000" w:rsidRPr="00000000">
                            <w:pPr>
                              <w:spacing w:after="0" w:before="123.00000190734863" w:line="240"/>
                              <w:ind w:left="60" w:right="0" w:firstLine="241.00000381469727"/>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Progress in Q</w:t>
                            </w:r>
                            <w:r w:rsidDel="00000000" w:rsidR="00000000" w:rsidRPr="00000000">
                              <w:rPr>
                                <w:rFonts w:ascii="Arial" w:cs="Arial" w:eastAsia="Arial" w:hAnsi="Arial"/>
                                <w:b w:val="0"/>
                                <w:i w:val="0"/>
                                <w:smallCaps w:val="0"/>
                                <w:strike w:val="0"/>
                                <w:color w:val="000000"/>
                                <w:sz w:val="20"/>
                                <w:vertAlign w:val="baseline"/>
                              </w:rPr>
                              <w:t xml:space="preserve">3 </w:t>
                            </w:r>
                            <w:r w:rsidDel="00000000" w:rsidR="00000000" w:rsidRPr="00000000">
                              <w:rPr>
                                <w:rFonts w:ascii="Arial" w:cs="Arial" w:eastAsia="Arial" w:hAnsi="Arial"/>
                                <w:b w:val="0"/>
                                <w:i w:val="0"/>
                                <w:smallCaps w:val="0"/>
                                <w:strike w:val="0"/>
                                <w:color w:val="000000"/>
                                <w:sz w:val="20"/>
                                <w:vertAlign w:val="baseline"/>
                              </w:rPr>
                              <w:t xml:space="preserve">2021 includes:</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720" w:right="272.00000762939453"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5380-18-01 AMT Coordination (CSU) $</w:t>
                            </w:r>
                            <w:r w:rsidDel="00000000" w:rsidR="00000000" w:rsidRPr="00000000">
                              <w:rPr>
                                <w:rFonts w:ascii="Arial" w:cs="Arial" w:eastAsia="Arial" w:hAnsi="Arial"/>
                                <w:b w:val="0"/>
                                <w:i w:val="0"/>
                                <w:smallCaps w:val="0"/>
                                <w:strike w:val="0"/>
                                <w:color w:val="000000"/>
                                <w:sz w:val="20"/>
                                <w:vertAlign w:val="baseline"/>
                              </w:rPr>
                              <w:t xml:space="preserve">150,000</w:t>
                            </w:r>
                            <w:r w:rsidDel="00000000" w:rsidR="00000000" w:rsidRPr="00000000">
                              <w:rPr>
                                <w:rFonts w:ascii="Arial" w:cs="Arial" w:eastAsia="Arial" w:hAnsi="Arial"/>
                                <w:b w:val="0"/>
                                <w:i w:val="0"/>
                                <w:smallCaps w:val="0"/>
                                <w:strike w:val="0"/>
                                <w:color w:val="000000"/>
                                <w:sz w:val="20"/>
                                <w:vertAlign w:val="baseline"/>
                              </w:rPr>
                              <w:t xml:space="preserve"> - Dr. Tom Bradley (PI), Ann Batchelor (PM). Colorado State University (CSU). Provides administrative management and support of the pool fund. This includes travel for annual meetings.</w:t>
                            </w:r>
                          </w:p>
                          <w:p w:rsidR="00000000" w:rsidDel="00000000" w:rsidP="00000000" w:rsidRDefault="00000000" w:rsidRPr="00000000">
                            <w:pPr>
                              <w:spacing w:after="0" w:before="0" w:line="240"/>
                              <w:ind w:left="1440" w:right="272.00000762939453" w:firstLine="268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Project remains open</w:t>
                            </w:r>
                            <w:r w:rsidDel="00000000" w:rsidR="00000000" w:rsidRPr="00000000">
                              <w:rPr>
                                <w:rFonts w:ascii="Arial" w:cs="Arial" w:eastAsia="Arial" w:hAnsi="Arial"/>
                                <w:b w:val="0"/>
                                <w:i w:val="0"/>
                                <w:smallCaps w:val="0"/>
                                <w:strike w:val="0"/>
                                <w:color w:val="000000"/>
                                <w:sz w:val="20"/>
                                <w:vertAlign w:val="baseline"/>
                              </w:rPr>
                              <w:t xml:space="preserve"> and CDOT has added funds to this original project to continued support by CSU to CDOT on </w:t>
                            </w:r>
                            <w:r w:rsidDel="00000000" w:rsidR="00000000" w:rsidRPr="00000000">
                              <w:rPr>
                                <w:rFonts w:ascii="Arial" w:cs="Arial" w:eastAsia="Arial" w:hAnsi="Arial"/>
                                <w:b w:val="0"/>
                                <w:i w:val="0"/>
                                <w:smallCaps w:val="0"/>
                                <w:strike w:val="0"/>
                                <w:color w:val="000000"/>
                                <w:sz w:val="20"/>
                                <w:vertAlign w:val="baseline"/>
                              </w:rPr>
                              <w:t xml:space="preserve">various administrative tasks (supporting the monthly meetings, agendas, minutes and general logistics moving forward), but it was determined a new PO would be required for further support. CSU has sent a new SOW to CDOT for the above administrative tasks, for the annual meeting, and for development/refinement of the Toolkit. The PI at CSU will be Dr. Erika Miller, and the PM will be </w:t>
                            </w:r>
                            <w:r w:rsidDel="00000000" w:rsidR="00000000" w:rsidRPr="00000000">
                              <w:rPr>
                                <w:rFonts w:ascii="Arial" w:cs="Arial" w:eastAsia="Arial" w:hAnsi="Arial"/>
                                <w:b w:val="0"/>
                                <w:i w:val="0"/>
                                <w:smallCaps w:val="0"/>
                                <w:strike w:val="0"/>
                                <w:color w:val="000000"/>
                                <w:sz w:val="20"/>
                                <w:vertAlign w:val="baseline"/>
                              </w:rPr>
                              <w:t xml:space="preserve">Janine Conrad. </w:t>
                            </w:r>
                          </w:p>
                          <w:p w:rsidR="00000000" w:rsidDel="00000000" w:rsidP="00000000" w:rsidRDefault="00000000" w:rsidRPr="00000000">
                            <w:pPr>
                              <w:spacing w:after="0" w:before="0" w:line="240"/>
                              <w:ind w:left="720" w:right="499.00001525878906"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5380-19-03 ATMA Dev Guide (MST) $92,572 - Dr. Xianbiao (XB) Hu (PI). Missouri University of Science and Technology (MST)</w:t>
                            </w:r>
                          </w:p>
                          <w:p w:rsidR="00000000" w:rsidDel="00000000" w:rsidP="00000000" w:rsidRDefault="00000000" w:rsidRPr="00000000">
                            <w:pPr>
                              <w:spacing w:after="0" w:before="12.000000476837158" w:line="240"/>
                              <w:ind w:left="1440" w:right="0" w:firstLine="25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Dr</w:t>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Hu (PI) </w:t>
                            </w:r>
                            <w:r w:rsidDel="00000000" w:rsidR="00000000" w:rsidRPr="00000000">
                              <w:rPr>
                                <w:rFonts w:ascii="Arial" w:cs="Arial" w:eastAsia="Arial" w:hAnsi="Arial"/>
                                <w:b w:val="0"/>
                                <w:i w:val="0"/>
                                <w:smallCaps w:val="0"/>
                                <w:strike w:val="0"/>
                                <w:color w:val="000000"/>
                                <w:sz w:val="20"/>
                                <w:vertAlign w:val="baseline"/>
                              </w:rPr>
                              <w:t xml:space="preserve">has formally joined </w:t>
                            </w:r>
                            <w:r w:rsidDel="00000000" w:rsidR="00000000" w:rsidRPr="00000000">
                              <w:rPr>
                                <w:rFonts w:ascii="Arial" w:cs="Arial" w:eastAsia="Arial" w:hAnsi="Arial"/>
                                <w:b w:val="0"/>
                                <w:i w:val="0"/>
                                <w:smallCaps w:val="0"/>
                                <w:strike w:val="0"/>
                                <w:color w:val="000000"/>
                                <w:sz w:val="20"/>
                                <w:vertAlign w:val="baseline"/>
                              </w:rPr>
                              <w:t xml:space="preserve">Penn State University (PSU</w:t>
                            </w: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The pool fund members voted to allow PI to carry this grant to his new University. No changes to budget, timeline, SOP are expected. Missouri S&amp;T will send out a relinquishment letter to release the unused fund. Work is continuing on Tasks 2, 3, and 4. The modeling approach has been revised to work with new dataset under COVID-19 restrictions. Validation is being performed and showing promising results.</w:t>
                            </w:r>
                          </w:p>
                          <w:p w:rsidR="00000000" w:rsidDel="00000000" w:rsidP="00000000" w:rsidRDefault="00000000" w:rsidRPr="00000000">
                            <w:pPr>
                              <w:spacing w:after="0" w:before="12.000000476837158" w:line="240"/>
                              <w:ind w:left="1440" w:right="0" w:firstLine="144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1440" w:right="0" w:firstLine="144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CDOT is continuing to work through the contracting required to move this project to PSU. </w:t>
                            </w:r>
                            <w:r w:rsidDel="00000000" w:rsidR="00000000" w:rsidRPr="00000000">
                              <w:rPr>
                                <w:rFonts w:ascii="Arial" w:cs="Arial" w:eastAsia="Arial" w:hAnsi="Arial"/>
                                <w:b w:val="0"/>
                                <w:i w:val="0"/>
                                <w:smallCaps w:val="0"/>
                                <w:strike w:val="0"/>
                                <w:color w:val="000000"/>
                                <w:sz w:val="20"/>
                                <w:vertAlign w:val="baseline"/>
                              </w:rPr>
                              <w:br w:type="textWrapping"/>
                            </w:r>
                          </w:p>
                          <w:p w:rsidR="00000000" w:rsidDel="00000000" w:rsidP="00000000" w:rsidRDefault="00000000" w:rsidRPr="00000000">
                            <w:pPr>
                              <w:spacing w:after="0" w:before="12.000000476837158" w:line="240"/>
                              <w:ind w:left="54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5380-20-04 ATMA Tabletop $22,300 – Will Moorhead (PI), All Clear Emergency Management, Golden, Colorado </w:t>
                            </w:r>
                            <w:r w:rsidDel="00000000" w:rsidR="00000000" w:rsidRPr="00000000">
                              <w:rPr>
                                <w:rFonts w:ascii="Arial" w:cs="Arial" w:eastAsia="Arial" w:hAnsi="Arial"/>
                                <w:b w:val="0"/>
                                <w:i w:val="0"/>
                                <w:smallCaps w:val="0"/>
                                <w:strike w:val="0"/>
                                <w:color w:val="000000"/>
                                <w:sz w:val="20"/>
                                <w:vertAlign w:val="baseline"/>
                              </w:rPr>
                              <w:br w:type="textWrapping"/>
                            </w:r>
                          </w:p>
                          <w:p w:rsidR="00000000" w:rsidDel="00000000" w:rsidP="00000000" w:rsidRDefault="00000000" w:rsidRPr="00000000">
                            <w:pPr>
                              <w:spacing w:after="0" w:before="12.000000476837158" w:line="240"/>
                              <w:ind w:left="1440" w:right="0" w:firstLine="25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The ATMA Tabletop event occurred on July 8, 2021 with tremendous attendance and </w:t>
                            </w:r>
                            <w:r w:rsidDel="00000000" w:rsidR="00000000" w:rsidRPr="00000000">
                              <w:rPr>
                                <w:rFonts w:ascii="Arial" w:cs="Arial" w:eastAsia="Arial" w:hAnsi="Arial"/>
                                <w:b w:val="0"/>
                                <w:i w:val="0"/>
                                <w:smallCaps w:val="0"/>
                                <w:strike w:val="0"/>
                                <w:color w:val="000000"/>
                                <w:sz w:val="20"/>
                                <w:vertAlign w:val="baseline"/>
                              </w:rPr>
                              <w:t xml:space="preserve">participation</w:t>
                            </w:r>
                            <w:r w:rsidDel="00000000" w:rsidR="00000000" w:rsidRPr="00000000">
                              <w:rPr>
                                <w:rFonts w:ascii="Arial" w:cs="Arial" w:eastAsia="Arial" w:hAnsi="Arial"/>
                                <w:b w:val="0"/>
                                <w:i w:val="0"/>
                                <w:smallCaps w:val="0"/>
                                <w:strike w:val="0"/>
                                <w:color w:val="000000"/>
                                <w:sz w:val="20"/>
                                <w:vertAlign w:val="baseline"/>
                              </w:rPr>
                              <w:t xml:space="preserve"> by over 40 participants. The event was facilitated by All Clear, and featured a two and half-hour virtual tabletop focusing on the briefing, technology, </w:t>
                            </w:r>
                            <w:r w:rsidDel="00000000" w:rsidR="00000000" w:rsidRPr="00000000">
                              <w:rPr>
                                <w:rFonts w:ascii="Arial" w:cs="Arial" w:eastAsia="Arial" w:hAnsi="Arial"/>
                                <w:b w:val="0"/>
                                <w:i w:val="0"/>
                                <w:smallCaps w:val="0"/>
                                <w:strike w:val="0"/>
                                <w:color w:val="000000"/>
                                <w:sz w:val="20"/>
                                <w:vertAlign w:val="baseline"/>
                              </w:rPr>
                              <w:t xml:space="preserve">facilitation</w:t>
                            </w:r>
                            <w:r w:rsidDel="00000000" w:rsidR="00000000" w:rsidRPr="00000000">
                              <w:rPr>
                                <w:rFonts w:ascii="Arial" w:cs="Arial" w:eastAsia="Arial" w:hAnsi="Arial"/>
                                <w:b w:val="0"/>
                                <w:i w:val="0"/>
                                <w:smallCaps w:val="0"/>
                                <w:strike w:val="0"/>
                                <w:color w:val="000000"/>
                                <w:sz w:val="20"/>
                                <w:vertAlign w:val="baseline"/>
                              </w:rPr>
                              <w:t xml:space="preserve"> and exercise. All Clear developed an After-Action Report for the Pooled Fund that highlighted the observed strengths, areas for improvement and corrective actions. The report also included recommendations for future efforts and add-ons to the work including: each state to conduct their own state-specific tabletop exercise, considering </w:t>
                            </w:r>
                            <w:r w:rsidDel="00000000" w:rsidR="00000000" w:rsidRPr="00000000">
                              <w:rPr>
                                <w:rFonts w:ascii="Arial" w:cs="Arial" w:eastAsia="Arial" w:hAnsi="Arial"/>
                                <w:b w:val="0"/>
                                <w:i w:val="0"/>
                                <w:smallCaps w:val="0"/>
                                <w:strike w:val="0"/>
                                <w:color w:val="000000"/>
                                <w:sz w:val="20"/>
                                <w:vertAlign w:val="baseline"/>
                              </w:rPr>
                              <w:t xml:space="preserve">facilitating</w:t>
                            </w:r>
                            <w:r w:rsidDel="00000000" w:rsidR="00000000" w:rsidRPr="00000000">
                              <w:rPr>
                                <w:rFonts w:ascii="Arial" w:cs="Arial" w:eastAsia="Arial" w:hAnsi="Arial"/>
                                <w:b w:val="0"/>
                                <w:i w:val="0"/>
                                <w:smallCaps w:val="0"/>
                                <w:strike w:val="0"/>
                                <w:color w:val="000000"/>
                                <w:sz w:val="20"/>
                                <w:vertAlign w:val="baseline"/>
                              </w:rPr>
                              <w:t xml:space="preserve"> a more “day-to-day” scenario (rather than worse case), and then a scenario test featuring a DOT employee injury. </w:t>
                            </w:r>
                            <w:r w:rsidDel="00000000" w:rsidR="00000000" w:rsidRPr="00000000">
                              <w:rPr>
                                <w:rFonts w:ascii="Arial" w:cs="Arial" w:eastAsia="Arial" w:hAnsi="Arial"/>
                                <w:b w:val="0"/>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20"/>
                                <w:vertAlign w:val="baseline"/>
                              </w:rPr>
                              <w:t xml:space="preserve">Final wrap up and closeout of the project will occur in Q4 2021. </w:t>
                            </w:r>
                          </w:p>
                          <w:p w:rsidR="00000000" w:rsidDel="00000000" w:rsidP="00000000" w:rsidRDefault="00000000" w:rsidRPr="00000000">
                            <w:pPr>
                              <w:spacing w:after="0" w:before="12.000000476837158"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000000476837158" w:line="240"/>
                              <w:ind w:left="54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5380-20-05 ATMA Cybersecurity Complement $50,000 – Dr. Jeremy Daily (PI), Colorado State University, Fort Collins.</w:t>
                            </w:r>
                          </w:p>
                          <w:p w:rsidR="00000000" w:rsidDel="00000000" w:rsidP="00000000" w:rsidRDefault="00000000" w:rsidRPr="00000000">
                            <w:pPr>
                              <w:spacing w:after="0" w:before="12.000000476837158" w:line="240"/>
                              <w:ind w:left="1440" w:right="0" w:firstLine="25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Project work underway. The team visited CDOTs ATMA in Limon, CO for a system demo and to test data recording. Some log files were shared with the team for preliminary analysis, but no results are available yet. </w:t>
                            </w:r>
                            <w:r w:rsidDel="00000000" w:rsidR="00000000" w:rsidRPr="00000000">
                              <w:rPr>
                                <w:rFonts w:ascii="Arial" w:cs="Arial" w:eastAsia="Arial" w:hAnsi="Arial"/>
                                <w:b w:val="0"/>
                                <w:i w:val="0"/>
                                <w:smallCaps w:val="0"/>
                                <w:strike w:val="0"/>
                                <w:color w:val="000000"/>
                                <w:sz w:val="20"/>
                                <w:vertAlign w:val="baseline"/>
                              </w:rPr>
                              <w:t xml:space="preserve">The team participated in the ATMA Tabletop and is continuing to look at the data and working on the tasks of the report. </w:t>
                            </w:r>
                            <w:r w:rsidDel="00000000" w:rsidR="00000000" w:rsidRPr="00000000">
                              <w:rPr>
                                <w:rFonts w:ascii="Arial" w:cs="Arial" w:eastAsia="Arial" w:hAnsi="Arial"/>
                                <w:b w:val="0"/>
                                <w:i w:val="0"/>
                                <w:smallCaps w:val="0"/>
                                <w:strike w:val="0"/>
                                <w:color w:val="000000"/>
                                <w:sz w:val="20"/>
                                <w:vertAlign w:val="baseline"/>
                              </w:rPr>
                              <w:br w:type="textWrapping"/>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945630" cy="7355317"/>
                <wp:effectExtent b="0" l="0" r="0" t="0"/>
                <wp:docPr id="2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945630" cy="735531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9">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A">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64680" cy="4709996"/>
                <wp:effectExtent b="0" l="0" r="0" t="0"/>
                <wp:docPr id="28" name=""/>
                <a:graphic>
                  <a:graphicData uri="http://schemas.microsoft.com/office/word/2010/wordprocessingShape">
                    <wps:wsp>
                      <wps:cNvSpPr/>
                      <wps:cNvPr id="5" name="Shape 5"/>
                      <wps:spPr>
                        <a:xfrm>
                          <a:off x="1882710" y="1439708"/>
                          <a:ext cx="6926580" cy="46805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12.000000476837158" w:line="240"/>
                              <w:ind w:left="9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5. 5380-20-06 ATMA Documentation $130,000 – Dr. Xianbiao (XB) Hu (PI), Missouri Tech University.</w:t>
                            </w:r>
                          </w:p>
                          <w:p w:rsidR="00000000" w:rsidDel="00000000" w:rsidP="00000000" w:rsidRDefault="00000000" w:rsidRPr="00000000">
                            <w:pPr>
                              <w:spacing w:after="0" w:before="12.000000476837158" w:line="240"/>
                              <w:ind w:left="1440" w:right="0" w:firstLine="25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Project Update:</w:t>
                            </w:r>
                            <w:r w:rsidDel="00000000" w:rsidR="00000000" w:rsidRPr="00000000">
                              <w:rPr>
                                <w:rFonts w:ascii="Arial" w:cs="Arial" w:eastAsia="Arial" w:hAnsi="Arial"/>
                                <w:b w:val="0"/>
                                <w:i w:val="0"/>
                                <w:smallCaps w:val="0"/>
                                <w:strike w:val="0"/>
                                <w:color w:val="000000"/>
                                <w:sz w:val="20"/>
                                <w:vertAlign w:val="baseline"/>
                              </w:rPr>
                              <w:t xml:space="preserve"> Dr</w:t>
                            </w:r>
                            <w:r w:rsidDel="00000000" w:rsidR="00000000" w:rsidRPr="00000000">
                              <w:rPr>
                                <w:rFonts w:ascii="Arial" w:cs="Arial" w:eastAsia="Arial" w:hAnsi="Arial"/>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 Hu (PI) has joined PSU. The pool fund members voted to allow PI to carry this grant to his new University. No changes to budget, timeline, SOP are expected. Missouri S&amp;T will send out a relinquishment letter to release the unused fund. Work is ongoing. Task 1 (Literature Review) was completed and shared with pooled fund members for feedback. Comments were addressed, and the final report was published on the pooled fund website.</w:t>
                            </w:r>
                            <w:r w:rsidDel="00000000" w:rsidR="00000000" w:rsidRPr="00000000">
                              <w:rPr>
                                <w:rFonts w:ascii="Arial" w:cs="Arial" w:eastAsia="Arial" w:hAnsi="Arial"/>
                                <w:b w:val="0"/>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20"/>
                                <w:vertAlign w:val="baseline"/>
                              </w:rPr>
                              <w:t xml:space="preserve">CDOT continues to work with PSU to get the project formally turned over. In the meantime, XB’s team completed </w:t>
                            </w:r>
                            <w:r w:rsidDel="00000000" w:rsidR="00000000" w:rsidRPr="00000000">
                              <w:rPr>
                                <w:rFonts w:ascii="Arial" w:cs="Arial" w:eastAsia="Arial" w:hAnsi="Arial"/>
                                <w:b w:val="0"/>
                                <w:i w:val="0"/>
                                <w:smallCaps w:val="0"/>
                                <w:strike w:val="0"/>
                                <w:color w:val="000000"/>
                                <w:sz w:val="20"/>
                                <w:vertAlign w:val="baseline"/>
                              </w:rPr>
                              <w:t xml:space="preserve">the</w:t>
                            </w:r>
                            <w:r w:rsidDel="00000000" w:rsidR="00000000" w:rsidRPr="00000000">
                              <w:rPr>
                                <w:rFonts w:ascii="Arial" w:cs="Arial" w:eastAsia="Arial" w:hAnsi="Arial"/>
                                <w:b w:val="0"/>
                                <w:i w:val="0"/>
                                <w:smallCaps w:val="0"/>
                                <w:strike w:val="0"/>
                                <w:color w:val="000000"/>
                                <w:sz w:val="20"/>
                                <w:vertAlign w:val="baseline"/>
                              </w:rPr>
                              <w:t xml:space="preserve"> literature review and started work on task 2 documents. </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Anticipated work next quarter</w:t>
                            </w:r>
                            <w:r w:rsidDel="00000000" w:rsidR="00000000" w:rsidRPr="00000000">
                              <w:rPr>
                                <w:rFonts w:ascii="Arial" w:cs="Arial" w:eastAsia="Arial" w:hAnsi="Arial"/>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123.00000190734863" w:line="240"/>
                              <w:ind w:left="60" w:right="0" w:firstLine="24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 the 3rd quarter of 2021, the team plans to accomplish the following:</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Annual Meeting - in person, planned for Oct 20th and 21st at CDOT Headquarters in Denver, CO </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refinement of the Toolkit</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monthly meetings</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Quarterly report and project status</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Maintaining and updating outwardly facing website</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Continued work on all projects and contract projects 3, 4, 5, and 6</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Selection of awards for </w:t>
                            </w:r>
                            <w:r w:rsidDel="00000000" w:rsidR="00000000" w:rsidRPr="00000000">
                              <w:rPr>
                                <w:rFonts w:ascii="Arial" w:cs="Arial" w:eastAsia="Arial" w:hAnsi="Arial"/>
                                <w:b w:val="0"/>
                                <w:i w:val="0"/>
                                <w:smallCaps w:val="0"/>
                                <w:strike w:val="0"/>
                                <w:color w:val="000000"/>
                                <w:sz w:val="20"/>
                                <w:vertAlign w:val="baseline"/>
                              </w:rPr>
                              <w:t xml:space="preserve">current</w:t>
                            </w:r>
                            <w:r w:rsidDel="00000000" w:rsidR="00000000" w:rsidRPr="00000000">
                              <w:rPr>
                                <w:rFonts w:ascii="Arial" w:cs="Arial" w:eastAsia="Arial" w:hAnsi="Arial"/>
                                <w:b w:val="0"/>
                                <w:i w:val="0"/>
                                <w:smallCaps w:val="0"/>
                                <w:strike w:val="0"/>
                                <w:color w:val="000000"/>
                                <w:sz w:val="20"/>
                                <w:vertAlign w:val="baseline"/>
                              </w:rPr>
                              <w:t xml:space="preserve"> problem statement round (problem statements collected in Q3 and currently under review by pooled fund members) </w:t>
                            </w:r>
                          </w:p>
                          <w:p w:rsidR="00000000" w:rsidDel="00000000" w:rsidP="00000000" w:rsidRDefault="00000000" w:rsidRPr="00000000">
                            <w:pPr>
                              <w:spacing w:after="0" w:before="35"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964680" cy="4709996"/>
                <wp:effectExtent b="0" l="0" r="0" t="0"/>
                <wp:docPr id="2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964680" cy="47099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spacing w:before="9"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C">
      <w:pPr>
        <w:ind w:left="112" w:firstLine="0"/>
        <w:rPr>
          <w:rFonts w:ascii="Times New Roman" w:cs="Times New Roman" w:eastAsia="Times New Roman" w:hAnsi="Times New Roman"/>
          <w:sz w:val="20"/>
          <w:szCs w:val="20"/>
        </w:rPr>
        <w:sectPr>
          <w:type w:val="nextPage"/>
          <w:pgSz w:h="15840" w:w="12240" w:orient="portrait"/>
          <w:pgMar w:bottom="1200" w:top="640" w:left="500" w:right="620" w:header="0" w:footer="1017"/>
        </w:sect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64680" cy="3831052"/>
                <wp:effectExtent b="0" l="0" r="0" t="0"/>
                <wp:docPr id="27" name=""/>
                <a:graphic>
                  <a:graphicData uri="http://schemas.microsoft.com/office/word/2010/wordprocessingShape">
                    <wps:wsp>
                      <wps:cNvSpPr/>
                      <wps:cNvPr id="4" name="Shape 4"/>
                      <wps:spPr>
                        <a:xfrm>
                          <a:off x="1882710" y="1877858"/>
                          <a:ext cx="6926580" cy="38042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01.00000381469727" w:right="0" w:firstLine="281.00000381469727"/>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Significant Results:</w:t>
                            </w:r>
                          </w:p>
                          <w:p w:rsidR="00000000" w:rsidDel="00000000" w:rsidP="00000000" w:rsidRDefault="00000000" w:rsidRPr="00000000">
                            <w:pPr>
                              <w:spacing w:after="0" w:before="0" w:line="240"/>
                              <w:ind w:left="101.00000381469727" w:right="0" w:firstLine="404.00001525878906"/>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Problem statement round solicitation (pooled fund received 9 proposals) and will make award selections at the annual meeting in Oct 2021. </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CDOT deployment of their second ATMA</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CSU for pooled fund support, management, and coordination activities.</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Revamped and published a new public-facing website for the pooled fund that also includes resources for members.</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Engaged with states on several data sharing requests. Collaboration and information sharing is one of the most valuable components as states tackle these innovative technology deployments.</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Indiana DOT contributed funding and joined as a member of the AMT pooled fund in this quarter. They are looking into development of their own ATMA for their operations. </w:t>
                            </w:r>
                          </w:p>
                        </w:txbxContent>
                      </wps:txbx>
                      <wps:bodyPr anchorCtr="0" anchor="t" bIns="0" lIns="0" spcFirstLastPara="1" rIns="0" wrap="square" tIns="0">
                        <a:noAutofit/>
                      </wps:bodyPr>
                    </wps:wsp>
                  </a:graphicData>
                </a:graphic>
              </wp:inline>
            </w:drawing>
          </mc:Choice>
          <mc:Fallback>
            <w:drawing>
              <wp:inline distB="0" distT="0" distL="0" distR="0">
                <wp:extent cx="6964680" cy="3831052"/>
                <wp:effectExtent b="0" l="0" r="0" t="0"/>
                <wp:docPr id="2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964680" cy="38310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spacing w:before="4"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4E">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64680" cy="4426859"/>
                <wp:effectExtent b="0" l="0" r="0" t="0"/>
                <wp:docPr id="30" name=""/>
                <a:graphic>
                  <a:graphicData uri="http://schemas.microsoft.com/office/word/2010/wordprocessingShape">
                    <wps:wsp>
                      <wps:cNvSpPr/>
                      <wps:cNvPr id="7" name="Shape 7"/>
                      <wps:spPr>
                        <a:xfrm>
                          <a:off x="1882710" y="1586075"/>
                          <a:ext cx="6926580" cy="43878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180" w:right="602.0000076293945"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123.00000190734863" w:line="240"/>
                              <w:ind w:left="75" w:right="0" w:firstLine="255"/>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No challenges at this time. </w:t>
                            </w:r>
                          </w:p>
                        </w:txbxContent>
                      </wps:txbx>
                      <wps:bodyPr anchorCtr="0" anchor="t" bIns="0" lIns="0" spcFirstLastPara="1" rIns="0" wrap="square" tIns="0">
                        <a:noAutofit/>
                      </wps:bodyPr>
                    </wps:wsp>
                  </a:graphicData>
                </a:graphic>
              </wp:inline>
            </w:drawing>
          </mc:Choice>
          <mc:Fallback>
            <w:drawing>
              <wp:inline distB="0" distT="0" distL="0" distR="0">
                <wp:extent cx="6964680" cy="4426859"/>
                <wp:effectExtent b="0" l="0" r="0" t="0"/>
                <wp:docPr id="30"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964680" cy="44268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F">
      <w:pPr>
        <w:spacing w:before="9"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0">
      <w:pPr>
        <w:ind w:left="1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964680" cy="3396466"/>
                <wp:effectExtent b="0" l="0" r="0" t="0"/>
                <wp:docPr id="29" name=""/>
                <a:graphic>
                  <a:graphicData uri="http://schemas.microsoft.com/office/word/2010/wordprocessingShape">
                    <wps:wsp>
                      <wps:cNvSpPr/>
                      <wps:cNvPr id="6" name="Shape 6"/>
                      <wps:spPr>
                        <a:xfrm>
                          <a:off x="1882710" y="2096615"/>
                          <a:ext cx="6926580" cy="33667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180" w:right="0" w:firstLine="360"/>
                              <w:jc w:val="left"/>
                              <w:textDirection w:val="btLr"/>
                            </w:pPr>
                          </w:p>
                          <w:p w:rsidR="00000000" w:rsidDel="00000000" w:rsidP="00000000" w:rsidRDefault="00000000" w:rsidRPr="00000000">
                            <w:pPr>
                              <w:spacing w:after="0" w:before="0" w:line="240"/>
                              <w:ind w:left="18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0"/>
                                <w:vertAlign w:val="baseline"/>
                              </w:rPr>
                              <w:t xml:space="preserve">Potential Implementation:</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Currently five states in some phase of deployment with purchase of a vehicle: California, Colorado, Missouri, Minnesota, and Virginia. This has increased since 2018 when Colorado was the only infrastructure owner operator of an ATMA and who had deployed an ATMA. </w:t>
                            </w:r>
                          </w:p>
                          <w:p w:rsidR="00000000" w:rsidDel="00000000" w:rsidP="00000000" w:rsidRDefault="00000000" w:rsidRPr="00000000">
                            <w:pPr>
                              <w:spacing w:after="0" w:before="0" w:line="240"/>
                              <w:ind w:left="1080" w:right="0" w:firstLine="180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Assisting new states with ideation and project discovery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101.00000381469727" w:right="0" w:firstLine="404.00001525878906"/>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6964680" cy="3396466"/>
                <wp:effectExtent b="0" l="0" r="0" t="0"/>
                <wp:docPr id="2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964680" cy="3396466"/>
                        </a:xfrm>
                        <a:prstGeom prst="rect"/>
                        <a:ln/>
                      </pic:spPr>
                    </pic:pic>
                  </a:graphicData>
                </a:graphic>
              </wp:inline>
            </w:drawing>
          </mc:Fallback>
        </mc:AlternateContent>
      </w:r>
      <w:r w:rsidDel="00000000" w:rsidR="00000000" w:rsidRPr="00000000">
        <w:rPr>
          <w:rtl w:val="0"/>
        </w:rPr>
      </w:r>
    </w:p>
    <w:sectPr>
      <w:type w:val="nextPage"/>
      <w:pgSz w:h="15840" w:w="12240" w:orient="portrait"/>
      <w:pgMar w:bottom="1200" w:top="640" w:left="500" w:right="620" w:header="0" w:footer="10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spacing w:line="14.399999999999999" w:lineRule="auto"/>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4" w:lineRule="auto"/>
      <w:ind w:left="220"/>
    </w:pPr>
    <w:rPr>
      <w:rFonts w:ascii="Arial" w:cs="Arial" w:eastAsia="Arial" w:hAnsi="Arial"/>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74" w:lineRule="auto"/>
      <w:ind w:left="220"/>
    </w:pPr>
    <w:rPr>
      <w:rFonts w:ascii="Arial" w:cs="Arial" w:eastAsia="Arial" w:hAnsi="Arial"/>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spacing w:before="74"/>
      <w:ind w:left="220"/>
      <w:outlineLvl w:val="0"/>
    </w:pPr>
    <w:rPr>
      <w:rFonts w:ascii="Arial" w:eastAsia="Arial" w:hAnsi="Arial"/>
      <w:sz w:val="20"/>
      <w:szCs w:val="2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spacing w:before="34"/>
      <w:ind w:left="220"/>
    </w:pPr>
    <w:rPr>
      <w:rFonts w:ascii="Arial" w:eastAsia="Arial" w:hAnsi="Arial"/>
      <w:i w:val="1"/>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075B36"/>
    <w:rPr>
      <w:sz w:val="16"/>
      <w:szCs w:val="16"/>
    </w:rPr>
  </w:style>
  <w:style w:type="paragraph" w:styleId="CommentText">
    <w:name w:val="annotation text"/>
    <w:basedOn w:val="Normal"/>
    <w:link w:val="CommentTextChar"/>
    <w:uiPriority w:val="99"/>
    <w:semiHidden w:val="1"/>
    <w:unhideWhenUsed w:val="1"/>
    <w:rsid w:val="00075B36"/>
    <w:rPr>
      <w:sz w:val="20"/>
      <w:szCs w:val="20"/>
    </w:rPr>
  </w:style>
  <w:style w:type="character" w:styleId="CommentTextChar" w:customStyle="1">
    <w:name w:val="Comment Text Char"/>
    <w:basedOn w:val="DefaultParagraphFont"/>
    <w:link w:val="CommentText"/>
    <w:uiPriority w:val="99"/>
    <w:semiHidden w:val="1"/>
    <w:rsid w:val="00075B36"/>
    <w:rPr>
      <w:sz w:val="20"/>
      <w:szCs w:val="20"/>
    </w:rPr>
  </w:style>
  <w:style w:type="paragraph" w:styleId="CommentSubject">
    <w:name w:val="annotation subject"/>
    <w:basedOn w:val="CommentText"/>
    <w:next w:val="CommentText"/>
    <w:link w:val="CommentSubjectChar"/>
    <w:uiPriority w:val="99"/>
    <w:semiHidden w:val="1"/>
    <w:unhideWhenUsed w:val="1"/>
    <w:rsid w:val="00075B36"/>
    <w:rPr>
      <w:b w:val="1"/>
      <w:bCs w:val="1"/>
    </w:rPr>
  </w:style>
  <w:style w:type="character" w:styleId="CommentSubjectChar" w:customStyle="1">
    <w:name w:val="Comment Subject Char"/>
    <w:basedOn w:val="CommentTextChar"/>
    <w:link w:val="CommentSubject"/>
    <w:uiPriority w:val="99"/>
    <w:semiHidden w:val="1"/>
    <w:rsid w:val="00075B36"/>
    <w:rPr>
      <w:b w:val="1"/>
      <w:bCs w:val="1"/>
      <w:sz w:val="20"/>
      <w:szCs w:val="20"/>
    </w:rPr>
  </w:style>
  <w:style w:type="paragraph" w:styleId="BalloonText">
    <w:name w:val="Balloon Text"/>
    <w:basedOn w:val="Normal"/>
    <w:link w:val="BalloonTextChar"/>
    <w:uiPriority w:val="99"/>
    <w:semiHidden w:val="1"/>
    <w:unhideWhenUsed w:val="1"/>
    <w:rsid w:val="00075B3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5B36"/>
    <w:rPr>
      <w:rFonts w:ascii="Times New Roman" w:cs="Times New Roman" w:hAnsi="Times New Roman"/>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d.reeves@state.co.u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s3DHhpGSXGHV/iWvPam3Dan1+Q==">AMUW2mWvhKcwW2djRW5GqxLfXTuFEtPBgpisnZOJ7BEGwR+so9vdJo/BzpZQaOW3/qsTaJKr2LH9vlK/bK1pn097eVFSB203d7TtwSucjhf5soorMrANVIv+MEXU4nI2MlW2hXvI60T9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2021-04-27T17:28:00Z</dcterms:created>
  <dc:creator>lisa.williams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2011-07-15T00:00:00Z</vt:filetime>
  </property>
  <property fmtid="{D5CDD505-2E9C-101B-9397-08002B2CF9AE}" pid="3" name="LastSaved">
    <vt:filetime>2020-01-17T00:00:00Z</vt:filetime>
  </property>
</Properties>
</file>