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15EDE" w14:textId="455A5E90" w:rsidR="5296FF50" w:rsidRDefault="5296FF50" w:rsidP="5D1CD24A">
      <w:pPr>
        <w:jc w:val="center"/>
      </w:pPr>
      <w:r w:rsidRPr="5D1CD24A">
        <w:rPr>
          <w:rFonts w:eastAsia="Verdana" w:cs="Verdana"/>
          <w:b/>
          <w:bCs/>
          <w:color w:val="000000" w:themeColor="text1"/>
        </w:rPr>
        <w:t>TPF-5(478) Demonstration to Advance Pavement Technologies</w:t>
      </w:r>
    </w:p>
    <w:p w14:paraId="328619C9" w14:textId="21830236" w:rsidR="5296FF50" w:rsidRDefault="5296FF50" w:rsidP="5D1CD24A">
      <w:pPr>
        <w:jc w:val="center"/>
      </w:pPr>
      <w:r w:rsidRPr="5D1CD24A">
        <w:rPr>
          <w:rFonts w:eastAsia="Verdana" w:cs="Verdana"/>
          <w:b/>
          <w:bCs/>
          <w:color w:val="000000" w:themeColor="text1"/>
          <w:sz w:val="28"/>
          <w:szCs w:val="28"/>
        </w:rPr>
        <w:t>Project Summary Form</w:t>
      </w:r>
    </w:p>
    <w:p w14:paraId="403B8C3C" w14:textId="55114907" w:rsidR="5D1CD24A" w:rsidRDefault="5D1CD24A" w:rsidP="5D1CD24A"/>
    <w:tbl>
      <w:tblPr>
        <w:tblStyle w:val="TableGrid"/>
        <w:tblW w:w="9660" w:type="dxa"/>
        <w:tblLayout w:type="fixed"/>
        <w:tblLook w:val="04A0" w:firstRow="1" w:lastRow="0" w:firstColumn="1" w:lastColumn="0" w:noHBand="0" w:noVBand="1"/>
      </w:tblPr>
      <w:tblGrid>
        <w:gridCol w:w="4830"/>
        <w:gridCol w:w="4830"/>
      </w:tblGrid>
      <w:tr w:rsidR="007422A2" w:rsidRPr="00B80CFC" w14:paraId="486AE92F" w14:textId="77777777" w:rsidTr="3CE3500B">
        <w:tc>
          <w:tcPr>
            <w:tcW w:w="9660" w:type="dxa"/>
            <w:gridSpan w:val="2"/>
          </w:tcPr>
          <w:p w14:paraId="5BAF33B4" w14:textId="60865705" w:rsidR="00CA4683" w:rsidRDefault="008D17D7" w:rsidP="00690E8D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Project</w:t>
            </w:r>
            <w:r w:rsidR="00690E8D" w:rsidRPr="00B80CF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Title</w:t>
            </w:r>
            <w:r w:rsidR="002425ED" w:rsidRPr="00B80CFC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  <w:r w:rsidR="00FB229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Balanced Mixture Design Pilot and Field Sections</w:t>
            </w:r>
          </w:p>
          <w:p w14:paraId="6B5F7726" w14:textId="77777777" w:rsidR="00B80CFC" w:rsidRPr="00B80CFC" w:rsidRDefault="00B80CFC" w:rsidP="00690E8D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425ED" w:rsidRPr="00B80CFC" w14:paraId="4430B383" w14:textId="77777777" w:rsidTr="3CE3500B">
        <w:tc>
          <w:tcPr>
            <w:tcW w:w="9660" w:type="dxa"/>
            <w:gridSpan w:val="2"/>
          </w:tcPr>
          <w:p w14:paraId="48809DFE" w14:textId="6C4C4B2D" w:rsidR="002425ED" w:rsidRPr="00B80CFC" w:rsidRDefault="008D17D7" w:rsidP="5D1CD24A">
            <w:pPr>
              <w:pStyle w:val="Default"/>
              <w:rPr>
                <w:rFonts w:asciiTheme="minorHAnsi" w:hAnsiTheme="minorHAnsi" w:cstheme="minorBidi"/>
                <w:sz w:val="22"/>
                <w:szCs w:val="22"/>
              </w:rPr>
            </w:pPr>
            <w:r w:rsidRPr="5D1CD24A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Project </w:t>
            </w:r>
            <w:r w:rsidR="002425ED" w:rsidRPr="5D1CD24A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Scope</w:t>
            </w:r>
            <w:r w:rsidR="7A8C5A57" w:rsidRPr="5D1CD24A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:</w:t>
            </w:r>
            <w:r w:rsidR="009F2070" w:rsidRPr="5D1CD24A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 </w:t>
            </w:r>
            <w:r w:rsidR="00FB2292">
              <w:rPr>
                <w:rFonts w:asciiTheme="minorHAnsi" w:hAnsiTheme="minorHAnsi" w:cstheme="minorBidi"/>
                <w:sz w:val="22"/>
                <w:szCs w:val="22"/>
              </w:rPr>
              <w:t>Long term field evaluation of BMD test sections and determination of performance testing variability during production.</w:t>
            </w:r>
          </w:p>
          <w:p w14:paraId="093A0506" w14:textId="77777777" w:rsidR="009F2070" w:rsidRPr="00B80CFC" w:rsidRDefault="009F2070" w:rsidP="009F207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1DF724D" w14:textId="77777777" w:rsidR="009F2070" w:rsidRPr="00B80CFC" w:rsidRDefault="009F2070" w:rsidP="009F207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E2AAF" w:rsidRPr="00B80CFC" w14:paraId="28B9C97E" w14:textId="77777777" w:rsidTr="3CE3500B">
        <w:tc>
          <w:tcPr>
            <w:tcW w:w="9660" w:type="dxa"/>
            <w:gridSpan w:val="2"/>
          </w:tcPr>
          <w:p w14:paraId="5156BC1A" w14:textId="5E8919BF" w:rsidR="00BE2AAF" w:rsidRPr="00FB2292" w:rsidRDefault="008D17D7" w:rsidP="5D1CD24A">
            <w:pPr>
              <w:pStyle w:val="Default"/>
              <w:rPr>
                <w:rFonts w:asciiTheme="minorHAnsi" w:hAnsiTheme="minorHAnsi" w:cstheme="minorBidi"/>
                <w:sz w:val="22"/>
                <w:szCs w:val="22"/>
              </w:rPr>
            </w:pPr>
            <w:r w:rsidRPr="5D1CD24A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State DOT:</w:t>
            </w:r>
            <w:r w:rsidR="00FB2292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 </w:t>
            </w:r>
            <w:r w:rsidR="00FB2292">
              <w:rPr>
                <w:rFonts w:asciiTheme="minorHAnsi" w:hAnsiTheme="minorHAnsi" w:cstheme="minorBidi"/>
                <w:sz w:val="22"/>
                <w:szCs w:val="22"/>
              </w:rPr>
              <w:t>Wisconsin</w:t>
            </w:r>
          </w:p>
          <w:p w14:paraId="1B6383A1" w14:textId="27C76FEC" w:rsidR="00BE2AAF" w:rsidRPr="00B80CFC" w:rsidRDefault="00BE2AAF" w:rsidP="5D1CD24A">
            <w:pPr>
              <w:pStyle w:val="Default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</w:p>
        </w:tc>
      </w:tr>
      <w:tr w:rsidR="00E302B8" w:rsidRPr="00B80CFC" w14:paraId="44D98268" w14:textId="77777777" w:rsidTr="3CE3500B">
        <w:tc>
          <w:tcPr>
            <w:tcW w:w="9660" w:type="dxa"/>
            <w:gridSpan w:val="2"/>
          </w:tcPr>
          <w:p w14:paraId="672DCD7F" w14:textId="5F6B7DF4" w:rsidR="00E302B8" w:rsidRPr="00B80CFC" w:rsidRDefault="008D17D7" w:rsidP="5D1CD24A">
            <w:pPr>
              <w:pStyle w:val="Default"/>
              <w:rPr>
                <w:rFonts w:asciiTheme="minorHAnsi" w:hAnsiTheme="minorHAnsi" w:cstheme="minorBidi"/>
                <w:sz w:val="22"/>
                <w:szCs w:val="22"/>
              </w:rPr>
            </w:pPr>
            <w:r w:rsidRPr="5D1CD24A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State DOT Contact(s)</w:t>
            </w:r>
            <w:r w:rsidR="5451B95A" w:rsidRPr="5D1CD24A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:</w:t>
            </w:r>
            <w:r w:rsidR="746AA554" w:rsidRPr="5D1CD24A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 </w:t>
            </w:r>
            <w:r w:rsidR="00FB2292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Erik Lyngdal (main), Steve </w:t>
            </w:r>
            <w:proofErr w:type="spellStart"/>
            <w:r w:rsidR="00FB2292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Hefel</w:t>
            </w:r>
            <w:proofErr w:type="spellEnd"/>
            <w:r w:rsidR="00FB2292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, and Dan Kopacz</w:t>
            </w:r>
          </w:p>
          <w:p w14:paraId="7A73BAFD" w14:textId="645DA072" w:rsidR="00E302B8" w:rsidRPr="00B80CFC" w:rsidRDefault="00E302B8" w:rsidP="5D1CD24A">
            <w:pPr>
              <w:pStyle w:val="Default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</w:p>
        </w:tc>
      </w:tr>
      <w:tr w:rsidR="002425ED" w:rsidRPr="00B80CFC" w14:paraId="2A7C2492" w14:textId="77777777" w:rsidTr="3CE3500B">
        <w:tc>
          <w:tcPr>
            <w:tcW w:w="9660" w:type="dxa"/>
            <w:gridSpan w:val="2"/>
          </w:tcPr>
          <w:p w14:paraId="1B6D9C85" w14:textId="0971983F" w:rsidR="00D244A6" w:rsidRPr="00FB2292" w:rsidRDefault="008D17D7" w:rsidP="5D1CD24A">
            <w:pPr>
              <w:pStyle w:val="Default"/>
              <w:rPr>
                <w:rFonts w:asciiTheme="minorHAnsi" w:hAnsiTheme="minorHAnsi" w:cstheme="minorBidi"/>
                <w:sz w:val="22"/>
                <w:szCs w:val="22"/>
              </w:rPr>
            </w:pPr>
            <w:r w:rsidRPr="5D1CD24A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Other Stakeholders Involved</w:t>
            </w:r>
            <w:r w:rsidR="1D3E4E37" w:rsidRPr="5D1CD24A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:</w:t>
            </w:r>
            <w:r w:rsidR="00FB2292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 </w:t>
            </w:r>
            <w:r w:rsidR="00FB2292">
              <w:rPr>
                <w:rFonts w:asciiTheme="minorHAnsi" w:hAnsiTheme="minorHAnsi" w:cstheme="minorBidi"/>
                <w:sz w:val="22"/>
                <w:szCs w:val="22"/>
              </w:rPr>
              <w:t>James Pforr (FHWA)</w:t>
            </w:r>
          </w:p>
          <w:p w14:paraId="2E2A5E9B" w14:textId="5DF0FC25" w:rsidR="00D244A6" w:rsidRPr="00B80CFC" w:rsidRDefault="00D244A6" w:rsidP="5D1CD24A">
            <w:pPr>
              <w:pStyle w:val="Default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</w:p>
        </w:tc>
      </w:tr>
      <w:tr w:rsidR="00812742" w:rsidRPr="00B80CFC" w14:paraId="377FD405" w14:textId="77777777" w:rsidTr="3CE3500B">
        <w:tc>
          <w:tcPr>
            <w:tcW w:w="9660" w:type="dxa"/>
            <w:gridSpan w:val="2"/>
          </w:tcPr>
          <w:p w14:paraId="796F2232" w14:textId="6BE8E1D1" w:rsidR="00812742" w:rsidRPr="00B80CFC" w:rsidRDefault="5ED8A140" w:rsidP="00FB2292">
            <w:pPr>
              <w:pStyle w:val="Default"/>
              <w:rPr>
                <w:rFonts w:asciiTheme="minorHAnsi" w:hAnsiTheme="minorHAnsi" w:cstheme="minorBidi"/>
                <w:sz w:val="22"/>
                <w:szCs w:val="22"/>
              </w:rPr>
            </w:pPr>
            <w:r w:rsidRPr="3CE3500B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Technical </w:t>
            </w:r>
            <w:r w:rsidR="008D17D7" w:rsidRPr="3CE3500B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Area(s</w:t>
            </w:r>
            <w:r w:rsidR="74028E6B" w:rsidRPr="3CE3500B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):</w:t>
            </w:r>
            <w:r w:rsidR="008D17D7" w:rsidRPr="3CE3500B">
              <w:rPr>
                <w:rFonts w:asciiTheme="minorHAnsi" w:hAnsiTheme="minorHAnsi" w:cstheme="minorBidi"/>
                <w:sz w:val="22"/>
                <w:szCs w:val="22"/>
              </w:rPr>
              <w:t xml:space="preserve"> Materials-BMD</w:t>
            </w:r>
          </w:p>
        </w:tc>
      </w:tr>
      <w:tr w:rsidR="002425ED" w:rsidRPr="00B80CFC" w14:paraId="2DA44373" w14:textId="77777777" w:rsidTr="3CE3500B">
        <w:trPr>
          <w:trHeight w:val="414"/>
        </w:trPr>
        <w:tc>
          <w:tcPr>
            <w:tcW w:w="9660" w:type="dxa"/>
            <w:gridSpan w:val="2"/>
          </w:tcPr>
          <w:p w14:paraId="2CCD05CB" w14:textId="7471E7CF" w:rsidR="004404D4" w:rsidRDefault="00065FF5" w:rsidP="26FC9BC4">
            <w:pPr>
              <w:pStyle w:val="Default"/>
              <w:rPr>
                <w:rFonts w:asciiTheme="minorHAnsi" w:hAnsiTheme="minorHAnsi" w:cstheme="minorBidi"/>
                <w:sz w:val="22"/>
                <w:szCs w:val="22"/>
              </w:rPr>
            </w:pPr>
            <w:r w:rsidRPr="26FC9BC4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Project Background</w:t>
            </w:r>
            <w:r w:rsidR="3607E0D1" w:rsidRPr="26FC9BC4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:</w:t>
            </w:r>
            <w:r w:rsidR="00FB2292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 </w:t>
            </w:r>
            <w:r w:rsidR="00FB2292">
              <w:rPr>
                <w:rFonts w:asciiTheme="minorHAnsi" w:hAnsiTheme="minorHAnsi" w:cstheme="minorBidi"/>
                <w:sz w:val="22"/>
                <w:szCs w:val="22"/>
              </w:rPr>
              <w:t>WisDOT is in the process of implementing Balanced Mixture Design (BMD) concepts into construction specificatio</w:t>
            </w:r>
            <w:r w:rsidR="00A232D4">
              <w:rPr>
                <w:rFonts w:asciiTheme="minorHAnsi" w:hAnsiTheme="minorHAnsi" w:cstheme="minorBidi"/>
                <w:sz w:val="22"/>
                <w:szCs w:val="22"/>
              </w:rPr>
              <w:t>ns</w:t>
            </w:r>
            <w:r w:rsidR="00FB2292">
              <w:rPr>
                <w:rFonts w:asciiTheme="minorHAnsi" w:hAnsiTheme="minorHAnsi" w:cstheme="minorBidi"/>
                <w:sz w:val="22"/>
                <w:szCs w:val="22"/>
              </w:rPr>
              <w:t xml:space="preserve">. So far, WisDOT has evaluated available performance test methods, begun collecting BMD data for </w:t>
            </w:r>
            <w:r w:rsidR="004404D4">
              <w:rPr>
                <w:rFonts w:asciiTheme="minorHAnsi" w:hAnsiTheme="minorHAnsi" w:cstheme="minorBidi"/>
                <w:sz w:val="22"/>
                <w:szCs w:val="22"/>
              </w:rPr>
              <w:t>current mixture designs</w:t>
            </w:r>
            <w:r w:rsidR="00FB2292">
              <w:rPr>
                <w:rFonts w:asciiTheme="minorHAnsi" w:hAnsiTheme="minorHAnsi" w:cstheme="minorBidi"/>
                <w:sz w:val="22"/>
                <w:szCs w:val="22"/>
              </w:rPr>
              <w:t xml:space="preserve">, and have preliminary thresholds for quality acceptance. Prior to full implementation, more research is needed to validate performance test selection </w:t>
            </w:r>
            <w:r w:rsidR="00A232D4">
              <w:rPr>
                <w:rFonts w:asciiTheme="minorHAnsi" w:hAnsiTheme="minorHAnsi" w:cstheme="minorBidi"/>
                <w:sz w:val="22"/>
                <w:szCs w:val="22"/>
              </w:rPr>
              <w:t>in the field</w:t>
            </w:r>
            <w:r w:rsidR="00FB2292">
              <w:rPr>
                <w:rFonts w:asciiTheme="minorHAnsi" w:hAnsiTheme="minorHAnsi" w:cstheme="minorBidi"/>
                <w:sz w:val="22"/>
                <w:szCs w:val="22"/>
              </w:rPr>
              <w:t xml:space="preserve"> and to better understand variability of performance tests during production. </w:t>
            </w:r>
            <w:r w:rsidR="00A232D4">
              <w:rPr>
                <w:rFonts w:asciiTheme="minorHAnsi" w:hAnsiTheme="minorHAnsi" w:cstheme="minorBidi"/>
                <w:sz w:val="22"/>
                <w:szCs w:val="22"/>
              </w:rPr>
              <w:t>This year, a</w:t>
            </w:r>
            <w:r w:rsidR="00FB2292">
              <w:rPr>
                <w:rFonts w:asciiTheme="minorHAnsi" w:hAnsiTheme="minorHAnsi" w:cstheme="minorBidi"/>
                <w:sz w:val="22"/>
                <w:szCs w:val="22"/>
              </w:rPr>
              <w:t xml:space="preserve"> research team was contracted through WisDOT’s local research program to </w:t>
            </w:r>
            <w:r w:rsidR="004404D4">
              <w:rPr>
                <w:rFonts w:asciiTheme="minorHAnsi" w:hAnsiTheme="minorHAnsi" w:cstheme="minorBidi"/>
                <w:sz w:val="22"/>
                <w:szCs w:val="22"/>
              </w:rPr>
              <w:t>instrument field BMD test sections and conduct production style testing on WisDOT projects.</w:t>
            </w:r>
          </w:p>
          <w:p w14:paraId="27483242" w14:textId="77777777" w:rsidR="004404D4" w:rsidRDefault="004404D4" w:rsidP="26FC9BC4">
            <w:pPr>
              <w:pStyle w:val="Default"/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39727A7B" w14:textId="03B26925" w:rsidR="00210071" w:rsidRDefault="004404D4" w:rsidP="26FC9BC4">
            <w:pPr>
              <w:pStyle w:val="Default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 xml:space="preserve">The research team proposed construction of </w:t>
            </w:r>
            <w:r w:rsidR="00582AF4">
              <w:rPr>
                <w:rFonts w:asciiTheme="minorHAnsi" w:hAnsiTheme="minorHAnsi" w:cstheme="minorBidi"/>
                <w:sz w:val="22"/>
                <w:szCs w:val="22"/>
              </w:rPr>
              <w:t>6</w:t>
            </w:r>
            <w:r>
              <w:rPr>
                <w:rFonts w:asciiTheme="minorHAnsi" w:hAnsiTheme="minorHAnsi" w:cstheme="minorBidi"/>
                <w:sz w:val="22"/>
                <w:szCs w:val="22"/>
              </w:rPr>
              <w:t xml:space="preserve"> field sections and</w:t>
            </w:r>
            <w:r w:rsidR="00582AF4">
              <w:rPr>
                <w:rFonts w:asciiTheme="minorHAnsi" w:hAnsiTheme="minorHAnsi" w:cstheme="minorBidi"/>
                <w:sz w:val="22"/>
                <w:szCs w:val="22"/>
              </w:rPr>
              <w:t xml:space="preserve"> collection of 18 samples from 10 different construction projects. Researchers </w:t>
            </w:r>
            <w:r w:rsidR="000B7E3A">
              <w:rPr>
                <w:rFonts w:asciiTheme="minorHAnsi" w:hAnsiTheme="minorHAnsi" w:cstheme="minorBidi"/>
                <w:sz w:val="22"/>
                <w:szCs w:val="22"/>
              </w:rPr>
              <w:t>are expected to: 1)</w:t>
            </w:r>
            <w:r w:rsidR="00582AF4">
              <w:rPr>
                <w:rFonts w:asciiTheme="minorHAnsi" w:hAnsiTheme="minorHAnsi" w:cstheme="minorBidi"/>
                <w:sz w:val="22"/>
                <w:szCs w:val="22"/>
              </w:rPr>
              <w:t xml:space="preserve"> instrument and sampl</w:t>
            </w:r>
            <w:r w:rsidR="000B7E3A">
              <w:rPr>
                <w:rFonts w:asciiTheme="minorHAnsi" w:hAnsiTheme="minorHAnsi" w:cstheme="minorBidi"/>
                <w:sz w:val="22"/>
                <w:szCs w:val="22"/>
              </w:rPr>
              <w:t>e</w:t>
            </w:r>
            <w:r w:rsidR="00582AF4">
              <w:rPr>
                <w:rFonts w:asciiTheme="minorHAnsi" w:hAnsiTheme="minorHAnsi" w:cstheme="minorBidi"/>
                <w:sz w:val="22"/>
                <w:szCs w:val="22"/>
              </w:rPr>
              <w:t xml:space="preserve"> materials from each </w:t>
            </w:r>
            <w:r w:rsidR="00A232D4">
              <w:rPr>
                <w:rFonts w:asciiTheme="minorHAnsi" w:hAnsiTheme="minorHAnsi" w:cstheme="minorBidi"/>
                <w:sz w:val="22"/>
                <w:szCs w:val="22"/>
              </w:rPr>
              <w:t xml:space="preserve">of </w:t>
            </w:r>
            <w:r w:rsidR="00582AF4">
              <w:rPr>
                <w:rFonts w:asciiTheme="minorHAnsi" w:hAnsiTheme="minorHAnsi" w:cstheme="minorBidi"/>
                <w:sz w:val="22"/>
                <w:szCs w:val="22"/>
              </w:rPr>
              <w:t>the 6</w:t>
            </w:r>
            <w:r w:rsidR="000B7E3A">
              <w:rPr>
                <w:rFonts w:asciiTheme="minorHAnsi" w:hAnsiTheme="minorHAnsi" w:cstheme="minorBidi"/>
                <w:sz w:val="22"/>
                <w:szCs w:val="22"/>
              </w:rPr>
              <w:t xml:space="preserve"> field</w:t>
            </w:r>
            <w:r w:rsidR="00582AF4">
              <w:rPr>
                <w:rFonts w:asciiTheme="minorHAnsi" w:hAnsiTheme="minorHAnsi" w:cstheme="minorBidi"/>
                <w:sz w:val="22"/>
                <w:szCs w:val="22"/>
              </w:rPr>
              <w:t xml:space="preserve"> test sections</w:t>
            </w:r>
            <w:r w:rsidR="000B7E3A">
              <w:rPr>
                <w:rFonts w:asciiTheme="minorHAnsi" w:hAnsiTheme="minorHAnsi" w:cstheme="minorBidi"/>
                <w:sz w:val="22"/>
                <w:szCs w:val="22"/>
              </w:rPr>
              <w:t xml:space="preserve"> and 2)</w:t>
            </w:r>
            <w:r w:rsidR="00582AF4">
              <w:rPr>
                <w:rFonts w:asciiTheme="minorHAnsi" w:hAnsiTheme="minorHAnsi" w:cstheme="minorBidi"/>
                <w:sz w:val="22"/>
                <w:szCs w:val="22"/>
              </w:rPr>
              <w:t xml:space="preserve"> conduct performance testing </w:t>
            </w:r>
            <w:r w:rsidR="00A232D4">
              <w:rPr>
                <w:rFonts w:asciiTheme="minorHAnsi" w:hAnsiTheme="minorHAnsi" w:cstheme="minorBidi"/>
                <w:sz w:val="22"/>
                <w:szCs w:val="22"/>
              </w:rPr>
              <w:t>on</w:t>
            </w:r>
            <w:r w:rsidR="00582AF4">
              <w:rPr>
                <w:rFonts w:asciiTheme="minorHAnsi" w:hAnsiTheme="minorHAnsi" w:cstheme="minorBidi"/>
                <w:sz w:val="22"/>
                <w:szCs w:val="22"/>
              </w:rPr>
              <w:t xml:space="preserve"> 6 of the 10 construction projects. </w:t>
            </w:r>
            <w:r w:rsidR="001D40C9">
              <w:rPr>
                <w:rFonts w:asciiTheme="minorHAnsi" w:hAnsiTheme="minorHAnsi" w:cstheme="minorBidi"/>
                <w:sz w:val="22"/>
                <w:szCs w:val="22"/>
              </w:rPr>
              <w:t>To have a successful project, WisDOT is tasked with</w:t>
            </w:r>
            <w:r w:rsidR="00A232D4">
              <w:rPr>
                <w:rFonts w:asciiTheme="minorHAnsi" w:hAnsiTheme="minorHAnsi" w:cstheme="minorBidi"/>
                <w:sz w:val="22"/>
                <w:szCs w:val="22"/>
              </w:rPr>
              <w:t xml:space="preserve"> test section</w:t>
            </w:r>
            <w:r w:rsidR="001D40C9">
              <w:rPr>
                <w:rFonts w:asciiTheme="minorHAnsi" w:hAnsiTheme="minorHAnsi" w:cstheme="minorBidi"/>
                <w:sz w:val="22"/>
                <w:szCs w:val="22"/>
              </w:rPr>
              <w:t xml:space="preserve"> project</w:t>
            </w:r>
            <w:r w:rsidR="00441096">
              <w:rPr>
                <w:rFonts w:asciiTheme="minorHAnsi" w:hAnsiTheme="minorHAnsi" w:cstheme="minorBidi"/>
                <w:sz w:val="22"/>
                <w:szCs w:val="22"/>
              </w:rPr>
              <w:t xml:space="preserve"> selection</w:t>
            </w:r>
            <w:r w:rsidR="00A232D4">
              <w:rPr>
                <w:rFonts w:asciiTheme="minorHAnsi" w:hAnsiTheme="minorHAnsi" w:cstheme="minorBidi"/>
                <w:sz w:val="22"/>
                <w:szCs w:val="22"/>
              </w:rPr>
              <w:t>,</w:t>
            </w:r>
            <w:r w:rsidR="00441096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="00A232D4">
              <w:rPr>
                <w:rFonts w:asciiTheme="minorHAnsi" w:hAnsiTheme="minorHAnsi" w:cstheme="minorBidi"/>
                <w:sz w:val="22"/>
                <w:szCs w:val="22"/>
              </w:rPr>
              <w:t>oversight</w:t>
            </w:r>
            <w:r w:rsidR="00441096">
              <w:rPr>
                <w:rFonts w:asciiTheme="minorHAnsi" w:hAnsiTheme="minorHAnsi" w:cstheme="minorBidi"/>
                <w:sz w:val="22"/>
                <w:szCs w:val="22"/>
              </w:rPr>
              <w:t xml:space="preserve"> of the field test sections</w:t>
            </w:r>
            <w:r w:rsidR="00A232D4">
              <w:rPr>
                <w:rFonts w:asciiTheme="minorHAnsi" w:hAnsiTheme="minorHAnsi" w:cstheme="minorBidi"/>
                <w:sz w:val="22"/>
                <w:szCs w:val="22"/>
              </w:rPr>
              <w:t>,</w:t>
            </w:r>
            <w:r w:rsidR="00441096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="001D40C9">
              <w:rPr>
                <w:rFonts w:asciiTheme="minorHAnsi" w:hAnsiTheme="minorHAnsi" w:cstheme="minorBidi"/>
                <w:sz w:val="22"/>
                <w:szCs w:val="22"/>
              </w:rPr>
              <w:t>and sampl</w:t>
            </w:r>
            <w:r w:rsidR="00441096">
              <w:rPr>
                <w:rFonts w:asciiTheme="minorHAnsi" w:hAnsiTheme="minorHAnsi" w:cstheme="minorBidi"/>
                <w:sz w:val="22"/>
                <w:szCs w:val="22"/>
              </w:rPr>
              <w:t>ing</w:t>
            </w:r>
            <w:r w:rsidR="00C01361">
              <w:rPr>
                <w:rFonts w:asciiTheme="minorHAnsi" w:hAnsiTheme="minorHAnsi" w:cstheme="minorBidi"/>
                <w:sz w:val="22"/>
                <w:szCs w:val="22"/>
              </w:rPr>
              <w:t>/testing</w:t>
            </w:r>
            <w:r w:rsidR="00A232D4">
              <w:rPr>
                <w:rFonts w:asciiTheme="minorHAnsi" w:hAnsiTheme="minorHAnsi" w:cstheme="minorBidi"/>
                <w:sz w:val="22"/>
                <w:szCs w:val="22"/>
              </w:rPr>
              <w:t xml:space="preserve"> during production of</w:t>
            </w:r>
            <w:r w:rsidR="001D40C9">
              <w:rPr>
                <w:rFonts w:asciiTheme="minorHAnsi" w:hAnsiTheme="minorHAnsi" w:cstheme="minorBidi"/>
                <w:sz w:val="22"/>
                <w:szCs w:val="22"/>
              </w:rPr>
              <w:t xml:space="preserve"> 10 different construction projects. </w:t>
            </w:r>
          </w:p>
          <w:p w14:paraId="3FC2D11C" w14:textId="77777777" w:rsidR="00210071" w:rsidRDefault="00210071" w:rsidP="26FC9BC4">
            <w:pPr>
              <w:pStyle w:val="Default"/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3DF5A766" w14:textId="545847C4" w:rsidR="002425ED" w:rsidRPr="00FB2292" w:rsidRDefault="00210071" w:rsidP="26FC9BC4">
            <w:pPr>
              <w:pStyle w:val="Default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WisDOT would like to use Pooled Fund resources</w:t>
            </w:r>
            <w:r w:rsidR="00441096">
              <w:rPr>
                <w:rFonts w:asciiTheme="minorHAnsi" w:hAnsiTheme="minorHAnsi" w:cstheme="minorBidi"/>
                <w:sz w:val="22"/>
                <w:szCs w:val="22"/>
              </w:rPr>
              <w:t xml:space="preserve"> to help WisDOT fulfill its local research obligations and improve/expand the project</w:t>
            </w:r>
            <w:r w:rsidR="00561893">
              <w:rPr>
                <w:rFonts w:asciiTheme="minorHAnsi" w:hAnsiTheme="minorHAnsi" w:cstheme="minorBidi"/>
                <w:sz w:val="22"/>
                <w:szCs w:val="22"/>
              </w:rPr>
              <w:t xml:space="preserve">. </w:t>
            </w:r>
            <w:r w:rsidR="00441096">
              <w:rPr>
                <w:rFonts w:asciiTheme="minorHAnsi" w:hAnsiTheme="minorHAnsi" w:cstheme="minorBidi"/>
                <w:sz w:val="22"/>
                <w:szCs w:val="22"/>
              </w:rPr>
              <w:t>WisDOT requests t</w:t>
            </w:r>
            <w:r>
              <w:rPr>
                <w:rFonts w:asciiTheme="minorHAnsi" w:hAnsiTheme="minorHAnsi" w:cstheme="minorBidi"/>
                <w:sz w:val="22"/>
                <w:szCs w:val="22"/>
              </w:rPr>
              <w:t>echnical guidance</w:t>
            </w:r>
            <w:r w:rsidR="00441096">
              <w:rPr>
                <w:rFonts w:asciiTheme="minorHAnsi" w:hAnsiTheme="minorHAnsi" w:cstheme="minorBidi"/>
                <w:sz w:val="22"/>
                <w:szCs w:val="22"/>
              </w:rPr>
              <w:t xml:space="preserve"> for contract provision development,</w:t>
            </w:r>
            <w:r>
              <w:rPr>
                <w:rFonts w:asciiTheme="minorHAnsi" w:hAnsiTheme="minorHAnsi" w:cstheme="minorBidi"/>
                <w:sz w:val="22"/>
                <w:szCs w:val="22"/>
              </w:rPr>
              <w:t xml:space="preserve"> support for</w:t>
            </w:r>
            <w:r w:rsidR="00441096">
              <w:rPr>
                <w:rFonts w:asciiTheme="minorHAnsi" w:hAnsiTheme="minorHAnsi" w:cstheme="minorBidi"/>
                <w:sz w:val="22"/>
                <w:szCs w:val="22"/>
              </w:rPr>
              <w:t xml:space="preserve"> test section</w:t>
            </w:r>
            <w:r>
              <w:rPr>
                <w:rFonts w:asciiTheme="minorHAnsi" w:hAnsiTheme="minorHAnsi" w:cstheme="minorBidi"/>
                <w:sz w:val="22"/>
                <w:szCs w:val="22"/>
              </w:rPr>
              <w:t xml:space="preserve"> sensor installation</w:t>
            </w:r>
            <w:r w:rsidR="00561893">
              <w:rPr>
                <w:rFonts w:asciiTheme="minorHAnsi" w:hAnsiTheme="minorHAnsi" w:cstheme="minorBidi"/>
                <w:sz w:val="22"/>
                <w:szCs w:val="22"/>
              </w:rPr>
              <w:t>,</w:t>
            </w:r>
            <w:r>
              <w:rPr>
                <w:rFonts w:asciiTheme="minorHAnsi" w:hAnsiTheme="minorHAnsi" w:cstheme="minorBidi"/>
                <w:sz w:val="22"/>
                <w:szCs w:val="22"/>
              </w:rPr>
              <w:t xml:space="preserve"> and</w:t>
            </w:r>
            <w:r w:rsidR="00441096">
              <w:rPr>
                <w:rFonts w:asciiTheme="minorHAnsi" w:hAnsiTheme="minorHAnsi" w:cstheme="minorBidi"/>
                <w:sz w:val="22"/>
                <w:szCs w:val="22"/>
              </w:rPr>
              <w:t xml:space="preserve"> consultant help for material sampling</w:t>
            </w:r>
            <w:r>
              <w:rPr>
                <w:rFonts w:asciiTheme="minorHAnsi" w:hAnsiTheme="minorHAnsi" w:cstheme="minorBidi"/>
                <w:sz w:val="22"/>
                <w:szCs w:val="22"/>
              </w:rPr>
              <w:t xml:space="preserve">. </w:t>
            </w:r>
            <w:r w:rsidR="001D40C9">
              <w:rPr>
                <w:rFonts w:asciiTheme="minorHAnsi" w:hAnsiTheme="minorHAnsi" w:cstheme="minorBidi"/>
                <w:sz w:val="22"/>
                <w:szCs w:val="22"/>
              </w:rPr>
              <w:t xml:space="preserve">In addition, </w:t>
            </w:r>
            <w:r w:rsidR="00441096">
              <w:rPr>
                <w:rFonts w:asciiTheme="minorHAnsi" w:hAnsiTheme="minorHAnsi" w:cstheme="minorBidi"/>
                <w:sz w:val="22"/>
                <w:szCs w:val="22"/>
              </w:rPr>
              <w:t>WisDOT requests funds to</w:t>
            </w:r>
            <w:r w:rsidR="00B547B8">
              <w:rPr>
                <w:rFonts w:asciiTheme="minorHAnsi" w:hAnsiTheme="minorHAnsi" w:cstheme="minorBidi"/>
                <w:sz w:val="22"/>
                <w:szCs w:val="22"/>
              </w:rPr>
              <w:t xml:space="preserve"> increase</w:t>
            </w:r>
            <w:r w:rsidR="00C01361">
              <w:rPr>
                <w:rFonts w:asciiTheme="minorHAnsi" w:hAnsiTheme="minorHAnsi" w:cstheme="minorBidi"/>
                <w:sz w:val="22"/>
                <w:szCs w:val="22"/>
              </w:rPr>
              <w:t xml:space="preserve"> the project’s sample size as needed</w:t>
            </w:r>
            <w:r w:rsidR="001D40C9">
              <w:rPr>
                <w:rFonts w:asciiTheme="minorHAnsi" w:hAnsiTheme="minorHAnsi" w:cstheme="minorBidi"/>
                <w:sz w:val="22"/>
                <w:szCs w:val="22"/>
              </w:rPr>
              <w:t>.</w:t>
            </w:r>
          </w:p>
          <w:p w14:paraId="6D5D4A3D" w14:textId="77777777" w:rsidR="009F2070" w:rsidRPr="00B80CFC" w:rsidRDefault="009F2070" w:rsidP="5D1CD24A">
            <w:pPr>
              <w:pStyle w:val="Default"/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099ADCAA" w14:textId="71217AFD" w:rsidR="5D1CD24A" w:rsidRDefault="5D1CD24A" w:rsidP="5D1CD24A">
            <w:pPr>
              <w:pStyle w:val="Default"/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2EF5FAD3" w14:textId="56217766" w:rsidR="009F2070" w:rsidRPr="00B80CFC" w:rsidRDefault="009F2070" w:rsidP="26FC9BC4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</w:p>
        </w:tc>
      </w:tr>
      <w:tr w:rsidR="009F2070" w:rsidRPr="00B80CFC" w14:paraId="0AAE9868" w14:textId="77777777" w:rsidTr="3CE3500B">
        <w:trPr>
          <w:trHeight w:val="414"/>
        </w:trPr>
        <w:tc>
          <w:tcPr>
            <w:tcW w:w="9660" w:type="dxa"/>
            <w:gridSpan w:val="2"/>
          </w:tcPr>
          <w:p w14:paraId="11BC619B" w14:textId="33387508" w:rsidR="009F2070" w:rsidRPr="00B80CFC" w:rsidRDefault="00065FF5" w:rsidP="002425ED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Project </w:t>
            </w:r>
            <w:r w:rsidR="009F2070" w:rsidRPr="00B80C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Objective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</w:t>
            </w:r>
            <w:r w:rsidR="009F2070" w:rsidRPr="00B80C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  <w:p w14:paraId="2D0639EB" w14:textId="6F1F1F50" w:rsidR="00982275" w:rsidRDefault="001D40C9" w:rsidP="00982275">
            <w:pPr>
              <w:pStyle w:val="Default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Provide technical</w:t>
            </w:r>
            <w:r w:rsidR="00982275">
              <w:rPr>
                <w:rFonts w:asciiTheme="minorHAnsi" w:hAnsiTheme="minorHAnsi" w:cstheme="minorBidi"/>
                <w:sz w:val="22"/>
                <w:szCs w:val="22"/>
              </w:rPr>
              <w:t xml:space="preserve"> and financial</w:t>
            </w:r>
            <w:r>
              <w:rPr>
                <w:rFonts w:asciiTheme="minorHAnsi" w:hAnsiTheme="minorHAnsi" w:cstheme="minorBidi"/>
                <w:sz w:val="22"/>
                <w:szCs w:val="22"/>
              </w:rPr>
              <w:t xml:space="preserve"> support for development of field test sections</w:t>
            </w:r>
            <w:r w:rsidR="00441096">
              <w:rPr>
                <w:rFonts w:asciiTheme="minorHAnsi" w:hAnsiTheme="minorHAnsi" w:cstheme="minorBidi"/>
                <w:sz w:val="22"/>
                <w:szCs w:val="22"/>
              </w:rPr>
              <w:t>.</w:t>
            </w:r>
          </w:p>
          <w:p w14:paraId="12854B48" w14:textId="77777777" w:rsidR="00982275" w:rsidRDefault="00982275" w:rsidP="00982275">
            <w:pPr>
              <w:pStyle w:val="Default"/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23C024D4" w14:textId="031BF028" w:rsidR="00982275" w:rsidRDefault="00982275" w:rsidP="5D1CD24A">
            <w:pPr>
              <w:pStyle w:val="Default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Contract consultant and/or research team to sample and test mixtures during HMA production and help analyze</w:t>
            </w:r>
            <w:r w:rsidR="00441096">
              <w:rPr>
                <w:rFonts w:asciiTheme="minorHAnsi" w:hAnsiTheme="minorHAnsi" w:cstheme="minorBidi"/>
                <w:sz w:val="22"/>
                <w:szCs w:val="22"/>
              </w:rPr>
              <w:t xml:space="preserve"> production</w:t>
            </w:r>
            <w:r>
              <w:rPr>
                <w:rFonts w:asciiTheme="minorHAnsi" w:hAnsiTheme="minorHAnsi" w:cstheme="minorBidi"/>
                <w:sz w:val="22"/>
                <w:szCs w:val="22"/>
              </w:rPr>
              <w:t xml:space="preserve"> variabilit</w:t>
            </w:r>
            <w:r w:rsidR="00441096">
              <w:rPr>
                <w:rFonts w:asciiTheme="minorHAnsi" w:hAnsiTheme="minorHAnsi" w:cstheme="minorBidi"/>
                <w:sz w:val="22"/>
                <w:szCs w:val="22"/>
              </w:rPr>
              <w:t>y</w:t>
            </w:r>
            <w:r>
              <w:rPr>
                <w:rFonts w:asciiTheme="minorHAnsi" w:hAnsiTheme="minorHAnsi" w:cstheme="minorBidi"/>
                <w:sz w:val="22"/>
                <w:szCs w:val="22"/>
              </w:rPr>
              <w:t xml:space="preserve">. </w:t>
            </w:r>
            <w:r w:rsidR="001D40C9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</w:p>
          <w:p w14:paraId="4F40F973" w14:textId="77777777" w:rsidR="009F2070" w:rsidRPr="00B80CFC" w:rsidRDefault="009F2070" w:rsidP="002425ED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2425ED" w:rsidRPr="00B80CFC" w14:paraId="48F3D796" w14:textId="77777777" w:rsidTr="3CE3500B">
        <w:trPr>
          <w:trHeight w:val="558"/>
        </w:trPr>
        <w:tc>
          <w:tcPr>
            <w:tcW w:w="9660" w:type="dxa"/>
            <w:gridSpan w:val="2"/>
          </w:tcPr>
          <w:p w14:paraId="67198946" w14:textId="0ED19F43" w:rsidR="002425ED" w:rsidRPr="00B80CFC" w:rsidRDefault="00065FF5" w:rsidP="5D1CD24A">
            <w:pPr>
              <w:overflowPunct w:val="0"/>
              <w:textAlignment w:val="baseline"/>
              <w:rPr>
                <w:rFonts w:asciiTheme="minorHAnsi" w:hAnsiTheme="minorHAnsi" w:cstheme="minorBidi"/>
                <w:sz w:val="22"/>
                <w:szCs w:val="22"/>
              </w:rPr>
            </w:pPr>
            <w:r w:rsidRPr="5D1CD24A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Project </w:t>
            </w:r>
            <w:r w:rsidR="002425ED" w:rsidRPr="5D1CD24A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Deliverables and </w:t>
            </w:r>
            <w:r w:rsidRPr="5D1CD24A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Outcomes</w:t>
            </w:r>
            <w:r w:rsidR="0C900828" w:rsidRPr="5D1CD24A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:</w:t>
            </w:r>
            <w:r w:rsidRPr="5D1CD24A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</w:p>
          <w:p w14:paraId="59B424CF" w14:textId="7F5998E8" w:rsidR="009F2070" w:rsidRDefault="009F2070" w:rsidP="002425ED">
            <w:pPr>
              <w:overflowPunct w:val="0"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B4BFFEF" w14:textId="71DF7EEE" w:rsidR="00982275" w:rsidRDefault="00982275" w:rsidP="002425ED">
            <w:pPr>
              <w:overflowPunct w:val="0"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Long term performance evaluation of field test sections to validate efficacy of select performance tests.</w:t>
            </w:r>
          </w:p>
          <w:p w14:paraId="2615632E" w14:textId="1D8A92C9" w:rsidR="00982275" w:rsidRDefault="00982275" w:rsidP="002425ED">
            <w:pPr>
              <w:overflowPunct w:val="0"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82DEFE6" w14:textId="227258BB" w:rsidR="00982275" w:rsidRDefault="00982275" w:rsidP="002425ED">
            <w:pPr>
              <w:overflowPunct w:val="0"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Structu</w:t>
            </w:r>
            <w:r w:rsidR="00210071">
              <w:rPr>
                <w:rFonts w:asciiTheme="minorHAnsi" w:hAnsiTheme="minorHAnsi" w:cstheme="minorHAnsi"/>
                <w:bCs/>
                <w:sz w:val="22"/>
                <w:szCs w:val="22"/>
              </w:rPr>
              <w:t>ral analysis of test sections using pavement sensor data.</w:t>
            </w:r>
          </w:p>
          <w:p w14:paraId="4574A5E5" w14:textId="77777777" w:rsidR="000B7E3A" w:rsidRDefault="000B7E3A" w:rsidP="002425ED">
            <w:pPr>
              <w:overflowPunct w:val="0"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5A12984" w14:textId="631B0BA7" w:rsidR="00982275" w:rsidRPr="00B80CFC" w:rsidRDefault="00982275" w:rsidP="002425ED">
            <w:pPr>
              <w:overflowPunct w:val="0"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Quantify effects of production variability on</w:t>
            </w:r>
            <w:r w:rsidR="000B7E3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an expanded set of </w:t>
            </w:r>
            <w:r w:rsidR="0044109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mixture </w:t>
            </w:r>
            <w:r w:rsidR="000B7E3A">
              <w:rPr>
                <w:rFonts w:asciiTheme="minorHAnsi" w:hAnsiTheme="minorHAnsi" w:cstheme="minorHAnsi"/>
                <w:bCs/>
                <w:sz w:val="22"/>
                <w:szCs w:val="22"/>
              </w:rPr>
              <w:t>performance tests.</w:t>
            </w:r>
          </w:p>
          <w:p w14:paraId="518C7D49" w14:textId="6FB34DBF" w:rsidR="002425ED" w:rsidRPr="00B80CFC" w:rsidRDefault="002425ED" w:rsidP="26FC9BC4">
            <w:pPr>
              <w:overflowPunct w:val="0"/>
              <w:textAlignment w:val="baseline"/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5408EB3F" w14:textId="12D3FBCC" w:rsidR="002425ED" w:rsidRPr="00B80CFC" w:rsidRDefault="002425ED" w:rsidP="26FC9BC4">
            <w:pPr>
              <w:overflowPunct w:val="0"/>
              <w:textAlignment w:val="baseline"/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6EF505FE" w14:textId="2EC525C7" w:rsidR="002425ED" w:rsidRPr="00B80CFC" w:rsidRDefault="002425ED" w:rsidP="26FC9BC4">
            <w:pPr>
              <w:overflowPunct w:val="0"/>
              <w:textAlignment w:val="baseline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9F2070" w:rsidRPr="00B80CFC" w14:paraId="43C4BCCB" w14:textId="77777777" w:rsidTr="3CE3500B">
        <w:trPr>
          <w:trHeight w:val="558"/>
        </w:trPr>
        <w:tc>
          <w:tcPr>
            <w:tcW w:w="9660" w:type="dxa"/>
            <w:gridSpan w:val="2"/>
          </w:tcPr>
          <w:p w14:paraId="28563505" w14:textId="77777777" w:rsidR="00210071" w:rsidRDefault="267878A4" w:rsidP="5D1CD24A">
            <w:pPr>
              <w:overflowPunct w:val="0"/>
              <w:textAlignment w:val="baseline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3CE3500B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lastRenderedPageBreak/>
              <w:t xml:space="preserve">Project </w:t>
            </w:r>
            <w:r w:rsidR="00065FF5" w:rsidRPr="3CE3500B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Schedule</w:t>
            </w:r>
            <w:r w:rsidR="77483329" w:rsidRPr="3CE3500B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: </w:t>
            </w:r>
          </w:p>
          <w:p w14:paraId="4F35B55C" w14:textId="77777777" w:rsidR="00210071" w:rsidRDefault="00210071" w:rsidP="5D1CD24A">
            <w:pPr>
              <w:overflowPunct w:val="0"/>
              <w:textAlignment w:val="baseline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</w:p>
          <w:p w14:paraId="6B91A116" w14:textId="16EBF57D" w:rsidR="009F2070" w:rsidRDefault="00210071" w:rsidP="5D1CD24A">
            <w:pPr>
              <w:overflowPunct w:val="0"/>
              <w:textAlignment w:val="baseline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Construction test sections – Summer 2022</w:t>
            </w:r>
          </w:p>
          <w:p w14:paraId="6C6B49D5" w14:textId="77777777" w:rsidR="00210071" w:rsidRDefault="00210071" w:rsidP="5D1CD24A">
            <w:pPr>
              <w:overflowPunct w:val="0"/>
              <w:textAlignment w:val="baseline"/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49ED7995" w14:textId="27205B9A" w:rsidR="00210071" w:rsidRDefault="00210071" w:rsidP="5D1CD24A">
            <w:pPr>
              <w:overflowPunct w:val="0"/>
              <w:textAlignment w:val="baseline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Sampling and testing of select field projects – Sampling construction season 2022. Testing completed Winter of 2022</w:t>
            </w:r>
          </w:p>
          <w:p w14:paraId="341EA6A6" w14:textId="6AFC5D06" w:rsidR="00210071" w:rsidRDefault="00210071" w:rsidP="5D1CD24A">
            <w:pPr>
              <w:overflowPunct w:val="0"/>
              <w:textAlignment w:val="baseline"/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7EA8B6C5" w14:textId="4434AD94" w:rsidR="00210071" w:rsidRDefault="00210071" w:rsidP="5D1CD24A">
            <w:pPr>
              <w:overflowPunct w:val="0"/>
              <w:textAlignment w:val="baseline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Preliminary field performance measurements – Spring/summer 2023</w:t>
            </w:r>
          </w:p>
          <w:p w14:paraId="33F3F297" w14:textId="30AE4CF2" w:rsidR="00210071" w:rsidRDefault="00210071" w:rsidP="5D1CD24A">
            <w:pPr>
              <w:overflowPunct w:val="0"/>
              <w:textAlignment w:val="baseline"/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29D3B901" w14:textId="699909B7" w:rsidR="00210071" w:rsidRDefault="00210071" w:rsidP="5D1CD24A">
            <w:pPr>
              <w:overflowPunct w:val="0"/>
              <w:textAlignment w:val="baseline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Local research closeout– September 2023</w:t>
            </w:r>
          </w:p>
          <w:p w14:paraId="1593021D" w14:textId="1AEFC9FD" w:rsidR="00210071" w:rsidRPr="00B80CFC" w:rsidRDefault="00210071" w:rsidP="5D1CD24A">
            <w:pPr>
              <w:overflowPunct w:val="0"/>
              <w:textAlignment w:val="baseline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9F2070" w:rsidRPr="00B80CFC" w14:paraId="7A437180" w14:textId="77777777" w:rsidTr="3CE3500B">
        <w:trPr>
          <w:trHeight w:val="558"/>
        </w:trPr>
        <w:tc>
          <w:tcPr>
            <w:tcW w:w="9660" w:type="dxa"/>
            <w:gridSpan w:val="2"/>
          </w:tcPr>
          <w:p w14:paraId="3F54679C" w14:textId="3B2A7D14" w:rsidR="00441096" w:rsidRDefault="28395FC8" w:rsidP="3CE3500B">
            <w:pPr>
              <w:overflowPunct w:val="0"/>
              <w:textAlignment w:val="baseline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3CE3500B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Total Project </w:t>
            </w:r>
            <w:r w:rsidR="00065FF5" w:rsidRPr="3CE3500B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Cost</w:t>
            </w:r>
            <w:r w:rsidR="0474700D" w:rsidRPr="3CE3500B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:</w:t>
            </w:r>
            <w:r w:rsidR="6AD07E55" w:rsidRPr="3CE3500B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 </w:t>
            </w:r>
            <w:r w:rsidR="0474700D" w:rsidRPr="3CE3500B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  </w:t>
            </w:r>
          </w:p>
          <w:p w14:paraId="65244DEE" w14:textId="68D28167" w:rsidR="009F2070" w:rsidRDefault="00441096" w:rsidP="3CE3500B">
            <w:pPr>
              <w:overflowPunct w:val="0"/>
              <w:textAlignment w:val="baseline"/>
              <w:rPr>
                <w:rFonts w:asciiTheme="minorHAnsi" w:hAnsiTheme="minorHAnsi" w:cstheme="minorBidi"/>
                <w:sz w:val="22"/>
                <w:szCs w:val="22"/>
              </w:rPr>
            </w:pPr>
            <w:r w:rsidRPr="00441096">
              <w:rPr>
                <w:rFonts w:asciiTheme="minorHAnsi" w:hAnsiTheme="minorHAnsi" w:cstheme="minorBidi"/>
                <w:sz w:val="22"/>
                <w:szCs w:val="22"/>
              </w:rPr>
              <w:t>$250,000</w:t>
            </w:r>
            <w:r w:rsidR="00210071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br/>
            </w:r>
          </w:p>
          <w:p w14:paraId="2685E8DF" w14:textId="13E2214D" w:rsidR="00210071" w:rsidRPr="00B80CFC" w:rsidRDefault="00210071" w:rsidP="00441096">
            <w:pPr>
              <w:overflowPunct w:val="0"/>
              <w:textAlignment w:val="baseline"/>
              <w:rPr>
                <w:rFonts w:eastAsia="Verdana" w:cs="Verdana"/>
                <w:color w:val="333333"/>
                <w:sz w:val="19"/>
                <w:szCs w:val="19"/>
              </w:rPr>
            </w:pPr>
          </w:p>
        </w:tc>
      </w:tr>
      <w:tr w:rsidR="002425ED" w:rsidRPr="00B80CFC" w14:paraId="772F3DD4" w14:textId="77777777" w:rsidTr="3CE3500B">
        <w:tc>
          <w:tcPr>
            <w:tcW w:w="9660" w:type="dxa"/>
            <w:gridSpan w:val="2"/>
          </w:tcPr>
          <w:p w14:paraId="44DD41B9" w14:textId="49D87500" w:rsidR="002425ED" w:rsidRPr="00B80CFC" w:rsidRDefault="4726060B" w:rsidP="3CE3500B">
            <w:pP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3CE3500B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2"/>
                <w:szCs w:val="22"/>
              </w:rPr>
              <w:t xml:space="preserve">The </w:t>
            </w:r>
            <w:r w:rsidR="187A7C47" w:rsidRPr="3CE3500B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2"/>
                <w:szCs w:val="22"/>
              </w:rPr>
              <w:t xml:space="preserve">Pooled Fund </w:t>
            </w:r>
            <w:r w:rsidRPr="3CE3500B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2"/>
                <w:szCs w:val="22"/>
              </w:rPr>
              <w:t>contribution</w:t>
            </w:r>
            <w:r w:rsidR="6B4DB572" w:rsidRPr="3CE3500B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2"/>
                <w:szCs w:val="22"/>
              </w:rPr>
              <w:t xml:space="preserve"> to the project can</w:t>
            </w:r>
            <w:r w:rsidRPr="3CE3500B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2"/>
                <w:szCs w:val="22"/>
              </w:rPr>
              <w:t xml:space="preserve"> provide up to $250,000, up to 100 hours of technical assistance, and resources for developing case study reports and videos for each selected demonstration project. </w:t>
            </w:r>
            <w:r w:rsidR="0415E986" w:rsidRPr="3CE3500B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2"/>
                <w:szCs w:val="22"/>
              </w:rPr>
              <w:t xml:space="preserve">Provide </w:t>
            </w:r>
            <w:r w:rsidR="3190FBA2" w:rsidRPr="3CE3500B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2"/>
                <w:szCs w:val="22"/>
              </w:rPr>
              <w:t xml:space="preserve">specific </w:t>
            </w:r>
            <w:r w:rsidR="410624ED" w:rsidRPr="3CE3500B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2"/>
                <w:szCs w:val="22"/>
              </w:rPr>
              <w:t xml:space="preserve">details for needs such as </w:t>
            </w:r>
            <w:r w:rsidR="3190FBA2" w:rsidRPr="3CE3500B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2"/>
                <w:szCs w:val="22"/>
              </w:rPr>
              <w:t>funding</w:t>
            </w:r>
            <w:r w:rsidR="6BF2BCE3" w:rsidRPr="3CE3500B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671914D2" w:rsidRPr="3CE3500B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2"/>
                <w:szCs w:val="22"/>
              </w:rPr>
              <w:t xml:space="preserve">and </w:t>
            </w:r>
            <w:r w:rsidR="3190FBA2" w:rsidRPr="3CE3500B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2"/>
                <w:szCs w:val="22"/>
              </w:rPr>
              <w:t>technical assistance</w:t>
            </w:r>
            <w:r w:rsidR="03662E27" w:rsidRPr="3CE3500B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2"/>
                <w:szCs w:val="22"/>
              </w:rPr>
              <w:t xml:space="preserve"> below</w:t>
            </w:r>
            <w:r w:rsidR="69CF4A6F" w:rsidRPr="3CE3500B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2"/>
                <w:szCs w:val="22"/>
              </w:rPr>
              <w:t>.  For example, if funding</w:t>
            </w:r>
            <w:r w:rsidR="39006F7C" w:rsidRPr="3CE3500B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2"/>
                <w:szCs w:val="22"/>
              </w:rPr>
              <w:t xml:space="preserve"> needs are</w:t>
            </w:r>
            <w:r w:rsidR="69CF4A6F" w:rsidRPr="3CE3500B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2"/>
                <w:szCs w:val="22"/>
              </w:rPr>
              <w:t xml:space="preserve"> identified</w:t>
            </w:r>
            <w:r w:rsidR="7B27ACEA" w:rsidRPr="3CE3500B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2"/>
                <w:szCs w:val="22"/>
              </w:rPr>
              <w:t>,</w:t>
            </w:r>
            <w:r w:rsidR="69CF4A6F" w:rsidRPr="3CE3500B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2"/>
                <w:szCs w:val="22"/>
              </w:rPr>
              <w:t xml:space="preserve"> describe any lump sum or multi-year funding needs </w:t>
            </w:r>
            <w:r w:rsidR="24C5E62F" w:rsidRPr="3CE3500B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2"/>
                <w:szCs w:val="22"/>
              </w:rPr>
              <w:t>and</w:t>
            </w:r>
            <w:r w:rsidR="69CF4A6F" w:rsidRPr="3CE3500B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20589786" w:rsidRPr="3CE3500B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anticipated State match</w:t>
            </w:r>
            <w:r w:rsidR="0D247C6D" w:rsidRPr="3CE3500B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.</w:t>
            </w:r>
          </w:p>
        </w:tc>
      </w:tr>
      <w:tr w:rsidR="3CE3500B" w14:paraId="0B1FC41C" w14:textId="77777777" w:rsidTr="3CE3500B">
        <w:tc>
          <w:tcPr>
            <w:tcW w:w="4830" w:type="dxa"/>
          </w:tcPr>
          <w:p w14:paraId="6A19EB73" w14:textId="7AE68B21" w:rsidR="47A307CF" w:rsidRDefault="47A307CF" w:rsidP="3CE3500B">
            <w:pP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3CE3500B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Funding Request: </w:t>
            </w:r>
            <w:r w:rsidR="00B014B6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(all 2022)</w:t>
            </w:r>
          </w:p>
          <w:p w14:paraId="4E8C89EE" w14:textId="2F0BB801" w:rsidR="00441096" w:rsidRDefault="00441096" w:rsidP="3CE3500B">
            <w:pPr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Support construction of field test sections - $50,000</w:t>
            </w:r>
          </w:p>
          <w:p w14:paraId="6F9EC132" w14:textId="5385B558" w:rsidR="00441096" w:rsidRDefault="00441096" w:rsidP="00441096">
            <w:pPr>
              <w:overflowPunct w:val="0"/>
              <w:textAlignment w:val="baseline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Production sampling and performance testing of 10 projects - $200,000 (variable depending on testing)</w:t>
            </w:r>
          </w:p>
          <w:p w14:paraId="27906D48" w14:textId="554B8DD2" w:rsidR="00441096" w:rsidRDefault="00441096" w:rsidP="3CE3500B">
            <w:pP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4830" w:type="dxa"/>
          </w:tcPr>
          <w:p w14:paraId="12540C7A" w14:textId="23D33D43" w:rsidR="3CE3500B" w:rsidRDefault="47A307CF" w:rsidP="3CE3500B">
            <w:pP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3CE3500B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Technical Assistance Request: </w:t>
            </w:r>
            <w:r w:rsidR="000B7E3A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100</w:t>
            </w:r>
            <w:r w:rsidR="00B014B6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 (2022-23)</w:t>
            </w:r>
          </w:p>
          <w:p w14:paraId="25E3E0C3" w14:textId="77777777" w:rsidR="00441096" w:rsidRDefault="00441096" w:rsidP="00441096">
            <w:pPr>
              <w:overflowPunct w:val="0"/>
              <w:textAlignment w:val="baseline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Technical support of field test sections and sampling strategies – 100 hours</w:t>
            </w:r>
          </w:p>
          <w:p w14:paraId="6F3CD887" w14:textId="44C54192" w:rsidR="3CE3500B" w:rsidRDefault="3CE3500B" w:rsidP="3CE3500B">
            <w:pP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</w:p>
        </w:tc>
      </w:tr>
    </w:tbl>
    <w:p w14:paraId="70E43F3D" w14:textId="74B41A90" w:rsidR="5D1CD24A" w:rsidRDefault="5D1CD24A"/>
    <w:p w14:paraId="43F41599" w14:textId="77777777" w:rsidR="003B5800" w:rsidRPr="00B80CFC" w:rsidRDefault="003B5800" w:rsidP="008466D5">
      <w:pPr>
        <w:rPr>
          <w:rFonts w:asciiTheme="minorHAnsi" w:hAnsiTheme="minorHAnsi" w:cstheme="minorHAnsi"/>
          <w:sz w:val="22"/>
          <w:szCs w:val="22"/>
        </w:rPr>
      </w:pPr>
    </w:p>
    <w:sectPr w:rsidR="003B5800" w:rsidRPr="00B80CFC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31507C" w14:textId="77777777" w:rsidR="007F27B7" w:rsidRDefault="007F27B7" w:rsidP="009F3721">
      <w:r>
        <w:separator/>
      </w:r>
    </w:p>
  </w:endnote>
  <w:endnote w:type="continuationSeparator" w:id="0">
    <w:p w14:paraId="1CCB6AAF" w14:textId="77777777" w:rsidR="007F27B7" w:rsidRDefault="007F27B7" w:rsidP="009F3721">
      <w:r>
        <w:continuationSeparator/>
      </w:r>
    </w:p>
  </w:endnote>
  <w:endnote w:type="continuationNotice" w:id="1">
    <w:p w14:paraId="219D91C3" w14:textId="77777777" w:rsidR="007F27B7" w:rsidRDefault="007F27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357738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213CED" w14:textId="321A4268" w:rsidR="009F3721" w:rsidRDefault="009F372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6AD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92B102A" w14:textId="77777777" w:rsidR="009F3721" w:rsidRDefault="009F37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2F9F70" w14:textId="77777777" w:rsidR="007F27B7" w:rsidRDefault="007F27B7" w:rsidP="009F3721">
      <w:r>
        <w:separator/>
      </w:r>
    </w:p>
  </w:footnote>
  <w:footnote w:type="continuationSeparator" w:id="0">
    <w:p w14:paraId="3FE818FD" w14:textId="77777777" w:rsidR="007F27B7" w:rsidRDefault="007F27B7" w:rsidP="009F3721">
      <w:r>
        <w:continuationSeparator/>
      </w:r>
    </w:p>
  </w:footnote>
  <w:footnote w:type="continuationNotice" w:id="1">
    <w:p w14:paraId="7182A8D2" w14:textId="77777777" w:rsidR="007F27B7" w:rsidRDefault="007F27B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F51A80"/>
    <w:multiLevelType w:val="hybridMultilevel"/>
    <w:tmpl w:val="B7526B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8179E"/>
    <w:multiLevelType w:val="hybridMultilevel"/>
    <w:tmpl w:val="559009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D419F5"/>
    <w:multiLevelType w:val="hybridMultilevel"/>
    <w:tmpl w:val="F538E6B8"/>
    <w:lvl w:ilvl="0" w:tplc="B3EAB25C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0A78E3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28C5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88FF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6417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3EC4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303B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D404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4271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6E63F9"/>
    <w:multiLevelType w:val="hybridMultilevel"/>
    <w:tmpl w:val="8C60B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3A52C9"/>
    <w:multiLevelType w:val="hybridMultilevel"/>
    <w:tmpl w:val="551EDE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293F95"/>
    <w:multiLevelType w:val="hybridMultilevel"/>
    <w:tmpl w:val="E67A7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881C99"/>
    <w:multiLevelType w:val="hybridMultilevel"/>
    <w:tmpl w:val="8E409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2A2"/>
    <w:rsid w:val="0000161A"/>
    <w:rsid w:val="0000707D"/>
    <w:rsid w:val="0002528A"/>
    <w:rsid w:val="00025BD1"/>
    <w:rsid w:val="00065FF5"/>
    <w:rsid w:val="00066403"/>
    <w:rsid w:val="00073397"/>
    <w:rsid w:val="00074B80"/>
    <w:rsid w:val="00085F7D"/>
    <w:rsid w:val="000A3F51"/>
    <w:rsid w:val="000B2BD6"/>
    <w:rsid w:val="000B36E2"/>
    <w:rsid w:val="000B7E3A"/>
    <w:rsid w:val="000C634F"/>
    <w:rsid w:val="000E39D7"/>
    <w:rsid w:val="0010760E"/>
    <w:rsid w:val="001165FD"/>
    <w:rsid w:val="00150C23"/>
    <w:rsid w:val="001B5861"/>
    <w:rsid w:val="001D40C9"/>
    <w:rsid w:val="001F2B04"/>
    <w:rsid w:val="001F69EA"/>
    <w:rsid w:val="001F702D"/>
    <w:rsid w:val="00204333"/>
    <w:rsid w:val="0020627C"/>
    <w:rsid w:val="00210071"/>
    <w:rsid w:val="00217C42"/>
    <w:rsid w:val="002215B1"/>
    <w:rsid w:val="002425ED"/>
    <w:rsid w:val="00265A87"/>
    <w:rsid w:val="00266FC4"/>
    <w:rsid w:val="00281CB0"/>
    <w:rsid w:val="00297608"/>
    <w:rsid w:val="002A00A7"/>
    <w:rsid w:val="002B2648"/>
    <w:rsid w:val="002F1079"/>
    <w:rsid w:val="002F4E9B"/>
    <w:rsid w:val="00302C36"/>
    <w:rsid w:val="00317701"/>
    <w:rsid w:val="00333C06"/>
    <w:rsid w:val="00393898"/>
    <w:rsid w:val="003B5800"/>
    <w:rsid w:val="003D111C"/>
    <w:rsid w:val="003E4369"/>
    <w:rsid w:val="00403826"/>
    <w:rsid w:val="00412535"/>
    <w:rsid w:val="00425CF6"/>
    <w:rsid w:val="004404D4"/>
    <w:rsid w:val="00441096"/>
    <w:rsid w:val="00444BED"/>
    <w:rsid w:val="004516DE"/>
    <w:rsid w:val="00470A9A"/>
    <w:rsid w:val="004A11B9"/>
    <w:rsid w:val="005266D0"/>
    <w:rsid w:val="00537490"/>
    <w:rsid w:val="00561893"/>
    <w:rsid w:val="00582AF4"/>
    <w:rsid w:val="005944F9"/>
    <w:rsid w:val="005C7B46"/>
    <w:rsid w:val="00621D4D"/>
    <w:rsid w:val="00646C1B"/>
    <w:rsid w:val="00647F05"/>
    <w:rsid w:val="00672A76"/>
    <w:rsid w:val="00690E8D"/>
    <w:rsid w:val="006A33B9"/>
    <w:rsid w:val="006A7DCE"/>
    <w:rsid w:val="006E7AF8"/>
    <w:rsid w:val="006F270D"/>
    <w:rsid w:val="00713E5F"/>
    <w:rsid w:val="00723059"/>
    <w:rsid w:val="00727571"/>
    <w:rsid w:val="007422A2"/>
    <w:rsid w:val="00742BBD"/>
    <w:rsid w:val="0074505B"/>
    <w:rsid w:val="007671F2"/>
    <w:rsid w:val="007A6AD0"/>
    <w:rsid w:val="007C1062"/>
    <w:rsid w:val="007E2699"/>
    <w:rsid w:val="007F2576"/>
    <w:rsid w:val="007F27B7"/>
    <w:rsid w:val="00800F39"/>
    <w:rsid w:val="00812742"/>
    <w:rsid w:val="0081498B"/>
    <w:rsid w:val="00817E32"/>
    <w:rsid w:val="0083193C"/>
    <w:rsid w:val="00837A0D"/>
    <w:rsid w:val="008466D5"/>
    <w:rsid w:val="00850770"/>
    <w:rsid w:val="00861C85"/>
    <w:rsid w:val="0089386F"/>
    <w:rsid w:val="008A0B6E"/>
    <w:rsid w:val="008C6AE0"/>
    <w:rsid w:val="008D17D7"/>
    <w:rsid w:val="008F70BD"/>
    <w:rsid w:val="009162F9"/>
    <w:rsid w:val="00926D4D"/>
    <w:rsid w:val="009306D6"/>
    <w:rsid w:val="00947A72"/>
    <w:rsid w:val="009636A3"/>
    <w:rsid w:val="00970F8B"/>
    <w:rsid w:val="0097773F"/>
    <w:rsid w:val="00982275"/>
    <w:rsid w:val="009B5B7C"/>
    <w:rsid w:val="009F2070"/>
    <w:rsid w:val="009F3721"/>
    <w:rsid w:val="00A1230D"/>
    <w:rsid w:val="00A20821"/>
    <w:rsid w:val="00A232D4"/>
    <w:rsid w:val="00A33DB2"/>
    <w:rsid w:val="00A46523"/>
    <w:rsid w:val="00A6418D"/>
    <w:rsid w:val="00A6537D"/>
    <w:rsid w:val="00A9616C"/>
    <w:rsid w:val="00AB3BED"/>
    <w:rsid w:val="00AB7AFA"/>
    <w:rsid w:val="00B014B6"/>
    <w:rsid w:val="00B0332B"/>
    <w:rsid w:val="00B40543"/>
    <w:rsid w:val="00B547B8"/>
    <w:rsid w:val="00B62BC9"/>
    <w:rsid w:val="00B73292"/>
    <w:rsid w:val="00B778B5"/>
    <w:rsid w:val="00B80CFC"/>
    <w:rsid w:val="00B85464"/>
    <w:rsid w:val="00B85CDA"/>
    <w:rsid w:val="00BA3F90"/>
    <w:rsid w:val="00BC758E"/>
    <w:rsid w:val="00BD1C8B"/>
    <w:rsid w:val="00BD4817"/>
    <w:rsid w:val="00BE2AAF"/>
    <w:rsid w:val="00BE750E"/>
    <w:rsid w:val="00C01361"/>
    <w:rsid w:val="00C048E2"/>
    <w:rsid w:val="00C13785"/>
    <w:rsid w:val="00C52FAC"/>
    <w:rsid w:val="00C56862"/>
    <w:rsid w:val="00C66D3C"/>
    <w:rsid w:val="00C67081"/>
    <w:rsid w:val="00C93D9D"/>
    <w:rsid w:val="00C96151"/>
    <w:rsid w:val="00CA181C"/>
    <w:rsid w:val="00CA4683"/>
    <w:rsid w:val="00CC5FD2"/>
    <w:rsid w:val="00CD743A"/>
    <w:rsid w:val="00CF6FB3"/>
    <w:rsid w:val="00CF72B1"/>
    <w:rsid w:val="00CF74A0"/>
    <w:rsid w:val="00CF7558"/>
    <w:rsid w:val="00CF77CA"/>
    <w:rsid w:val="00D03931"/>
    <w:rsid w:val="00D244A6"/>
    <w:rsid w:val="00D31851"/>
    <w:rsid w:val="00D348EA"/>
    <w:rsid w:val="00D3705B"/>
    <w:rsid w:val="00D42C5E"/>
    <w:rsid w:val="00D4631B"/>
    <w:rsid w:val="00D53CC8"/>
    <w:rsid w:val="00DA4B4F"/>
    <w:rsid w:val="00DD1C4D"/>
    <w:rsid w:val="00DD6164"/>
    <w:rsid w:val="00DF1AE6"/>
    <w:rsid w:val="00DF7965"/>
    <w:rsid w:val="00E02594"/>
    <w:rsid w:val="00E1307D"/>
    <w:rsid w:val="00E23A04"/>
    <w:rsid w:val="00E302B8"/>
    <w:rsid w:val="00E31060"/>
    <w:rsid w:val="00E657F5"/>
    <w:rsid w:val="00E71B51"/>
    <w:rsid w:val="00E732E2"/>
    <w:rsid w:val="00EA27F3"/>
    <w:rsid w:val="00EA7D19"/>
    <w:rsid w:val="00EB34F4"/>
    <w:rsid w:val="00EE0BB0"/>
    <w:rsid w:val="00EE1884"/>
    <w:rsid w:val="00EE4909"/>
    <w:rsid w:val="00F020A9"/>
    <w:rsid w:val="00F10C7C"/>
    <w:rsid w:val="00F1332E"/>
    <w:rsid w:val="00F177E9"/>
    <w:rsid w:val="00F23811"/>
    <w:rsid w:val="00F36596"/>
    <w:rsid w:val="00F70414"/>
    <w:rsid w:val="00F92D9F"/>
    <w:rsid w:val="00F95A3B"/>
    <w:rsid w:val="00FA665D"/>
    <w:rsid w:val="00FB2292"/>
    <w:rsid w:val="00FB53AF"/>
    <w:rsid w:val="00FD117C"/>
    <w:rsid w:val="00FD7A3D"/>
    <w:rsid w:val="0103F481"/>
    <w:rsid w:val="03662E27"/>
    <w:rsid w:val="0415E986"/>
    <w:rsid w:val="0474700D"/>
    <w:rsid w:val="0BDCD213"/>
    <w:rsid w:val="0C900828"/>
    <w:rsid w:val="0D1A1404"/>
    <w:rsid w:val="0D247C6D"/>
    <w:rsid w:val="0D78A274"/>
    <w:rsid w:val="0E794A20"/>
    <w:rsid w:val="0EC9044A"/>
    <w:rsid w:val="13B9FD85"/>
    <w:rsid w:val="15D397C3"/>
    <w:rsid w:val="164990D9"/>
    <w:rsid w:val="17ED10BE"/>
    <w:rsid w:val="187A7C47"/>
    <w:rsid w:val="1D3E4E37"/>
    <w:rsid w:val="20589786"/>
    <w:rsid w:val="223C3E74"/>
    <w:rsid w:val="23D80ED5"/>
    <w:rsid w:val="24C5E62F"/>
    <w:rsid w:val="2573DF36"/>
    <w:rsid w:val="267878A4"/>
    <w:rsid w:val="26FC9BC4"/>
    <w:rsid w:val="27246DAD"/>
    <w:rsid w:val="28395FC8"/>
    <w:rsid w:val="2C6AB0B8"/>
    <w:rsid w:val="2C7AB05C"/>
    <w:rsid w:val="2E519E2B"/>
    <w:rsid w:val="3190FBA2"/>
    <w:rsid w:val="327D01E0"/>
    <w:rsid w:val="32962A3D"/>
    <w:rsid w:val="32A69235"/>
    <w:rsid w:val="33A43AEC"/>
    <w:rsid w:val="34EA6500"/>
    <w:rsid w:val="3607E0D1"/>
    <w:rsid w:val="369E92E7"/>
    <w:rsid w:val="36EB1E47"/>
    <w:rsid w:val="37970120"/>
    <w:rsid w:val="39006F7C"/>
    <w:rsid w:val="3ACACC77"/>
    <w:rsid w:val="3CE3500B"/>
    <w:rsid w:val="3E026D39"/>
    <w:rsid w:val="3F5B84E8"/>
    <w:rsid w:val="410624ED"/>
    <w:rsid w:val="4357DEB4"/>
    <w:rsid w:val="4726060B"/>
    <w:rsid w:val="47A307CF"/>
    <w:rsid w:val="4CAF4DCA"/>
    <w:rsid w:val="5296FF50"/>
    <w:rsid w:val="537D39CB"/>
    <w:rsid w:val="5451B95A"/>
    <w:rsid w:val="56AD90C6"/>
    <w:rsid w:val="57803DD6"/>
    <w:rsid w:val="5B9E70AD"/>
    <w:rsid w:val="5D1CD24A"/>
    <w:rsid w:val="5ED8A140"/>
    <w:rsid w:val="5FBA59A4"/>
    <w:rsid w:val="671914D2"/>
    <w:rsid w:val="6885CE75"/>
    <w:rsid w:val="69CF4A6F"/>
    <w:rsid w:val="6AD07E55"/>
    <w:rsid w:val="6B4DB572"/>
    <w:rsid w:val="6BF2BCE3"/>
    <w:rsid w:val="7195DE24"/>
    <w:rsid w:val="74028E6B"/>
    <w:rsid w:val="741354B1"/>
    <w:rsid w:val="746AA554"/>
    <w:rsid w:val="77483329"/>
    <w:rsid w:val="79093481"/>
    <w:rsid w:val="7A8C5A57"/>
    <w:rsid w:val="7B27ACEA"/>
    <w:rsid w:val="7FC9E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4554FB0"/>
  <w15:docId w15:val="{59AD32A1-34DF-4815-8F45-0AD8EF9CB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2A2"/>
    <w:pPr>
      <w:spacing w:after="0" w:line="240" w:lineRule="auto"/>
    </w:pPr>
    <w:rPr>
      <w:rFonts w:ascii="Verdana" w:hAnsi="Verdana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422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422A2"/>
    <w:rPr>
      <w:color w:val="9D454F"/>
      <w:u w:val="single"/>
    </w:rPr>
  </w:style>
  <w:style w:type="paragraph" w:customStyle="1" w:styleId="Default">
    <w:name w:val="Default"/>
    <w:rsid w:val="00AB3BE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F37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3721"/>
    <w:rPr>
      <w:rFonts w:ascii="Verdana" w:hAnsi="Verdana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F37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3721"/>
    <w:rPr>
      <w:rFonts w:ascii="Verdana" w:hAnsi="Verdana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39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931"/>
    <w:rPr>
      <w:rFonts w:ascii="Tahoma" w:hAnsi="Tahoma" w:cs="Tahoma"/>
      <w:color w:val="000000"/>
      <w:sz w:val="16"/>
      <w:szCs w:val="16"/>
    </w:rPr>
  </w:style>
  <w:style w:type="paragraph" w:customStyle="1" w:styleId="NoSpacing1">
    <w:name w:val="No Spacing1"/>
    <w:next w:val="NoSpacing"/>
    <w:uiPriority w:val="1"/>
    <w:qFormat/>
    <w:rsid w:val="0081498B"/>
    <w:pPr>
      <w:widowControl w:val="0"/>
      <w:spacing w:after="0" w:line="240" w:lineRule="auto"/>
    </w:pPr>
  </w:style>
  <w:style w:type="paragraph" w:styleId="NoSpacing">
    <w:name w:val="No Spacing"/>
    <w:uiPriority w:val="1"/>
    <w:qFormat/>
    <w:rsid w:val="0081498B"/>
    <w:pPr>
      <w:spacing w:after="0" w:line="240" w:lineRule="auto"/>
    </w:pPr>
    <w:rPr>
      <w:rFonts w:ascii="Verdana" w:hAnsi="Verdana" w:cs="Times New Roman"/>
      <w:color w:val="000000"/>
      <w:sz w:val="24"/>
      <w:szCs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70F8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70F8B"/>
    <w:rPr>
      <w:rFonts w:ascii="Verdana" w:hAnsi="Verdana" w:cs="Times New Roman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1F2B04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E4369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D244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44A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44A6"/>
    <w:rPr>
      <w:rFonts w:ascii="Verdana" w:hAnsi="Verdana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44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44A6"/>
    <w:rPr>
      <w:rFonts w:ascii="Verdana" w:hAnsi="Verdana" w:cs="Times New Roman"/>
      <w:b/>
      <w:bCs/>
      <w:color w:val="000000"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F4E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9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6194A6F2A85A429CFBC92858145CBD" ma:contentTypeVersion="9" ma:contentTypeDescription="Create a new document." ma:contentTypeScope="" ma:versionID="a4ee2f471bca0b6655764e97780a3383">
  <xsd:schema xmlns:xsd="http://www.w3.org/2001/XMLSchema" xmlns:xs="http://www.w3.org/2001/XMLSchema" xmlns:p="http://schemas.microsoft.com/office/2006/metadata/properties" xmlns:ns2="8017b8e9-90f1-45d4-9591-22d5bcd1803d" xmlns:ns3="fa206f85-77e9-4cb7-87d7-1bf038a27a5b" targetNamespace="http://schemas.microsoft.com/office/2006/metadata/properties" ma:root="true" ma:fieldsID="84a1b7e52f3ba10bdeb17dd342e62ae1" ns2:_="" ns3:_="">
    <xsd:import namespace="8017b8e9-90f1-45d4-9591-22d5bcd1803d"/>
    <xsd:import namespace="fa206f85-77e9-4cb7-87d7-1bf038a27a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7b8e9-90f1-45d4-9591-22d5bcd180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206f85-77e9-4cb7-87d7-1bf038a27a5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6BE8999-9B8F-4C42-AEF2-6AF5D3A030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E270C5-512C-4C0A-B625-F15EDEB9DA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17b8e9-90f1-45d4-9591-22d5bcd1803d"/>
    <ds:schemaRef ds:uri="fa206f85-77e9-4cb7-87d7-1bf038a27a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C127DF-7EAF-4A66-B641-15BE0EFE043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540</Words>
  <Characters>3081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ROrthmeyer</dc:creator>
  <cp:lastModifiedBy>Pforr, James (FHWA)</cp:lastModifiedBy>
  <cp:revision>2</cp:revision>
  <dcterms:created xsi:type="dcterms:W3CDTF">2021-07-22T15:50:00Z</dcterms:created>
  <dcterms:modified xsi:type="dcterms:W3CDTF">2021-07-22T15:50:00Z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8f0bf641-29b9-4855-bb0c-9362f72489de</vt:lpwstr>
  </property>
  <property fmtid="{D5CDD505-2E9C-101B-9397-08002B2CF9AE}" pid="3" name="ContentTypeId">
    <vt:lpwstr>0x010100316194A6F2A85A429CFBC92858145CBD</vt:lpwstr>
  </property>
</Properties>
</file>