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58" w:line="275" w:lineRule="auto"/>
        <w:ind w:left="3625" w:right="2816" w:hanging="693.0000000000001"/>
        <w:rPr>
          <w:rFonts w:ascii="Arial" w:cs="Arial" w:eastAsia="Arial" w:hAnsi="Arial"/>
          <w:sz w:val="24"/>
          <w:szCs w:val="24"/>
        </w:rPr>
      </w:pPr>
      <w:r w:rsidDel="00000000" w:rsidR="00000000" w:rsidRPr="00000000">
        <w:rPr>
          <w:rFonts w:ascii="Arial" w:cs="Arial" w:eastAsia="Arial" w:hAnsi="Arial"/>
          <w:b w:val="1"/>
          <w:sz w:val="24"/>
          <w:szCs w:val="24"/>
          <w:rtl w:val="0"/>
        </w:rPr>
        <w:t xml:space="preserve">TRANSPORTATION POOLED FUND PROGRAM QUARTERLY PROGRESS REPORT</w:t>
      </w:r>
      <w:r w:rsidDel="00000000" w:rsidR="00000000" w:rsidRPr="00000000">
        <w:rPr>
          <w:rtl w:val="0"/>
        </w:rPr>
      </w:r>
    </w:p>
    <w:p w:rsidR="00000000" w:rsidDel="00000000" w:rsidP="00000000" w:rsidRDefault="00000000" w:rsidRPr="00000000" w14:paraId="00000002">
      <w:pPr>
        <w:tabs>
          <w:tab w:val="left" w:pos="10911"/>
        </w:tabs>
        <w:spacing w:line="239" w:lineRule="auto"/>
        <w:ind w:left="2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tabs>
          <w:tab w:val="left" w:pos="10911"/>
        </w:tabs>
        <w:spacing w:line="239" w:lineRule="auto"/>
        <w:ind w:left="2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Lead Agency (FHWA or State DOT):  </w:t>
      </w:r>
      <w:r w:rsidDel="00000000" w:rsidR="00000000" w:rsidRPr="00000000">
        <w:rPr>
          <w:rFonts w:ascii="Arial" w:cs="Arial" w:eastAsia="Arial" w:hAnsi="Arial"/>
          <w:sz w:val="24"/>
          <w:szCs w:val="24"/>
          <w:u w:val="single"/>
          <w:rtl w:val="0"/>
        </w:rPr>
        <w:t xml:space="preserve">Colorado Department of Transportation</w:t>
      </w:r>
      <w:r w:rsidDel="00000000" w:rsidR="00000000" w:rsidRPr="00000000">
        <w:rPr>
          <w:rtl w:val="0"/>
        </w:rPr>
      </w:r>
    </w:p>
    <w:p w:rsidR="00000000" w:rsidDel="00000000" w:rsidP="00000000" w:rsidRDefault="00000000" w:rsidRPr="00000000" w14:paraId="00000004">
      <w:pPr>
        <w:spacing w:before="7"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before="74" w:lineRule="auto"/>
        <w:ind w:left="2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4" w:line="276" w:lineRule="auto"/>
        <w:ind w:left="220" w:right="10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r w:rsidDel="00000000" w:rsidR="00000000" w:rsidRPr="00000000">
        <w:rPr>
          <w:rtl w:val="0"/>
        </w:rPr>
      </w:r>
    </w:p>
    <w:p w:rsidR="00000000" w:rsidDel="00000000" w:rsidP="00000000" w:rsidRDefault="00000000" w:rsidRPr="00000000" w14:paraId="00000007">
      <w:pPr>
        <w:spacing w:before="11" w:lineRule="auto"/>
        <w:rPr>
          <w:rFonts w:ascii="Arial" w:cs="Arial" w:eastAsia="Arial" w:hAnsi="Arial"/>
          <w:i w:val="1"/>
          <w:sz w:val="27"/>
          <w:szCs w:val="27"/>
        </w:rPr>
      </w:pPr>
      <w:r w:rsidDel="00000000" w:rsidR="00000000" w:rsidRPr="00000000">
        <w:rPr>
          <w:rtl w:val="0"/>
        </w:rPr>
      </w:r>
    </w:p>
    <w:tbl>
      <w:tblPr>
        <w:tblStyle w:val="Table1"/>
        <w:tblW w:w="10908.0" w:type="dxa"/>
        <w:jc w:val="left"/>
        <w:tblInd w:w="106.0" w:type="dxa"/>
        <w:tblLayout w:type="fixed"/>
        <w:tblLook w:val="0000"/>
      </w:tblPr>
      <w:tblGrid>
        <w:gridCol w:w="4159"/>
        <w:gridCol w:w="1260"/>
        <w:gridCol w:w="2069"/>
        <w:gridCol w:w="3420"/>
        <w:tblGridChange w:id="0">
          <w:tblGrid>
            <w:gridCol w:w="4159"/>
            <w:gridCol w:w="1260"/>
            <w:gridCol w:w="2069"/>
            <w:gridCol w:w="3420"/>
          </w:tblGrid>
        </w:tblGridChange>
      </w:tblGrid>
      <w:tr>
        <w:trPr>
          <w:trHeight w:val="2006" w:hRule="atLeast"/>
          <w:tblHeader w:val="0"/>
        </w:trPr>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Transportation Pooled Fund Program Project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88"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TPF-5(380)</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Transportation Pooled Fund Program - Report Period:</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413" w:lineRule="auto"/>
              <w:ind w:left="99" w:firstLine="0"/>
              <w:rPr>
                <w:rFonts w:ascii="Arial" w:cs="Arial" w:eastAsia="Arial" w:hAnsi="Arial"/>
                <w:color w:val="000000"/>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Arial" w:cs="Arial" w:eastAsia="Arial" w:hAnsi="Arial"/>
                <w:color w:val="000000"/>
                <w:sz w:val="20"/>
                <w:szCs w:val="20"/>
                <w:rtl w:val="0"/>
              </w:rPr>
              <w:t xml:space="preserve">Quarter 1 (January 1 – March 31)</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413" w:lineRule="auto"/>
              <w:ind w:left="99" w:firstLine="0"/>
              <w:rPr>
                <w:rFonts w:ascii="Arial" w:cs="Arial" w:eastAsia="Arial" w:hAnsi="Arial"/>
                <w:color w:val="000000"/>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Arial" w:cs="Arial" w:eastAsia="Arial" w:hAnsi="Arial"/>
                <w:color w:val="000000"/>
                <w:sz w:val="20"/>
                <w:szCs w:val="20"/>
                <w:rtl w:val="0"/>
              </w:rPr>
              <w:t xml:space="preserve">Quarter 2 (April 1 – June 30)</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 w:line="413" w:lineRule="auto"/>
              <w:ind w:left="99" w:firstLine="0"/>
              <w:rPr>
                <w:rFonts w:ascii="Arial" w:cs="Arial" w:eastAsia="Arial" w:hAnsi="Arial"/>
                <w:color w:val="000000"/>
                <w:sz w:val="20"/>
                <w:szCs w:val="20"/>
              </w:rPr>
            </w:pPr>
            <w:bookmarkStart w:colFirst="0" w:colLast="0" w:name="_heading=h.gjdgxs" w:id="0"/>
            <w:bookmarkEnd w:id="0"/>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Arial" w:cs="Arial" w:eastAsia="Arial" w:hAnsi="Arial"/>
                <w:color w:val="000000"/>
                <w:sz w:val="20"/>
                <w:szCs w:val="20"/>
                <w:rtl w:val="0"/>
              </w:rPr>
              <w:t xml:space="preserve">Quarter 3 (July 1 – September 30)</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413" w:lineRule="auto"/>
              <w:ind w:left="99" w:firstLine="0"/>
              <w:rPr>
                <w:rFonts w:ascii="Arial" w:cs="Arial" w:eastAsia="Arial" w:hAnsi="Arial"/>
                <w:color w:val="000000"/>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Arial" w:cs="Arial" w:eastAsia="Arial" w:hAnsi="Arial"/>
                <w:color w:val="000000"/>
                <w:sz w:val="20"/>
                <w:szCs w:val="20"/>
                <w:rtl w:val="0"/>
              </w:rPr>
              <w:t xml:space="preserve">Quarter 4 (October 1 – December 31)</w:t>
            </w:r>
          </w:p>
        </w:tc>
      </w:tr>
      <w:tr>
        <w:trPr>
          <w:trHeight w:val="701" w:hRule="atLeast"/>
          <w:tblHeader w:val="0"/>
        </w:trPr>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Project Title: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95" w:lineRule="auto"/>
              <w:ind w:left="295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Autonomous Maintenance Technology (AMT) Pool Fund</w:t>
            </w:r>
          </w:p>
        </w:tc>
      </w:tr>
      <w:tr>
        <w:trPr>
          <w:trHeight w:val="69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Name of Project Manager(s):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93"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David Reeves</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Phone Number:</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93" w:lineRule="auto"/>
              <w:ind w:left="103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303-757-9518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E-Mail</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93" w:lineRule="auto"/>
              <w:ind w:left="553" w:firstLine="0"/>
              <w:rPr>
                <w:rFonts w:ascii="Arial" w:cs="Arial" w:eastAsia="Arial" w:hAnsi="Arial"/>
                <w:color w:val="000000"/>
                <w:sz w:val="20"/>
                <w:szCs w:val="20"/>
              </w:rPr>
            </w:pPr>
            <w:hyperlink r:id="rId7">
              <w:r w:rsidDel="00000000" w:rsidR="00000000" w:rsidRPr="00000000">
                <w:rPr>
                  <w:rFonts w:ascii="Arial" w:cs="Arial" w:eastAsia="Arial" w:hAnsi="Arial"/>
                  <w:color w:val="000000"/>
                  <w:sz w:val="20"/>
                  <w:szCs w:val="20"/>
                  <w:rtl w:val="0"/>
                </w:rPr>
                <w:t xml:space="preserve">david.reeves@state.co.us</w:t>
              </w:r>
            </w:hyperlink>
            <w:r w:rsidDel="00000000" w:rsidR="00000000" w:rsidRPr="00000000">
              <w:rPr>
                <w:rtl w:val="0"/>
              </w:rPr>
            </w:r>
          </w:p>
        </w:tc>
      </w:tr>
      <w:tr>
        <w:trPr>
          <w:trHeight w:val="70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Lead Agency Project ID:</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95"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WBS 22610.06.01</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Other Project ID (i.e., contract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01" w:lineRule="auto"/>
              <w:ind w:left="55" w:firstLine="0"/>
              <w:rPr>
                <w:rFonts w:ascii="Arial" w:cs="Arial" w:eastAsia="Arial" w:hAnsi="Arial"/>
                <w:color w:val="000000"/>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24" w:lineRule="auto"/>
              <w:ind w:left="102" w:firstLine="0"/>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Project Start Date: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101" w:lineRule="auto"/>
              <w:ind w:left="55"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8/14/2018</w:t>
            </w:r>
          </w:p>
        </w:tc>
      </w:tr>
      <w:tr>
        <w:trPr>
          <w:trHeight w:val="70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Original Project End Date: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01" w:lineRule="auto"/>
              <w:ind w:left="55"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12/31/2024</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Current Project End Date: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95"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12/31/2024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Number of Extensions:</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95" w:lineRule="auto"/>
              <w:ind w:left="28"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w:t>
            </w:r>
          </w:p>
        </w:tc>
      </w:tr>
    </w:tbl>
    <w:p w:rsidR="00000000" w:rsidDel="00000000" w:rsidP="00000000" w:rsidRDefault="00000000" w:rsidRPr="00000000" w14:paraId="0000002B">
      <w:pPr>
        <w:spacing w:before="5" w:lineRule="auto"/>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2C">
      <w:pPr>
        <w:pStyle w:val="Heading1"/>
        <w:ind w:firstLine="220"/>
        <w:rPr/>
      </w:pPr>
      <w:r w:rsidDel="00000000" w:rsidR="00000000" w:rsidRPr="00000000">
        <w:rPr>
          <w:rtl w:val="0"/>
        </w:rPr>
        <w:t xml:space="preserve">Project schedule status:</w:t>
      </w:r>
    </w:p>
    <w:p w:rsidR="00000000" w:rsidDel="00000000" w:rsidP="00000000" w:rsidRDefault="00000000" w:rsidRPr="00000000" w14:paraId="0000002D">
      <w:pPr>
        <w:tabs>
          <w:tab w:val="left" w:pos="2379"/>
          <w:tab w:val="left" w:pos="5259"/>
          <w:tab w:val="left" w:pos="8139"/>
        </w:tabs>
        <w:spacing w:before="30" w:lineRule="auto"/>
        <w:ind w:left="2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On schedule</w:t>
        <w:tab/>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On revised schedule</w:t>
        <w:tab/>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20"/>
          <w:szCs w:val="20"/>
          <w:rtl w:val="0"/>
        </w:rPr>
        <w:t xml:space="preserve">Ahead of schedule</w:t>
        <w:tab/>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20"/>
          <w:szCs w:val="20"/>
          <w:rtl w:val="0"/>
        </w:rPr>
        <w:t xml:space="preserve">Behind schedule</w:t>
      </w:r>
    </w:p>
    <w:p w:rsidR="00000000" w:rsidDel="00000000" w:rsidP="00000000" w:rsidRDefault="00000000" w:rsidRPr="00000000" w14:paraId="0000002E">
      <w:pPr>
        <w:spacing w:before="5"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before="74" w:lineRule="auto"/>
        <w:ind w:left="2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Overall Project Statistics:</w:t>
      </w:r>
    </w:p>
    <w:p w:rsidR="00000000" w:rsidDel="00000000" w:rsidP="00000000" w:rsidRDefault="00000000" w:rsidRPr="00000000" w14:paraId="00000030">
      <w:pPr>
        <w:spacing w:before="10" w:lineRule="auto"/>
        <w:rPr>
          <w:rFonts w:ascii="Arial" w:cs="Arial" w:eastAsia="Arial" w:hAnsi="Arial"/>
          <w:sz w:val="2"/>
          <w:szCs w:val="2"/>
        </w:rPr>
      </w:pPr>
      <w:r w:rsidDel="00000000" w:rsidR="00000000" w:rsidRPr="00000000">
        <w:rPr>
          <w:rtl w:val="0"/>
        </w:rPr>
      </w:r>
    </w:p>
    <w:tbl>
      <w:tblPr>
        <w:tblStyle w:val="Table2"/>
        <w:tblW w:w="10908.0" w:type="dxa"/>
        <w:jc w:val="left"/>
        <w:tblInd w:w="106.0" w:type="dxa"/>
        <w:tblLayout w:type="fixed"/>
        <w:tblLook w:val="0000"/>
      </w:tblPr>
      <w:tblGrid>
        <w:gridCol w:w="4159"/>
        <w:gridCol w:w="3329"/>
        <w:gridCol w:w="3420"/>
        <w:tblGridChange w:id="0">
          <w:tblGrid>
            <w:gridCol w:w="4159"/>
            <w:gridCol w:w="3329"/>
            <w:gridCol w:w="3420"/>
          </w:tblGrid>
        </w:tblGridChange>
      </w:tblGrid>
      <w:tr>
        <w:trPr>
          <w:trHeight w:val="470" w:hRule="atLeast"/>
          <w:tblHeader w:val="0"/>
        </w:trPr>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4" w:lineRule="auto"/>
              <w:ind w:left="110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Project Budget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24" w:lineRule="auto"/>
              <w:ind w:left="3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Cost to Date for Project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ind w:left="711" w:right="873" w:hanging="55"/>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Percentage of Work Completed to Date</w:t>
            </w:r>
            <w:r w:rsidDel="00000000" w:rsidR="00000000" w:rsidRPr="00000000">
              <w:rPr>
                <w:rtl w:val="0"/>
              </w:rPr>
            </w:r>
          </w:p>
        </w:tc>
      </w:tr>
      <w:tr>
        <w:trPr>
          <w:trHeight w:val="6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jc w:val="center"/>
              <w:rPr/>
            </w:pPr>
            <w:r w:rsidDel="00000000" w:rsidR="00000000" w:rsidRPr="00000000">
              <w:rPr>
                <w:rtl w:val="0"/>
              </w:rPr>
              <w:t xml:space="preserve">$441,569 (6 projects encumbered)</w:t>
            </w:r>
          </w:p>
          <w:p w:rsidR="00000000" w:rsidDel="00000000" w:rsidP="00000000" w:rsidRDefault="00000000" w:rsidRPr="00000000" w14:paraId="00000035">
            <w:pPr>
              <w:jc w:val="center"/>
              <w:rPr/>
            </w:pPr>
            <w:r w:rsidDel="00000000" w:rsidR="00000000" w:rsidRPr="00000000">
              <w:rPr>
                <w:rtl w:val="0"/>
              </w:rPr>
              <w:t xml:space="preserve">$925,000 (transferred to CDOT)</w:t>
            </w:r>
          </w:p>
          <w:p w:rsidR="00000000" w:rsidDel="00000000" w:rsidP="00000000" w:rsidRDefault="00000000" w:rsidRPr="00000000" w14:paraId="00000036">
            <w:pPr>
              <w:jc w:val="center"/>
              <w:rPr/>
            </w:pPr>
            <w:r w:rsidDel="00000000" w:rsidR="00000000" w:rsidRPr="00000000">
              <w:rPr>
                <w:rtl w:val="0"/>
              </w:rPr>
              <w:t xml:space="preserve">$483,431 (Available for future projects)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rPr/>
            </w:pPr>
            <w:r w:rsidDel="00000000" w:rsidR="00000000" w:rsidRPr="00000000">
              <w:rPr>
                <w:rtl w:val="0"/>
              </w:rPr>
              <w:t xml:space="preserve"> $114,516 (amount invoiced to date)</w:t>
            </w:r>
          </w:p>
          <w:p w:rsidR="00000000" w:rsidDel="00000000" w:rsidP="00000000" w:rsidRDefault="00000000" w:rsidRPr="00000000" w14:paraId="0000003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118"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26</w:t>
            </w:r>
            <w:r w:rsidDel="00000000" w:rsidR="00000000" w:rsidRPr="00000000">
              <w:rPr>
                <w:rFonts w:ascii="Arial" w:cs="Arial" w:eastAsia="Arial" w:hAnsi="Arial"/>
                <w:color w:val="000000"/>
                <w:sz w:val="20"/>
                <w:szCs w:val="20"/>
                <w:rtl w:val="0"/>
              </w:rPr>
              <w:t xml:space="preserve">%</w:t>
            </w:r>
          </w:p>
        </w:tc>
      </w:tr>
    </w:tbl>
    <w:p w:rsidR="00000000" w:rsidDel="00000000" w:rsidP="00000000" w:rsidRDefault="00000000" w:rsidRPr="00000000" w14:paraId="0000003A">
      <w:pPr>
        <w:spacing w:before="5"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B">
      <w:pPr>
        <w:spacing w:before="74" w:lineRule="auto"/>
        <w:ind w:left="220" w:firstLine="0"/>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Quarterly </w:t>
      </w:r>
      <w:r w:rsidDel="00000000" w:rsidR="00000000" w:rsidRPr="00000000">
        <w:rPr>
          <w:rFonts w:ascii="Arial" w:cs="Arial" w:eastAsia="Arial" w:hAnsi="Arial"/>
          <w:sz w:val="20"/>
          <w:szCs w:val="20"/>
          <w:rtl w:val="0"/>
        </w:rPr>
        <w:t xml:space="preserve">Project Statistics:</w:t>
      </w:r>
    </w:p>
    <w:p w:rsidR="00000000" w:rsidDel="00000000" w:rsidP="00000000" w:rsidRDefault="00000000" w:rsidRPr="00000000" w14:paraId="0000003C">
      <w:pPr>
        <w:spacing w:before="10" w:lineRule="auto"/>
        <w:rPr>
          <w:rFonts w:ascii="Arial" w:cs="Arial" w:eastAsia="Arial" w:hAnsi="Arial"/>
          <w:sz w:val="2"/>
          <w:szCs w:val="2"/>
        </w:rPr>
      </w:pPr>
      <w:r w:rsidDel="00000000" w:rsidR="00000000" w:rsidRPr="00000000">
        <w:rPr>
          <w:rtl w:val="0"/>
        </w:rPr>
      </w:r>
    </w:p>
    <w:tbl>
      <w:tblPr>
        <w:tblStyle w:val="Table3"/>
        <w:tblW w:w="10908.0" w:type="dxa"/>
        <w:jc w:val="left"/>
        <w:tblInd w:w="106.0" w:type="dxa"/>
        <w:tblLayout w:type="fixed"/>
        <w:tblLook w:val="0000"/>
      </w:tblPr>
      <w:tblGrid>
        <w:gridCol w:w="4159"/>
        <w:gridCol w:w="3329"/>
        <w:gridCol w:w="3420"/>
        <w:tblGridChange w:id="0">
          <w:tblGrid>
            <w:gridCol w:w="4159"/>
            <w:gridCol w:w="3329"/>
            <w:gridCol w:w="3420"/>
          </w:tblGrid>
        </w:tblGridChange>
      </w:tblGrid>
      <w:tr>
        <w:trPr>
          <w:trHeight w:val="470" w:hRule="atLeast"/>
          <w:tblHeader w:val="0"/>
        </w:trPr>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656" w:right="755" w:firstLine="275"/>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Project Expenses and Percentage This Quarter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433" w:right="683" w:hanging="57.00000000000003"/>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Amount of Funds Expended This Quarter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656" w:right="950" w:hanging="57.00000000000003"/>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Percentage of Time Used to Date</w:t>
            </w:r>
            <w:r w:rsidDel="00000000" w:rsidR="00000000" w:rsidRPr="00000000">
              <w:rPr>
                <w:rtl w:val="0"/>
              </w:rPr>
            </w:r>
          </w:p>
        </w:tc>
      </w:tr>
      <w:tr>
        <w:trPr>
          <w:trHeight w:val="47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jc w:val="center"/>
              <w:rPr/>
            </w:pPr>
            <w:r w:rsidDel="00000000" w:rsidR="00000000" w:rsidRPr="00000000">
              <w:rPr>
                <w:rtl w:val="0"/>
              </w:rPr>
              <w:t xml:space="preserve">Ongoing Project (N/A)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jc w:val="center"/>
              <w:rPr/>
            </w:pPr>
            <w:r w:rsidDel="00000000" w:rsidR="00000000" w:rsidRPr="00000000">
              <w:rPr>
                <w:rtl w:val="0"/>
              </w:rPr>
              <w:t xml:space="preserve">Ongoing Project (N/A)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tl w:val="0"/>
              </w:rPr>
              <w:t xml:space="preserve">Ongoing Project (N/A)</w:t>
            </w:r>
            <w:r w:rsidDel="00000000" w:rsidR="00000000" w:rsidRPr="00000000">
              <w:rPr>
                <w:rtl w:val="0"/>
              </w:rPr>
            </w:r>
          </w:p>
        </w:tc>
      </w:tr>
    </w:tbl>
    <w:p w:rsidR="00000000" w:rsidDel="00000000" w:rsidP="00000000" w:rsidRDefault="00000000" w:rsidRPr="00000000" w14:paraId="00000043">
      <w:pPr>
        <w:jc w:val="center"/>
        <w:rPr>
          <w:rFonts w:ascii="Arial" w:cs="Arial" w:eastAsia="Arial" w:hAnsi="Arial"/>
          <w:sz w:val="20"/>
          <w:szCs w:val="20"/>
        </w:rPr>
        <w:sectPr>
          <w:footerReference r:id="rId8" w:type="default"/>
          <w:pgSz w:h="15840" w:w="12240" w:orient="portrait"/>
          <w:pgMar w:bottom="1200" w:top="660" w:left="500" w:right="620" w:header="720" w:footer="1017"/>
          <w:pgNumType w:start="1"/>
        </w:sectPr>
      </w:pPr>
      <w:r w:rsidDel="00000000" w:rsidR="00000000" w:rsidRPr="00000000">
        <w:rPr>
          <w:rtl w:val="0"/>
        </w:rPr>
      </w:r>
    </w:p>
    <w:p w:rsidR="00000000" w:rsidDel="00000000" w:rsidP="00000000" w:rsidRDefault="00000000" w:rsidRPr="00000000" w14:paraId="00000044">
      <w:pPr>
        <w:spacing w:before="4" w:lineRule="auto"/>
        <w:rPr>
          <w:rFonts w:ascii="Times New Roman" w:cs="Times New Roman" w:eastAsia="Times New Roman" w:hAnsi="Times New Roman"/>
          <w:sz w:val="7"/>
          <w:szCs w:val="7"/>
        </w:rPr>
      </w:pPr>
      <w:r w:rsidDel="00000000" w:rsidR="00000000" w:rsidRPr="00000000">
        <w:rPr>
          <w:rtl w:val="0"/>
        </w:rPr>
      </w:r>
    </w:p>
    <w:p w:rsidR="00000000" w:rsidDel="00000000" w:rsidP="00000000" w:rsidRDefault="00000000" w:rsidRPr="00000000" w14:paraId="00000045">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36105" cy="5585039"/>
                <wp:effectExtent b="0" l="0" r="0" t="0"/>
                <wp:docPr id="20" name=""/>
                <a:graphic>
                  <a:graphicData uri="http://schemas.microsoft.com/office/word/2010/wordprocessingShape">
                    <wps:wsp>
                      <wps:cNvSpPr/>
                      <wps:cNvPr id="3" name="Shape 3"/>
                      <wps:spPr>
                        <a:xfrm>
                          <a:off x="1882710" y="994467"/>
                          <a:ext cx="6926580" cy="5571067"/>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Description</w:t>
                            </w:r>
                            <w:r w:rsidDel="00000000" w:rsidR="00000000" w:rsidRPr="00000000">
                              <w:rPr>
                                <w:rFonts w:ascii="Arial" w:cs="Arial" w:eastAsia="Arial" w:hAnsi="Arial"/>
                                <w:b w:val="0"/>
                                <w:i w:val="0"/>
                                <w:smallCaps w:val="0"/>
                                <w:strike w:val="0"/>
                                <w:color w:val="000000"/>
                                <w:sz w:val="20"/>
                                <w:vertAlign w:val="baseline"/>
                              </w:rPr>
                              <w:t xml:space="preserve">:</w:t>
                            </w:r>
                          </w:p>
                          <w:p w:rsidR="00000000" w:rsidDel="00000000" w:rsidP="00000000" w:rsidRDefault="00000000" w:rsidRPr="00000000">
                            <w:pPr>
                              <w:spacing w:after="0" w:before="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70"/>
                              <w:ind w:left="180" w:right="216.00000381469727" w:firstLine="1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The Colorado Department of Transportation (CDOT) has helped to develop a first</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of</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its kind work zone vehicle designed to advance safety for roadway maintenance crews. Customarily positioned behind road construction crews in order to protect workers from the traveling public, the Autonomous Impact Protection Vehicle (AIPV) increases work zone safety by removing the driver from a truck that is actually designed to be hit. The objective of the Autonomous Maintenance Technology (AMT) Pool Fund is to develop, demonstrate and refine the AIPV in preparation for its wide</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spread deployment nationwide in DOT maintenance operations.</w:t>
                            </w:r>
                          </w:p>
                          <w:p w:rsidR="00000000" w:rsidDel="00000000" w:rsidP="00000000" w:rsidRDefault="00000000" w:rsidRPr="00000000">
                            <w:pPr>
                              <w:spacing w:after="0" w:before="8.00000011920929"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Currently there are </w:t>
                            </w:r>
                            <w:r w:rsidDel="00000000" w:rsidR="00000000" w:rsidRPr="00000000">
                              <w:rPr>
                                <w:rFonts w:ascii="Arial" w:cs="Arial" w:eastAsia="Arial" w:hAnsi="Arial"/>
                                <w:b w:val="0"/>
                                <w:i w:val="0"/>
                                <w:smallCaps w:val="0"/>
                                <w:strike w:val="0"/>
                                <w:color w:val="000000"/>
                                <w:sz w:val="20"/>
                                <w:vertAlign w:val="baseline"/>
                              </w:rPr>
                              <w:t xml:space="preserve">five</w:t>
                            </w:r>
                            <w:r w:rsidDel="00000000" w:rsidR="00000000" w:rsidRPr="00000000">
                              <w:rPr>
                                <w:rFonts w:ascii="Arial" w:cs="Arial" w:eastAsia="Arial" w:hAnsi="Arial"/>
                                <w:b w:val="0"/>
                                <w:i w:val="0"/>
                                <w:smallCaps w:val="0"/>
                                <w:strike w:val="0"/>
                                <w:color w:val="000000"/>
                                <w:sz w:val="20"/>
                                <w:vertAlign w:val="baseline"/>
                              </w:rPr>
                              <w:t xml:space="preserve"> projects related to this pooled fund:</w:t>
                            </w:r>
                          </w:p>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77.000093460083"/>
                              <w:ind w:left="555" w:right="272.00000762939453"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5380-18-01 AMT Coordination (CSU) $71,700 - Dr. Tom Bradley (PI), Ann Batchelor (PM). Colorado State University (CSU). Provides administrative management and support of the pool fund. This includes travel for annual meetings.</w:t>
                            </w:r>
                          </w:p>
                          <w:p w:rsidR="00000000" w:rsidDel="00000000" w:rsidP="00000000" w:rsidRDefault="00000000" w:rsidRPr="00000000">
                            <w:pPr>
                              <w:spacing w:after="0" w:before="12.000000476837158" w:line="240"/>
                              <w:ind w:left="555" w:right="0" w:firstLine="360"/>
                              <w:jc w:val="left"/>
                              <w:textDirection w:val="btLr"/>
                            </w:pPr>
                            <w:r w:rsidDel="00000000" w:rsidR="00000000" w:rsidRPr="00000000">
                              <w:rPr>
                                <w:rFonts w:ascii="Arial" w:cs="Arial" w:eastAsia="Arial" w:hAnsi="Arial"/>
                                <w:b w:val="0"/>
                                <w:i w:val="0"/>
                                <w:smallCaps w:val="0"/>
                                <w:strike w:val="0"/>
                                <w:color w:val="ff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5380-19-03 ATMA Dev Guide (MST) $92,572 - Dr. Xianbiao (XB) Hu (PI). Missouri University of Science and Technology (MST)</w:t>
                            </w:r>
                          </w:p>
                          <w:p w:rsidR="00000000" w:rsidDel="00000000" w:rsidP="00000000" w:rsidRDefault="00000000" w:rsidRPr="00000000">
                            <w:pPr>
                              <w:spacing w:after="0" w:before="12.000000476837158" w:line="240"/>
                              <w:ind w:left="555"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5380-20-04 ATMA Tabletop $22,300 – Will Moorhead (PI), All Clear Emergency Management, Golden, Colorado </w:t>
                            </w:r>
                          </w:p>
                          <w:p w:rsidR="00000000" w:rsidDel="00000000" w:rsidP="00000000" w:rsidRDefault="00000000" w:rsidRPr="00000000">
                            <w:pPr>
                              <w:spacing w:after="0" w:before="12.000000476837158" w:line="240"/>
                              <w:ind w:left="555"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5380-20-05 ATMA Cybersecurity Complement $50,000 – Dr. Jeremy Daily (PI), Colorado State University, Fort Collins.</w:t>
                            </w:r>
                          </w:p>
                          <w:p w:rsidR="00000000" w:rsidDel="00000000" w:rsidP="00000000" w:rsidRDefault="00000000" w:rsidRPr="00000000">
                            <w:pPr>
                              <w:spacing w:after="0" w:before="12.000000476837158" w:line="240"/>
                              <w:ind w:left="555"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5380-20-06 ATMA Documentation $130,000 – Dr. Xianbiao (XB) Hu (PI), Missouri Tech University.</w:t>
                            </w:r>
                          </w:p>
                          <w:p w:rsidR="00000000" w:rsidDel="00000000" w:rsidP="00000000" w:rsidRDefault="00000000" w:rsidRPr="00000000">
                            <w:pPr>
                              <w:spacing w:after="0" w:before="12.000000476837158" w:line="240"/>
                              <w:ind w:left="1280" w:right="0" w:firstLine="128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000000476837158" w:line="240"/>
                              <w:ind w:left="180" w:right="0" w:firstLine="1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Each project has a separate quarterly progress report in the lead’s state desired format.</w:t>
                            </w:r>
                            <w:r w:rsidDel="00000000" w:rsidR="00000000" w:rsidRPr="00000000">
                              <w:rPr>
                                <w:rFonts w:ascii="Arial" w:cs="Arial" w:eastAsia="Arial" w:hAnsi="Arial"/>
                                <w:b w:val="0"/>
                                <w:i w:val="0"/>
                                <w:smallCaps w:val="0"/>
                                <w:strike w:val="0"/>
                                <w:color w:val="000000"/>
                                <w:sz w:val="20"/>
                                <w:vertAlign w:val="baseline"/>
                              </w:rPr>
                              <w:br w:type="textWrapping"/>
                            </w:r>
                          </w:p>
                        </w:txbxContent>
                      </wps:txbx>
                      <wps:bodyPr anchorCtr="0" anchor="t" bIns="0" lIns="0" spcFirstLastPara="1" rIns="0" wrap="square" tIns="0">
                        <a:noAutofit/>
                      </wps:bodyPr>
                    </wps:wsp>
                  </a:graphicData>
                </a:graphic>
              </wp:inline>
            </w:drawing>
          </mc:Choice>
          <mc:Fallback>
            <w:drawing>
              <wp:inline distB="0" distT="0" distL="0" distR="0">
                <wp:extent cx="6936105" cy="5585039"/>
                <wp:effectExtent b="0" l="0" r="0" t="0"/>
                <wp:docPr id="2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936105" cy="558503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before="11"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ind w:left="112" w:firstLine="0"/>
        <w:rPr>
          <w:rFonts w:ascii="Times New Roman" w:cs="Times New Roman" w:eastAsia="Times New Roman" w:hAnsi="Times New Roman"/>
          <w:sz w:val="20"/>
          <w:szCs w:val="20"/>
        </w:rPr>
        <w:sectPr>
          <w:type w:val="nextPage"/>
          <w:pgSz w:h="15840" w:w="12240" w:orient="portrait"/>
          <w:pgMar w:bottom="1200" w:top="640" w:left="500" w:right="620" w:header="0" w:footer="1017"/>
        </w:sect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36105" cy="7269114"/>
                <wp:effectExtent b="0" l="0" r="0" t="0"/>
                <wp:docPr id="19" name=""/>
                <a:graphic>
                  <a:graphicData uri="http://schemas.microsoft.com/office/word/2010/wordprocessingShape">
                    <wps:wsp>
                      <wps:cNvSpPr/>
                      <wps:cNvPr id="2" name="Shape 2"/>
                      <wps:spPr>
                        <a:xfrm>
                          <a:off x="1882710" y="177434"/>
                          <a:ext cx="6926580" cy="720513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Progress this Quarter (includes meetings, work plan status, contract status, significant progress, etc.):</w:t>
                            </w:r>
                          </w:p>
                          <w:p w:rsidR="00000000" w:rsidDel="00000000" w:rsidP="00000000" w:rsidRDefault="00000000" w:rsidRPr="00000000">
                            <w:pPr>
                              <w:spacing w:after="0" w:before="123.00000190734863" w:line="240"/>
                              <w:ind w:left="60" w:right="0" w:firstLine="181.00000381469727"/>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Progress in Q</w:t>
                            </w:r>
                            <w:r w:rsidDel="00000000" w:rsidR="00000000" w:rsidRPr="00000000">
                              <w:rPr>
                                <w:rFonts w:ascii="Arial" w:cs="Arial" w:eastAsia="Arial" w:hAnsi="Arial"/>
                                <w:b w:val="0"/>
                                <w:i w:val="0"/>
                                <w:smallCaps w:val="0"/>
                                <w:strike w:val="0"/>
                                <w:color w:val="000000"/>
                                <w:sz w:val="20"/>
                                <w:vertAlign w:val="baseline"/>
                              </w:rPr>
                              <w:t xml:space="preserve">2</w:t>
                            </w:r>
                            <w:r w:rsidDel="00000000" w:rsidR="00000000" w:rsidRPr="00000000">
                              <w:rPr>
                                <w:rFonts w:ascii="Arial" w:cs="Arial" w:eastAsia="Arial" w:hAnsi="Arial"/>
                                <w:b w:val="0"/>
                                <w:i w:val="0"/>
                                <w:smallCaps w:val="0"/>
                                <w:strike w:val="0"/>
                                <w:color w:val="000000"/>
                                <w:sz w:val="20"/>
                                <w:vertAlign w:val="baseline"/>
                              </w:rPr>
                              <w:t xml:space="preserve"> 2021 includes:</w:t>
                            </w:r>
                          </w:p>
                          <w:p w:rsidR="00000000" w:rsidDel="00000000" w:rsidP="00000000" w:rsidRDefault="00000000" w:rsidRPr="00000000">
                            <w:pPr>
                              <w:spacing w:after="0" w:before="35"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560" w:right="272.00000762939453"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5380-18-01 AMT Coordination (CSU) $71,700 - Dr. Tom Bradley (PI), Ann Batchelor (PM). Colorado State University (CSU). Provides administrative management and support of the pool fund. This includes travel for annual meetings.</w:t>
                            </w:r>
                          </w:p>
                          <w:p w:rsidR="00000000" w:rsidDel="00000000" w:rsidP="00000000" w:rsidRDefault="00000000" w:rsidRPr="00000000">
                            <w:pPr>
                              <w:spacing w:after="0" w:before="0" w:line="240"/>
                              <w:ind w:left="1440" w:right="272.00000762939453" w:firstLine="124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Project remains open, but is soon to close.</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CDOT re-engaged CSU to support various administrative tasks (supporting the monthly meetings, agendas, minutes and general logistics moving forward), but it was determined a new P</w:t>
                            </w:r>
                            <w:r w:rsidDel="00000000" w:rsidR="00000000" w:rsidRPr="00000000">
                              <w:rPr>
                                <w:rFonts w:ascii="Arial" w:cs="Arial" w:eastAsia="Arial" w:hAnsi="Arial"/>
                                <w:b w:val="0"/>
                                <w:i w:val="0"/>
                                <w:smallCaps w:val="0"/>
                                <w:strike w:val="0"/>
                                <w:color w:val="000000"/>
                                <w:sz w:val="20"/>
                                <w:vertAlign w:val="baseline"/>
                              </w:rPr>
                              <w:t xml:space="preserve">O would be required for further support</w:t>
                            </w: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 CSU has sent a new SOW to CDOT for the above administrative tasks,</w:t>
                            </w:r>
                            <w:r w:rsidDel="00000000" w:rsidR="00000000" w:rsidRPr="00000000">
                              <w:rPr>
                                <w:rFonts w:ascii="Arial" w:cs="Arial" w:eastAsia="Arial" w:hAnsi="Arial"/>
                                <w:b w:val="0"/>
                                <w:i w:val="0"/>
                                <w:smallCaps w:val="0"/>
                                <w:strike w:val="0"/>
                                <w:color w:val="000000"/>
                                <w:sz w:val="20"/>
                                <w:vertAlign w:val="baseline"/>
                              </w:rPr>
                              <w:t xml:space="preserve"> for the annual meeting, and fo</w:t>
                            </w:r>
                            <w:r w:rsidDel="00000000" w:rsidR="00000000" w:rsidRPr="00000000">
                              <w:rPr>
                                <w:rFonts w:ascii="Arial" w:cs="Arial" w:eastAsia="Arial" w:hAnsi="Arial"/>
                                <w:b w:val="0"/>
                                <w:i w:val="0"/>
                                <w:smallCaps w:val="0"/>
                                <w:strike w:val="0"/>
                                <w:color w:val="000000"/>
                                <w:sz w:val="20"/>
                                <w:vertAlign w:val="baseline"/>
                              </w:rPr>
                              <w:t xml:space="preserve">r </w:t>
                            </w:r>
                            <w:r w:rsidDel="00000000" w:rsidR="00000000" w:rsidRPr="00000000">
                              <w:rPr>
                                <w:rFonts w:ascii="Arial" w:cs="Arial" w:eastAsia="Arial" w:hAnsi="Arial"/>
                                <w:b w:val="0"/>
                                <w:i w:val="0"/>
                                <w:smallCaps w:val="0"/>
                                <w:strike w:val="0"/>
                                <w:color w:val="000000"/>
                                <w:sz w:val="20"/>
                                <w:vertAlign w:val="baseline"/>
                              </w:rPr>
                              <w:t xml:space="preserve">development/refinement of the Toolkit. The PI</w:t>
                            </w:r>
                            <w:r w:rsidDel="00000000" w:rsidR="00000000" w:rsidRPr="00000000">
                              <w:rPr>
                                <w:rFonts w:ascii="Arial" w:cs="Arial" w:eastAsia="Arial" w:hAnsi="Arial"/>
                                <w:b w:val="0"/>
                                <w:i w:val="0"/>
                                <w:smallCaps w:val="0"/>
                                <w:strike w:val="0"/>
                                <w:color w:val="000000"/>
                                <w:sz w:val="20"/>
                                <w:vertAlign w:val="baseline"/>
                              </w:rPr>
                              <w:t xml:space="preserve"> at CSU will be Dr. Erika Miller, and the PM will be Michael Somers. </w:t>
                            </w:r>
                            <w:r w:rsidDel="00000000" w:rsidR="00000000" w:rsidRPr="00000000">
                              <w:rPr>
                                <w:rFonts w:ascii="Arial" w:cs="Arial" w:eastAsia="Arial" w:hAnsi="Arial"/>
                                <w:b w:val="0"/>
                                <w:i w:val="0"/>
                                <w:smallCaps w:val="0"/>
                                <w:strike w:val="0"/>
                                <w:color w:val="000000"/>
                                <w:sz w:val="20"/>
                                <w:vertAlign w:val="baseline"/>
                              </w:rPr>
                              <w:t xml:space="preserve">A </w:t>
                            </w:r>
                            <w:r w:rsidDel="00000000" w:rsidR="00000000" w:rsidRPr="00000000">
                              <w:rPr>
                                <w:rFonts w:ascii="Arial" w:cs="Arial" w:eastAsia="Arial" w:hAnsi="Arial"/>
                                <w:b w:val="0"/>
                                <w:i w:val="0"/>
                                <w:smallCaps w:val="0"/>
                                <w:strike w:val="0"/>
                                <w:color w:val="000000"/>
                                <w:sz w:val="20"/>
                                <w:vertAlign w:val="baseline"/>
                              </w:rPr>
                              <w:t xml:space="preserve">project number will assigned for the next quarterly report.</w:t>
                            </w:r>
                          </w:p>
                          <w:p w:rsidR="00000000" w:rsidDel="00000000" w:rsidP="00000000" w:rsidRDefault="00000000" w:rsidRPr="00000000">
                            <w:pPr>
                              <w:spacing w:after="0" w:before="0" w:line="240"/>
                              <w:ind w:left="720" w:right="499.00001525878906" w:firstLine="0"/>
                              <w:jc w:val="left"/>
                              <w:textDirection w:val="btLr"/>
                            </w:pPr>
                            <w:r w:rsidDel="00000000" w:rsidR="00000000" w:rsidRPr="00000000">
                              <w:rPr>
                                <w:rFonts w:ascii="Arial" w:cs="Arial" w:eastAsia="Arial" w:hAnsi="Arial"/>
                                <w:b w:val="0"/>
                                <w:i w:val="0"/>
                                <w:smallCaps w:val="0"/>
                                <w:strike w:val="0"/>
                                <w:color w:val="ff0000"/>
                                <w:sz w:val="20"/>
                                <w:vertAlign w:val="baseline"/>
                              </w:rPr>
                            </w:r>
                          </w:p>
                          <w:p w:rsidR="00000000" w:rsidDel="00000000" w:rsidP="00000000" w:rsidRDefault="00000000" w:rsidRPr="00000000">
                            <w:pPr>
                              <w:spacing w:after="0" w:before="12.000000476837158" w:line="240"/>
                              <w:ind w:left="720" w:right="0" w:firstLine="360"/>
                              <w:jc w:val="left"/>
                              <w:textDirection w:val="btLr"/>
                            </w:pPr>
                            <w:r w:rsidDel="00000000" w:rsidR="00000000" w:rsidRPr="00000000">
                              <w:rPr>
                                <w:rFonts w:ascii="Arial" w:cs="Arial" w:eastAsia="Arial" w:hAnsi="Arial"/>
                                <w:b w:val="0"/>
                                <w:i w:val="0"/>
                                <w:smallCaps w:val="0"/>
                                <w:strike w:val="0"/>
                                <w:color w:val="ff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5380-19-03 ATMA Dev Guide (MST) $92,572 - Dr. Xianbiao (XB) Hu (PI). Missouri University of Science and Technology (MST)</w:t>
                            </w:r>
                          </w:p>
                          <w:p w:rsidR="00000000" w:rsidDel="00000000" w:rsidP="00000000" w:rsidRDefault="00000000" w:rsidRPr="00000000">
                            <w:pPr>
                              <w:spacing w:after="0" w:before="12.000000476837158" w:line="240"/>
                              <w:ind w:left="1440" w:right="0" w:firstLine="10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Dr</w:t>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 Hu (PI) is leaving Missouri S&amp;T and joining Penn State University. The pool fund members voted to allow PI to carry this grant to his new University. No changes to budget, timeline, SOP are expected. Missouri S&amp;T will send out a relinquishment letter to release the unused fund. Work is continuing on Tasks 2, 3, and 4. The modeling approach has been revised to work with new dataset under COVID-19 restrictions. </w:t>
                            </w:r>
                            <w:r w:rsidDel="00000000" w:rsidR="00000000" w:rsidRPr="00000000">
                              <w:rPr>
                                <w:rFonts w:ascii="Arial" w:cs="Arial" w:eastAsia="Arial" w:hAnsi="Arial"/>
                                <w:b w:val="0"/>
                                <w:i w:val="0"/>
                                <w:smallCaps w:val="0"/>
                                <w:strike w:val="0"/>
                                <w:color w:val="000000"/>
                                <w:sz w:val="20"/>
                                <w:vertAlign w:val="baseline"/>
                              </w:rPr>
                              <w:t xml:space="preserve">Validation</w:t>
                            </w:r>
                            <w:r w:rsidDel="00000000" w:rsidR="00000000" w:rsidRPr="00000000">
                              <w:rPr>
                                <w:rFonts w:ascii="Arial" w:cs="Arial" w:eastAsia="Arial" w:hAnsi="Arial"/>
                                <w:b w:val="0"/>
                                <w:i w:val="0"/>
                                <w:smallCaps w:val="0"/>
                                <w:strike w:val="0"/>
                                <w:color w:val="000000"/>
                                <w:sz w:val="20"/>
                                <w:vertAlign w:val="baseline"/>
                              </w:rPr>
                              <w:t xml:space="preserve"> is being performed and showing promising results.</w:t>
                            </w:r>
                          </w:p>
                          <w:p w:rsidR="00000000" w:rsidDel="00000000" w:rsidP="00000000" w:rsidRDefault="00000000" w:rsidRPr="00000000">
                            <w:pPr>
                              <w:spacing w:after="0" w:before="12.000000476837158" w:line="240"/>
                              <w:ind w:left="1440" w:right="0" w:firstLine="0"/>
                              <w:jc w:val="left"/>
                              <w:textDirection w:val="btLr"/>
                            </w:pPr>
                            <w:r w:rsidDel="00000000" w:rsidR="00000000" w:rsidRPr="00000000">
                              <w:rPr>
                                <w:rFonts w:ascii="Arial" w:cs="Arial" w:eastAsia="Arial" w:hAnsi="Arial"/>
                                <w:b w:val="0"/>
                                <w:i w:val="0"/>
                                <w:smallCaps w:val="0"/>
                                <w:strike w:val="0"/>
                                <w:color w:val="0000ff"/>
                                <w:sz w:val="20"/>
                                <w:vertAlign w:val="baseline"/>
                              </w:rPr>
                            </w:r>
                          </w:p>
                          <w:p w:rsidR="00000000" w:rsidDel="00000000" w:rsidP="00000000" w:rsidRDefault="00000000" w:rsidRPr="00000000">
                            <w:pPr>
                              <w:spacing w:after="0" w:before="12.000000476837158"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5380-20-04 ATMA Tabletop $22,300 – Will Moorhead (PI), All Clear Emergency Management, Golden, Colorado </w:t>
                            </w:r>
                          </w:p>
                          <w:p w:rsidR="00000000" w:rsidDel="00000000" w:rsidP="00000000" w:rsidRDefault="00000000" w:rsidRPr="00000000">
                            <w:pPr>
                              <w:spacing w:after="0" w:before="12.000000476837158" w:line="240"/>
                              <w:ind w:left="1440" w:right="0" w:firstLine="10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Planning efforts for the July ATMA Tabletop event </w:t>
                            </w:r>
                            <w:r w:rsidDel="00000000" w:rsidR="00000000" w:rsidRPr="00000000">
                              <w:rPr>
                                <w:rFonts w:ascii="Arial" w:cs="Arial" w:eastAsia="Arial" w:hAnsi="Arial"/>
                                <w:b w:val="0"/>
                                <w:i w:val="0"/>
                                <w:smallCaps w:val="0"/>
                                <w:strike w:val="0"/>
                                <w:color w:val="000000"/>
                                <w:sz w:val="20"/>
                                <w:vertAlign w:val="baseline"/>
                              </w:rPr>
                              <w:t xml:space="preserve">completed</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Finalized 4 modules/s</w:t>
                            </w:r>
                            <w:r w:rsidDel="00000000" w:rsidR="00000000" w:rsidRPr="00000000">
                              <w:rPr>
                                <w:rFonts w:ascii="Arial" w:cs="Arial" w:eastAsia="Arial" w:hAnsi="Arial"/>
                                <w:b w:val="0"/>
                                <w:i w:val="0"/>
                                <w:smallCaps w:val="0"/>
                                <w:strike w:val="0"/>
                                <w:color w:val="000000"/>
                                <w:sz w:val="20"/>
                                <w:vertAlign w:val="baseline"/>
                              </w:rPr>
                              <w:t xml:space="preserve">cenarios to be discussed</w:t>
                            </w:r>
                            <w:r w:rsidDel="00000000" w:rsidR="00000000" w:rsidRPr="00000000">
                              <w:rPr>
                                <w:rFonts w:ascii="Arial" w:cs="Arial" w:eastAsia="Arial" w:hAnsi="Arial"/>
                                <w:b w:val="0"/>
                                <w:i w:val="0"/>
                                <w:smallCaps w:val="0"/>
                                <w:strike w:val="0"/>
                                <w:color w:val="000000"/>
                                <w:sz w:val="20"/>
                                <w:vertAlign w:val="baseline"/>
                              </w:rPr>
                              <w:t xml:space="preserve"> and scaled back the emphasis on CDOT to be more general. A large group is expected, so a format with breakout sessions is planned.</w:t>
                            </w:r>
                          </w:p>
                          <w:p w:rsidR="00000000" w:rsidDel="00000000" w:rsidP="00000000" w:rsidRDefault="00000000" w:rsidRPr="00000000">
                            <w:pPr>
                              <w:spacing w:after="0" w:before="12.000000476837158"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000000476837158" w:line="240"/>
                              <w:ind w:left="720" w:right="0" w:firstLine="360"/>
                              <w:jc w:val="left"/>
                              <w:textDirection w:val="btLr"/>
                            </w:pPr>
                            <w:r w:rsidDel="00000000" w:rsidR="00000000" w:rsidRPr="00000000">
                              <w:rPr>
                                <w:rFonts w:ascii="Arial" w:cs="Arial" w:eastAsia="Arial" w:hAnsi="Arial"/>
                                <w:b w:val="0"/>
                                <w:i w:val="0"/>
                                <w:smallCaps w:val="0"/>
                                <w:strike w:val="0"/>
                                <w:color w:val="0000ff"/>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5380-20-05 ATMA Cybersecurity Complement $50,000 – Dr. Jeremy Daily (PI), Colorado State University, Fort Collins.</w:t>
                            </w:r>
                          </w:p>
                          <w:p w:rsidR="00000000" w:rsidDel="00000000" w:rsidP="00000000" w:rsidRDefault="00000000" w:rsidRPr="00000000">
                            <w:pPr>
                              <w:spacing w:after="0" w:before="12.000000476837158" w:line="240"/>
                              <w:ind w:left="1440" w:right="0" w:firstLine="10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Project work underway. The team visited CDOTs ATMA in Limon, CO for a system demo and to test data recording. Some log files were shared with the team for preliminary analysis ,but no results are available yet. The team has been engaged with the planning for the ATMA Tabletop Exercise. Once the exercise is complete, the team will work to encompass lessons learned.</w:t>
                            </w:r>
                            <w:r w:rsidDel="00000000" w:rsidR="00000000" w:rsidRPr="00000000">
                              <w:rPr>
                                <w:rFonts w:ascii="Arial" w:cs="Arial" w:eastAsia="Arial" w:hAnsi="Arial"/>
                                <w:b w:val="0"/>
                                <w:i w:val="0"/>
                                <w:smallCaps w:val="0"/>
                                <w:strike w:val="0"/>
                                <w:color w:val="000000"/>
                                <w:sz w:val="20"/>
                                <w:vertAlign w:val="baseline"/>
                              </w:rPr>
                              <w:br w:type="textWrapping"/>
                            </w:r>
                          </w:p>
                          <w:p w:rsidR="00000000" w:rsidDel="00000000" w:rsidP="00000000" w:rsidRDefault="00000000" w:rsidRPr="00000000">
                            <w:pPr>
                              <w:spacing w:after="0" w:before="12.000000476837158" w:line="240"/>
                              <w:ind w:left="720" w:right="0" w:firstLine="36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5380-20-06 ATMA Documentation $130,000 – Dr. Xianbiao (XB) Hu (PI), Missouri Tech University.</w:t>
                            </w:r>
                          </w:p>
                          <w:p w:rsidR="00000000" w:rsidDel="00000000" w:rsidP="00000000" w:rsidRDefault="00000000" w:rsidRPr="00000000">
                            <w:pPr>
                              <w:spacing w:after="0" w:before="12.000000476837158" w:line="240"/>
                              <w:ind w:left="1440" w:right="0" w:firstLine="10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Dr</w:t>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 Hu (PI) is leaving Missouri S&amp;T and joining Penn State University. The pool fund members voted to allow PI to carry this grant to his new University. No changes to budget, timeline, SOP are expected. Missouri S&amp;T will send out a relinquishment letter to release the unused fund. Work is ongoing. Task 1 (Literature Review) was completed and shared with pooled fund members for feedback. Comments were addressed, and the final report was published on the pooled fund website.</w:t>
                            </w:r>
                          </w:p>
                          <w:p w:rsidR="00000000" w:rsidDel="00000000" w:rsidP="00000000" w:rsidRDefault="00000000" w:rsidRPr="00000000">
                            <w:pPr>
                              <w:spacing w:after="0" w:before="3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br w:type="textWrapping"/>
                            </w:r>
                          </w:p>
                        </w:txbxContent>
                      </wps:txbx>
                      <wps:bodyPr anchorCtr="0" anchor="t" bIns="0" lIns="0" spcFirstLastPara="1" rIns="0" wrap="square" tIns="0">
                        <a:noAutofit/>
                      </wps:bodyPr>
                    </wps:wsp>
                  </a:graphicData>
                </a:graphic>
              </wp:inline>
            </w:drawing>
          </mc:Choice>
          <mc:Fallback>
            <w:drawing>
              <wp:inline distB="0" distT="0" distL="0" distR="0">
                <wp:extent cx="6936105" cy="7269114"/>
                <wp:effectExtent b="0" l="0" r="0" t="0"/>
                <wp:docPr id="1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936105" cy="726911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9">
      <w:pPr>
        <w:spacing w:before="4" w:lineRule="auto"/>
        <w:rPr>
          <w:rFonts w:ascii="Times New Roman" w:cs="Times New Roman" w:eastAsia="Times New Roman" w:hAnsi="Times New Roman"/>
          <w:sz w:val="7"/>
          <w:szCs w:val="7"/>
        </w:rPr>
      </w:pPr>
      <w:r w:rsidDel="00000000" w:rsidR="00000000" w:rsidRPr="00000000">
        <w:rPr>
          <w:rtl w:val="0"/>
        </w:rPr>
      </w:r>
    </w:p>
    <w:p w:rsidR="00000000" w:rsidDel="00000000" w:rsidP="00000000" w:rsidRDefault="00000000" w:rsidRPr="00000000" w14:paraId="0000004A">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55155" cy="4703555"/>
                <wp:effectExtent b="0" l="0" r="0" t="0"/>
                <wp:docPr id="22" name=""/>
                <a:graphic>
                  <a:graphicData uri="http://schemas.microsoft.com/office/word/2010/wordprocessingShape">
                    <wps:wsp>
                      <wps:cNvSpPr/>
                      <wps:cNvPr id="5" name="Shape 5"/>
                      <wps:spPr>
                        <a:xfrm>
                          <a:off x="1882710" y="1439708"/>
                          <a:ext cx="6926580" cy="46805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Anticipated work next quarter</w:t>
                            </w:r>
                            <w:r w:rsidDel="00000000" w:rsidR="00000000" w:rsidRPr="00000000">
                              <w:rPr>
                                <w:rFonts w:ascii="Arial" w:cs="Arial" w:eastAsia="Arial" w:hAnsi="Arial"/>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3.00000190734863" w:line="240"/>
                              <w:ind w:left="60" w:right="0" w:firstLine="1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 the </w:t>
                            </w:r>
                            <w:r w:rsidDel="00000000" w:rsidR="00000000" w:rsidRPr="00000000">
                              <w:rPr>
                                <w:rFonts w:ascii="Arial" w:cs="Arial" w:eastAsia="Arial" w:hAnsi="Arial"/>
                                <w:b w:val="0"/>
                                <w:i w:val="0"/>
                                <w:smallCaps w:val="0"/>
                                <w:strike w:val="0"/>
                                <w:color w:val="000000"/>
                                <w:sz w:val="20"/>
                                <w:vertAlign w:val="baseline"/>
                              </w:rPr>
                              <w:t xml:space="preserve">3rd</w:t>
                            </w:r>
                            <w:r w:rsidDel="00000000" w:rsidR="00000000" w:rsidRPr="00000000">
                              <w:rPr>
                                <w:rFonts w:ascii="Arial" w:cs="Arial" w:eastAsia="Arial" w:hAnsi="Arial"/>
                                <w:b w:val="0"/>
                                <w:i w:val="0"/>
                                <w:smallCaps w:val="0"/>
                                <w:strike w:val="0"/>
                                <w:color w:val="000000"/>
                                <w:sz w:val="20"/>
                                <w:vertAlign w:val="baseline"/>
                              </w:rPr>
                              <w:t xml:space="preserve"> quarter of 2021, the team plans to accomplish the following:</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Continued refinement of the Toolkit</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Continued monthly meetings</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Quarterly report and project status</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Maintaining and updating </w:t>
                            </w:r>
                            <w:r w:rsidDel="00000000" w:rsidR="00000000" w:rsidRPr="00000000">
                              <w:rPr>
                                <w:rFonts w:ascii="Arial" w:cs="Arial" w:eastAsia="Arial" w:hAnsi="Arial"/>
                                <w:b w:val="0"/>
                                <w:i w:val="0"/>
                                <w:smallCaps w:val="0"/>
                                <w:strike w:val="0"/>
                                <w:color w:val="000000"/>
                                <w:sz w:val="20"/>
                                <w:vertAlign w:val="baseline"/>
                              </w:rPr>
                              <w:t xml:space="preserve">outwardly facing website</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Continued work on all projects and contract proj</w:t>
                            </w:r>
                            <w:r w:rsidDel="00000000" w:rsidR="00000000" w:rsidRPr="00000000">
                              <w:rPr>
                                <w:rFonts w:ascii="Arial" w:cs="Arial" w:eastAsia="Arial" w:hAnsi="Arial"/>
                                <w:b w:val="0"/>
                                <w:i w:val="0"/>
                                <w:smallCaps w:val="0"/>
                                <w:strike w:val="0"/>
                                <w:color w:val="000000"/>
                                <w:sz w:val="20"/>
                                <w:vertAlign w:val="baseline"/>
                              </w:rPr>
                              <w:t xml:space="preserve">ects 3, 4, 5, and 6</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w:t>
                            </w:r>
                            <w:r w:rsidDel="00000000" w:rsidR="00000000" w:rsidRPr="00000000">
                              <w:rPr>
                                <w:rFonts w:ascii="Arial" w:cs="Arial" w:eastAsia="Arial" w:hAnsi="Arial"/>
                                <w:b w:val="0"/>
                                <w:i w:val="0"/>
                                <w:smallCaps w:val="0"/>
                                <w:strike w:val="0"/>
                                <w:color w:val="000000"/>
                                <w:sz w:val="20"/>
                                <w:vertAlign w:val="baseline"/>
                              </w:rPr>
                              <w:t xml:space="preserve">lanning for a possible annual meeting in the fall</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Solicitation of problem statements for the next round of funded research projects</w:t>
                            </w:r>
                          </w:p>
                          <w:p w:rsidR="00000000" w:rsidDel="00000000" w:rsidP="00000000" w:rsidRDefault="00000000" w:rsidRPr="00000000">
                            <w:pPr>
                              <w:spacing w:after="0" w:before="3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6955155" cy="4703555"/>
                <wp:effectExtent b="0" l="0" r="0" t="0"/>
                <wp:docPr id="2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955155" cy="47035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spacing w:before="9"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C">
      <w:pPr>
        <w:ind w:left="112" w:firstLine="0"/>
        <w:rPr>
          <w:rFonts w:ascii="Times New Roman" w:cs="Times New Roman" w:eastAsia="Times New Roman" w:hAnsi="Times New Roman"/>
          <w:sz w:val="20"/>
          <w:szCs w:val="20"/>
        </w:rPr>
        <w:sectPr>
          <w:type w:val="nextPage"/>
          <w:pgSz w:h="15840" w:w="12240" w:orient="portrait"/>
          <w:pgMar w:bottom="1200" w:top="640" w:left="500" w:right="620" w:header="0" w:footer="1017"/>
        </w:sect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55155" cy="3825812"/>
                <wp:effectExtent b="0" l="0" r="0" t="0"/>
                <wp:docPr id="21" name=""/>
                <a:graphic>
                  <a:graphicData uri="http://schemas.microsoft.com/office/word/2010/wordprocessingShape">
                    <wps:wsp>
                      <wps:cNvSpPr/>
                      <wps:cNvPr id="4" name="Shape 4"/>
                      <wps:spPr>
                        <a:xfrm>
                          <a:off x="1882710" y="1877858"/>
                          <a:ext cx="6926580" cy="38042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01.00000381469727" w:right="0" w:firstLine="1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Significant Results:</w:t>
                            </w:r>
                          </w:p>
                          <w:p w:rsidR="00000000" w:rsidDel="00000000" w:rsidP="00000000" w:rsidRDefault="00000000" w:rsidRPr="00000000">
                            <w:pPr>
                              <w:spacing w:after="0" w:before="0" w:line="240"/>
                              <w:ind w:left="101.00000381469727" w:right="0" w:firstLine="302.99999237060547"/>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CDOT deployment of their second ATMA</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Re-engaged CSU for pooled fund support, management, and coordination activities.</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Revamped and published a new public-facing website for the pooled fund that also includes resources for members.</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Engaged with states on several data sharing requests. </w:t>
                            </w:r>
                            <w:r w:rsidDel="00000000" w:rsidR="00000000" w:rsidRPr="00000000">
                              <w:rPr>
                                <w:rFonts w:ascii="Arial" w:cs="Arial" w:eastAsia="Arial" w:hAnsi="Arial"/>
                                <w:b w:val="0"/>
                                <w:i w:val="0"/>
                                <w:smallCaps w:val="0"/>
                                <w:strike w:val="0"/>
                                <w:color w:val="000000"/>
                                <w:sz w:val="20"/>
                                <w:vertAlign w:val="baseline"/>
                              </w:rPr>
                              <w:t xml:space="preserve">Collaboration and information sharing is one of the most valuable components as states tackle these innovative technology deployments.</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Indiana DOT contributed funding and joined as a member of the AMT pooled fund in this quarter. They are looking into development of their own ATMA for their operations. </w:t>
                            </w:r>
                          </w:p>
                        </w:txbxContent>
                      </wps:txbx>
                      <wps:bodyPr anchorCtr="0" anchor="t" bIns="0" lIns="0" spcFirstLastPara="1" rIns="0" wrap="square" tIns="0">
                        <a:noAutofit/>
                      </wps:bodyPr>
                    </wps:wsp>
                  </a:graphicData>
                </a:graphic>
              </wp:inline>
            </w:drawing>
          </mc:Choice>
          <mc:Fallback>
            <w:drawing>
              <wp:inline distB="0" distT="0" distL="0" distR="0">
                <wp:extent cx="6955155" cy="3825812"/>
                <wp:effectExtent b="0" l="0" r="0" t="0"/>
                <wp:docPr id="2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955155" cy="382581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spacing w:before="4" w:lineRule="auto"/>
        <w:rPr>
          <w:rFonts w:ascii="Times New Roman" w:cs="Times New Roman" w:eastAsia="Times New Roman" w:hAnsi="Times New Roman"/>
          <w:sz w:val="7"/>
          <w:szCs w:val="7"/>
        </w:rPr>
      </w:pPr>
      <w:r w:rsidDel="00000000" w:rsidR="00000000" w:rsidRPr="00000000">
        <w:rPr>
          <w:rtl w:val="0"/>
        </w:rPr>
      </w:r>
    </w:p>
    <w:p w:rsidR="00000000" w:rsidDel="00000000" w:rsidP="00000000" w:rsidRDefault="00000000" w:rsidRPr="00000000" w14:paraId="0000004E">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55155" cy="4417334"/>
                <wp:effectExtent b="0" l="0" r="0" t="0"/>
                <wp:docPr id="24" name=""/>
                <a:graphic>
                  <a:graphicData uri="http://schemas.microsoft.com/office/word/2010/wordprocessingShape">
                    <wps:wsp>
                      <wps:cNvSpPr/>
                      <wps:cNvPr id="7" name="Shape 7"/>
                      <wps:spPr>
                        <a:xfrm>
                          <a:off x="1882710" y="1586075"/>
                          <a:ext cx="6926580" cy="43878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80" w:right="602.0000076293945" w:firstLine="1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123.00000190734863" w:line="240"/>
                              <w:ind w:left="75" w:right="0" w:firstLine="18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No challenges at this time. </w:t>
                            </w:r>
                          </w:p>
                        </w:txbxContent>
                      </wps:txbx>
                      <wps:bodyPr anchorCtr="0" anchor="t" bIns="0" lIns="0" spcFirstLastPara="1" rIns="0" wrap="square" tIns="0">
                        <a:noAutofit/>
                      </wps:bodyPr>
                    </wps:wsp>
                  </a:graphicData>
                </a:graphic>
              </wp:inline>
            </w:drawing>
          </mc:Choice>
          <mc:Fallback>
            <w:drawing>
              <wp:inline distB="0" distT="0" distL="0" distR="0">
                <wp:extent cx="6955155" cy="4417334"/>
                <wp:effectExtent b="0" l="0" r="0" t="0"/>
                <wp:docPr id="24"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955155" cy="441733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F">
      <w:pPr>
        <w:spacing w:before="9"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0">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55155" cy="3386941"/>
                <wp:effectExtent b="0" l="0" r="0" t="0"/>
                <wp:docPr id="23" name=""/>
                <a:graphic>
                  <a:graphicData uri="http://schemas.microsoft.com/office/word/2010/wordprocessingShape">
                    <wps:wsp>
                      <wps:cNvSpPr/>
                      <wps:cNvPr id="6" name="Shape 6"/>
                      <wps:spPr>
                        <a:xfrm>
                          <a:off x="1882710" y="2096615"/>
                          <a:ext cx="6926580" cy="33667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180" w:right="0" w:firstLine="180"/>
                              <w:jc w:val="left"/>
                              <w:textDirection w:val="btLr"/>
                            </w:pP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Potential Implementation:</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Currently five states in some phase of deployment with purchase of a vehicle: California, Colorado, Missouri, Minnesota, and Virginia. This has increased since 2018 when Colorado was the only infrastructure owner operator of an ATMA and who had deployed an ATMA. </w:t>
                            </w:r>
                          </w:p>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Assisting new states with ideation and project discovery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101.00000381469727" w:right="0" w:firstLine="302.99999237060547"/>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6955155" cy="3386941"/>
                <wp:effectExtent b="0" l="0" r="0" t="0"/>
                <wp:docPr id="23"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955155" cy="3386941"/>
                        </a:xfrm>
                        <a:prstGeom prst="rect"/>
                        <a:ln/>
                      </pic:spPr>
                    </pic:pic>
                  </a:graphicData>
                </a:graphic>
              </wp:inline>
            </w:drawing>
          </mc:Fallback>
        </mc:AlternateContent>
      </w:r>
      <w:r w:rsidDel="00000000" w:rsidR="00000000" w:rsidRPr="00000000">
        <w:rPr>
          <w:rtl w:val="0"/>
        </w:rPr>
      </w:r>
    </w:p>
    <w:sectPr>
      <w:type w:val="nextPage"/>
      <w:pgSz w:h="15840" w:w="12240" w:orient="portrait"/>
      <w:pgMar w:bottom="1200" w:top="640" w:left="500" w:right="620" w:header="0" w:footer="10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spacing w:line="14.399999999999999" w:lineRule="auto"/>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4" w:lineRule="auto"/>
      <w:ind w:left="220"/>
    </w:pPr>
    <w:rPr>
      <w:rFonts w:ascii="Arial" w:cs="Arial" w:eastAsia="Arial" w:hAnsi="Arial"/>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spacing w:before="74"/>
      <w:ind w:left="220"/>
      <w:outlineLvl w:val="0"/>
    </w:pPr>
    <w:rPr>
      <w:rFonts w:ascii="Arial" w:eastAsia="Arial" w:hAnsi="Arial"/>
      <w:sz w:val="20"/>
      <w:szCs w:val="20"/>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spacing w:before="34"/>
      <w:ind w:left="220"/>
    </w:pPr>
    <w:rPr>
      <w:rFonts w:ascii="Arial" w:eastAsia="Arial" w:hAnsi="Arial"/>
      <w:i w:val="1"/>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CommentReference">
    <w:name w:val="annotation reference"/>
    <w:basedOn w:val="DefaultParagraphFont"/>
    <w:uiPriority w:val="99"/>
    <w:semiHidden w:val="1"/>
    <w:unhideWhenUsed w:val="1"/>
    <w:rsid w:val="00075B36"/>
    <w:rPr>
      <w:sz w:val="16"/>
      <w:szCs w:val="16"/>
    </w:rPr>
  </w:style>
  <w:style w:type="paragraph" w:styleId="CommentText">
    <w:name w:val="annotation text"/>
    <w:basedOn w:val="Normal"/>
    <w:link w:val="CommentTextChar"/>
    <w:uiPriority w:val="99"/>
    <w:semiHidden w:val="1"/>
    <w:unhideWhenUsed w:val="1"/>
    <w:rsid w:val="00075B36"/>
    <w:rPr>
      <w:sz w:val="20"/>
      <w:szCs w:val="20"/>
    </w:rPr>
  </w:style>
  <w:style w:type="character" w:styleId="CommentTextChar" w:customStyle="1">
    <w:name w:val="Comment Text Char"/>
    <w:basedOn w:val="DefaultParagraphFont"/>
    <w:link w:val="CommentText"/>
    <w:uiPriority w:val="99"/>
    <w:semiHidden w:val="1"/>
    <w:rsid w:val="00075B36"/>
    <w:rPr>
      <w:sz w:val="20"/>
      <w:szCs w:val="20"/>
    </w:rPr>
  </w:style>
  <w:style w:type="paragraph" w:styleId="CommentSubject">
    <w:name w:val="annotation subject"/>
    <w:basedOn w:val="CommentText"/>
    <w:next w:val="CommentText"/>
    <w:link w:val="CommentSubjectChar"/>
    <w:uiPriority w:val="99"/>
    <w:semiHidden w:val="1"/>
    <w:unhideWhenUsed w:val="1"/>
    <w:rsid w:val="00075B36"/>
    <w:rPr>
      <w:b w:val="1"/>
      <w:bCs w:val="1"/>
    </w:rPr>
  </w:style>
  <w:style w:type="character" w:styleId="CommentSubjectChar" w:customStyle="1">
    <w:name w:val="Comment Subject Char"/>
    <w:basedOn w:val="CommentTextChar"/>
    <w:link w:val="CommentSubject"/>
    <w:uiPriority w:val="99"/>
    <w:semiHidden w:val="1"/>
    <w:rsid w:val="00075B36"/>
    <w:rPr>
      <w:b w:val="1"/>
      <w:bCs w:val="1"/>
      <w:sz w:val="20"/>
      <w:szCs w:val="20"/>
    </w:rPr>
  </w:style>
  <w:style w:type="paragraph" w:styleId="BalloonText">
    <w:name w:val="Balloon Text"/>
    <w:basedOn w:val="Normal"/>
    <w:link w:val="BalloonTextChar"/>
    <w:uiPriority w:val="99"/>
    <w:semiHidden w:val="1"/>
    <w:unhideWhenUsed w:val="1"/>
    <w:rsid w:val="00075B36"/>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5B36"/>
    <w:rPr>
      <w:rFonts w:ascii="Times New Roman" w:cs="Times New Roman" w:hAnsi="Times New Roman"/>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vid.reeves@state.co.u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G5sllYdk6eZp3aUkarZGEzcfyg==">AMUW2mWuAGVULKOi/AESB8U8LMlbEboLC7g9D/ok4l2TeP+BrBfrLeHdZT16mQcaVa3R2EKuJGTHplpXI/b4ChHtnwh3YDdGlXfPO1CoP72TwlvZwox84Nf9SzemGsXcOOxegtvlRi9u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2021-04-27T17:28:00Z</dcterms:created>
  <dc:creator>lisa.williams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2011-07-15T00:00:00Z</vt:filetime>
  </property>
  <property fmtid="{D5CDD505-2E9C-101B-9397-08002B2CF9AE}" pid="3" name="LastSaved">
    <vt:filetime>2020-01-17T00:00:00Z</vt:filetime>
  </property>
</Properties>
</file>