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77777777"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42A2CEA5"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w:t>
            </w:r>
            <w:r w:rsidR="00E77FB8">
              <w:rPr>
                <w:rFonts w:ascii="Arial" w:hAnsi="Arial" w:cs="Arial"/>
                <w:sz w:val="20"/>
                <w:szCs w:val="20"/>
              </w:rPr>
              <w:t>1</w:t>
            </w:r>
            <w:proofErr w:type="gramEnd"/>
          </w:p>
          <w:p w14:paraId="2F9CA8A4" w14:textId="40EED671"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43358E">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14:paraId="27FE7532" w14:textId="38E2D95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48F1B01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7777777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C3C426" w14:textId="77777777"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14:paraId="4A48A38C"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A65B96E" w14:textId="77777777" w:rsidR="009136A4" w:rsidRDefault="001C10C6" w:rsidP="009F01FF">
            <w:pPr>
              <w:ind w:right="-720"/>
              <w:rPr>
                <w:rFonts w:ascii="Arial" w:hAnsi="Arial" w:cs="Arial"/>
                <w:b/>
                <w:sz w:val="20"/>
                <w:szCs w:val="20"/>
              </w:rPr>
            </w:pPr>
            <w:r>
              <w:rPr>
                <w:rFonts w:ascii="Arial" w:hAnsi="Arial" w:cs="Arial"/>
                <w:b/>
                <w:sz w:val="20"/>
                <w:szCs w:val="20"/>
              </w:rPr>
              <w:t>(360) 705-7406</w:t>
            </w:r>
          </w:p>
          <w:p w14:paraId="7B8765C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8CC8AD8" w14:textId="77777777"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77777777" w:rsidR="00535598" w:rsidRPr="00B66A21" w:rsidRDefault="001C10C6" w:rsidP="0003476C">
            <w:pPr>
              <w:ind w:right="-720"/>
              <w:rPr>
                <w:rFonts w:ascii="Arial" w:hAnsi="Arial" w:cs="Arial"/>
                <w:sz w:val="20"/>
                <w:szCs w:val="20"/>
              </w:rPr>
            </w:pPr>
            <w:r>
              <w:rPr>
                <w:rFonts w:ascii="Arial" w:hAnsi="Arial" w:cs="Arial"/>
                <w:sz w:val="20"/>
                <w:szCs w:val="20"/>
              </w:rPr>
              <w:t>June 2020</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77777777"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7777777"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D53C73F" w14:textId="77777777"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This new pooled fund will supersede the previous pooled fund (TPF 5-434) that was completed January 30, 2020.</w:t>
            </w:r>
          </w:p>
          <w:p w14:paraId="220FA8D6" w14:textId="77777777" w:rsidR="001C10C6" w:rsidRPr="001C10C6" w:rsidRDefault="001C10C6" w:rsidP="00670871">
            <w:pPr>
              <w:rPr>
                <w:rStyle w:val="Strong"/>
                <w:rFonts w:cstheme="minorHAnsi"/>
                <w:color w:val="333333"/>
                <w:sz w:val="20"/>
                <w:szCs w:val="20"/>
                <w:shd w:val="clear" w:color="auto" w:fill="FFFFFF"/>
              </w:rPr>
            </w:pPr>
          </w:p>
          <w:p w14:paraId="03B093D8" w14:textId="77777777" w:rsidR="002B696C" w:rsidRPr="001C10C6" w:rsidRDefault="002B696C" w:rsidP="002B696C">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virtual and not in-person due to the Covid 19 worldwide pandemic.</w:t>
            </w:r>
          </w:p>
          <w:p w14:paraId="28246816" w14:textId="77777777" w:rsidR="002B696C" w:rsidRDefault="002B696C" w:rsidP="002B696C">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14:paraId="4DCCD143" w14:textId="17B9EAB0" w:rsidR="00035DD2" w:rsidRDefault="002B696C" w:rsidP="002B696C">
            <w:pPr>
              <w:ind w:right="-720"/>
              <w:rPr>
                <w:rFonts w:ascii="Arial" w:hAnsi="Arial" w:cs="Arial"/>
                <w:sz w:val="20"/>
                <w:szCs w:val="20"/>
              </w:rPr>
            </w:pPr>
            <w:r>
              <w:rPr>
                <w:rFonts w:cstheme="minorHAnsi"/>
                <w:sz w:val="20"/>
                <w:szCs w:val="20"/>
              </w:rPr>
              <w:t>The contractor for the pooled fund in UC Davis.</w:t>
            </w:r>
          </w:p>
          <w:p w14:paraId="4584E808" w14:textId="77777777" w:rsidR="00035DD2" w:rsidRDefault="00035DD2" w:rsidP="00035DD2">
            <w:pPr>
              <w:ind w:right="-720"/>
              <w:rPr>
                <w:rFonts w:ascii="Arial" w:hAnsi="Arial" w:cs="Arial"/>
                <w:sz w:val="20"/>
                <w:szCs w:val="20"/>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77777777" w:rsidR="001C10C6" w:rsidRDefault="001C10C6" w:rsidP="00551D8A">
            <w:pPr>
              <w:ind w:right="-720"/>
              <w:rPr>
                <w:rFonts w:ascii="Verdana" w:hAnsi="Verdana"/>
                <w:color w:val="333333"/>
                <w:sz w:val="20"/>
                <w:szCs w:val="20"/>
                <w:shd w:val="clear" w:color="auto" w:fill="FFFFFF"/>
              </w:rPr>
            </w:pPr>
          </w:p>
          <w:p w14:paraId="535A4C54" w14:textId="77777777" w:rsidR="0043358E" w:rsidRDefault="0043358E" w:rsidP="0043358E">
            <w:pPr>
              <w:pStyle w:val="xmsonormal"/>
              <w:shd w:val="clear" w:color="auto" w:fill="FFFFFF"/>
              <w:rPr>
                <w:color w:val="201F1E"/>
              </w:rPr>
            </w:pPr>
            <w:r>
              <w:rPr>
                <w:rFonts w:ascii="Arial" w:hAnsi="Arial" w:cs="Arial"/>
                <w:b/>
                <w:bCs/>
                <w:i/>
                <w:iCs/>
                <w:color w:val="201F1E"/>
                <w:sz w:val="20"/>
                <w:szCs w:val="20"/>
              </w:rPr>
              <w:t> </w:t>
            </w:r>
          </w:p>
          <w:p w14:paraId="4A2F0948" w14:textId="77777777" w:rsidR="0043358E" w:rsidRDefault="0043358E" w:rsidP="0043358E">
            <w:pPr>
              <w:pStyle w:val="xmsonormal"/>
              <w:shd w:val="clear" w:color="auto" w:fill="FFFFFF"/>
              <w:rPr>
                <w:color w:val="201F1E"/>
              </w:rPr>
            </w:pPr>
            <w:r>
              <w:rPr>
                <w:rFonts w:ascii="Arial" w:hAnsi="Arial" w:cs="Arial"/>
                <w:b/>
                <w:bCs/>
                <w:i/>
                <w:iCs/>
                <w:color w:val="201F1E"/>
                <w:sz w:val="20"/>
                <w:szCs w:val="20"/>
              </w:rPr>
              <w:t xml:space="preserve">Task order with UC Davis complete.  Call for Abstracts for the conference was made. UC Davis </w:t>
            </w:r>
            <w:proofErr w:type="gramStart"/>
            <w:r>
              <w:rPr>
                <w:rFonts w:ascii="Arial" w:hAnsi="Arial" w:cs="Arial"/>
                <w:b/>
                <w:bCs/>
                <w:i/>
                <w:iCs/>
                <w:color w:val="201F1E"/>
                <w:sz w:val="20"/>
                <w:szCs w:val="20"/>
              </w:rPr>
              <w:t>hired  David</w:t>
            </w:r>
            <w:proofErr w:type="gramEnd"/>
            <w:r>
              <w:rPr>
                <w:rFonts w:ascii="Arial" w:hAnsi="Arial" w:cs="Arial"/>
                <w:b/>
                <w:bCs/>
                <w:i/>
                <w:iCs/>
                <w:color w:val="201F1E"/>
                <w:sz w:val="20"/>
                <w:szCs w:val="20"/>
              </w:rPr>
              <w:t xml:space="preserve"> </w:t>
            </w:r>
            <w:proofErr w:type="spellStart"/>
            <w:r>
              <w:rPr>
                <w:rFonts w:ascii="Arial" w:hAnsi="Arial" w:cs="Arial"/>
                <w:b/>
                <w:bCs/>
                <w:i/>
                <w:iCs/>
                <w:color w:val="201F1E"/>
                <w:sz w:val="20"/>
                <w:szCs w:val="20"/>
              </w:rPr>
              <w:t>Waetjen</w:t>
            </w:r>
            <w:proofErr w:type="spellEnd"/>
            <w:r>
              <w:rPr>
                <w:rFonts w:ascii="Arial" w:hAnsi="Arial" w:cs="Arial"/>
                <w:b/>
                <w:bCs/>
                <w:i/>
                <w:iCs/>
                <w:color w:val="201F1E"/>
                <w:sz w:val="20"/>
                <w:szCs w:val="20"/>
              </w:rPr>
              <w:t xml:space="preserve">, Natalie Cruz and Cristina </w:t>
            </w:r>
            <w:proofErr w:type="spellStart"/>
            <w:r>
              <w:rPr>
                <w:rFonts w:ascii="Arial" w:hAnsi="Arial" w:cs="Arial"/>
                <w:b/>
                <w:bCs/>
                <w:i/>
                <w:iCs/>
                <w:color w:val="201F1E"/>
                <w:sz w:val="20"/>
                <w:szCs w:val="20"/>
              </w:rPr>
              <w:t>Echevery</w:t>
            </w:r>
            <w:proofErr w:type="spellEnd"/>
            <w:r>
              <w:rPr>
                <w:rFonts w:ascii="Arial" w:hAnsi="Arial" w:cs="Arial"/>
                <w:b/>
                <w:bCs/>
                <w:i/>
                <w:iCs/>
                <w:color w:val="201F1E"/>
                <w:sz w:val="20"/>
                <w:szCs w:val="20"/>
              </w:rPr>
              <w:t xml:space="preserve"> to assist with the virtual conference. </w:t>
            </w:r>
          </w:p>
          <w:p w14:paraId="06ED95B2" w14:textId="77777777" w:rsidR="00717972" w:rsidRDefault="00717972" w:rsidP="00717972">
            <w:pPr>
              <w:ind w:right="-720"/>
              <w:rPr>
                <w:rFonts w:ascii="Arial" w:hAnsi="Arial" w:cs="Arial"/>
                <w:sz w:val="20"/>
                <w:szCs w:val="20"/>
              </w:rPr>
            </w:pPr>
          </w:p>
          <w:p w14:paraId="0416BAC5" w14:textId="2C02EA91" w:rsidR="00717972" w:rsidRDefault="00717972" w:rsidP="00717972">
            <w:pPr>
              <w:ind w:right="-720"/>
              <w:rPr>
                <w:rFonts w:ascii="Arial" w:hAnsi="Arial" w:cs="Arial"/>
                <w:sz w:val="20"/>
                <w:szCs w:val="20"/>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272C3D0" w14:textId="77777777" w:rsidR="00F91E2C" w:rsidRDefault="00F91E2C" w:rsidP="00551D8A">
            <w:pPr>
              <w:ind w:right="-720"/>
              <w:rPr>
                <w:rFonts w:ascii="Arial" w:hAnsi="Arial" w:cs="Arial"/>
                <w:sz w:val="20"/>
                <w:szCs w:val="20"/>
              </w:rPr>
            </w:pPr>
          </w:p>
          <w:p w14:paraId="1433F8DA" w14:textId="77777777" w:rsidR="0043358E" w:rsidRDefault="0043358E" w:rsidP="0043358E">
            <w:pPr>
              <w:pStyle w:val="xmsonormal"/>
              <w:shd w:val="clear" w:color="auto" w:fill="FFFFFF"/>
              <w:rPr>
                <w:color w:val="201F1E"/>
              </w:rPr>
            </w:pPr>
          </w:p>
          <w:p w14:paraId="28DE83DC" w14:textId="77777777" w:rsidR="0043358E" w:rsidRDefault="0043358E" w:rsidP="0043358E">
            <w:pPr>
              <w:pStyle w:val="xmsonormal"/>
              <w:shd w:val="clear" w:color="auto" w:fill="FFFFFF"/>
              <w:rPr>
                <w:color w:val="201F1E"/>
              </w:rPr>
            </w:pPr>
            <w:r>
              <w:rPr>
                <w:rFonts w:ascii="Arial" w:hAnsi="Arial" w:cs="Arial"/>
                <w:b/>
                <w:bCs/>
                <w:i/>
                <w:iCs/>
                <w:color w:val="201F1E"/>
                <w:sz w:val="20"/>
                <w:szCs w:val="20"/>
              </w:rPr>
              <w:t>The virtual ICOET conference will be held Sept 22, 23, 27, 28, 29.  Program will be developed, including a downloadable version as well as a web version. Presentations will be uploaded to the web-program prior to the conference and will be available after the conference.</w:t>
            </w:r>
          </w:p>
          <w:p w14:paraId="41D2E45C" w14:textId="77777777" w:rsidR="00E77FB8" w:rsidRDefault="00E77FB8" w:rsidP="00E77FB8">
            <w:pPr>
              <w:ind w:right="-720"/>
              <w:rPr>
                <w:rFonts w:ascii="Arial" w:hAnsi="Arial" w:cs="Arial"/>
                <w:sz w:val="20"/>
                <w:szCs w:val="20"/>
              </w:rPr>
            </w:pPr>
          </w:p>
          <w:p w14:paraId="29C4E8E5" w14:textId="6C70E375" w:rsidR="0043358E" w:rsidRDefault="0043358E" w:rsidP="00E77FB8">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011A2A5B" w14:textId="77777777" w:rsidR="00AF1C77" w:rsidRDefault="00AF1C77" w:rsidP="00AF1C77">
            <w:pPr>
              <w:rPr>
                <w:color w:val="1F497D"/>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73522" w14:textId="77777777" w:rsidR="006943B2" w:rsidRDefault="006943B2" w:rsidP="00106C83">
      <w:pPr>
        <w:spacing w:after="0" w:line="240" w:lineRule="auto"/>
      </w:pPr>
      <w:r>
        <w:separator/>
      </w:r>
    </w:p>
  </w:endnote>
  <w:endnote w:type="continuationSeparator" w:id="0">
    <w:p w14:paraId="38B227AE" w14:textId="77777777" w:rsidR="006943B2" w:rsidRDefault="006943B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31C6" w14:textId="77777777" w:rsidR="002B696C" w:rsidRDefault="002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B6F77" w14:textId="77777777" w:rsidR="002B696C" w:rsidRDefault="002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3DC35" w14:textId="77777777" w:rsidR="006943B2" w:rsidRDefault="006943B2" w:rsidP="00106C83">
      <w:pPr>
        <w:spacing w:after="0" w:line="240" w:lineRule="auto"/>
      </w:pPr>
      <w:r>
        <w:separator/>
      </w:r>
    </w:p>
  </w:footnote>
  <w:footnote w:type="continuationSeparator" w:id="0">
    <w:p w14:paraId="08B70BBB" w14:textId="77777777" w:rsidR="006943B2" w:rsidRDefault="006943B2"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59C1" w14:textId="77777777" w:rsidR="002B696C" w:rsidRDefault="002B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4A7C" w14:textId="77777777" w:rsidR="002B696C" w:rsidRDefault="002B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F5DC" w14:textId="77777777" w:rsidR="002B696C" w:rsidRDefault="002B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2B696C"/>
    <w:rsid w:val="00372267"/>
    <w:rsid w:val="0038705A"/>
    <w:rsid w:val="003C01AD"/>
    <w:rsid w:val="003C6A3D"/>
    <w:rsid w:val="004144E6"/>
    <w:rsid w:val="004156B2"/>
    <w:rsid w:val="0043358E"/>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943B2"/>
    <w:rsid w:val="00717972"/>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CF6519"/>
    <w:rsid w:val="00D05DC0"/>
    <w:rsid w:val="00D05DF9"/>
    <w:rsid w:val="00D17528"/>
    <w:rsid w:val="00D4334D"/>
    <w:rsid w:val="00D64E16"/>
    <w:rsid w:val="00D66547"/>
    <w:rsid w:val="00D71B92"/>
    <w:rsid w:val="00D82408"/>
    <w:rsid w:val="00DA1F4C"/>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2021-07-23T18:10:00Z</dcterms:created>
  <dcterms:modified xsi:type="dcterms:W3CDTF">2021-07-23T18:10:00Z</dcterms:modified>
</cp:coreProperties>
</file>