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A5B" w:rsidRPr="00F55FFA" w:rsidRDefault="00844A5B" w:rsidP="00F55FFA">
      <w:pPr>
        <w:spacing w:after="0" w:line="240" w:lineRule="auto"/>
        <w:jc w:val="both"/>
        <w:rPr>
          <w:rFonts w:cstheme="minorHAnsi"/>
          <w:sz w:val="20"/>
          <w:szCs w:val="20"/>
        </w:rPr>
      </w:pPr>
    </w:p>
    <w:p w:rsidR="008937D0" w:rsidRPr="00F55FFA" w:rsidRDefault="008937D0" w:rsidP="00F55FFA">
      <w:pPr>
        <w:pStyle w:val="NoSpacing"/>
        <w:ind w:left="2160"/>
        <w:jc w:val="both"/>
        <w:rPr>
          <w:rFonts w:cstheme="minorHAnsi"/>
          <w:sz w:val="20"/>
          <w:szCs w:val="20"/>
        </w:rPr>
      </w:pPr>
    </w:p>
    <w:p w:rsidR="00844A5B" w:rsidRPr="00F55FFA" w:rsidRDefault="00844A5B" w:rsidP="00F55FFA">
      <w:pPr>
        <w:pStyle w:val="Heading2"/>
        <w:jc w:val="both"/>
        <w:rPr>
          <w:rFonts w:asciiTheme="minorHAnsi" w:hAnsiTheme="minorHAnsi"/>
          <w:sz w:val="20"/>
          <w:szCs w:val="20"/>
        </w:rPr>
      </w:pPr>
      <w:r w:rsidRPr="00F55FFA">
        <w:rPr>
          <w:rFonts w:asciiTheme="minorHAnsi" w:hAnsiTheme="minorHAnsi"/>
          <w:sz w:val="20"/>
          <w:szCs w:val="20"/>
        </w:rPr>
        <w:t>Objectives and Impact</w:t>
      </w:r>
    </w:p>
    <w:p w:rsidR="00A42CFA" w:rsidRDefault="00844A5B" w:rsidP="00B548EB">
      <w:pPr>
        <w:spacing w:after="0" w:line="240" w:lineRule="auto"/>
        <w:jc w:val="both"/>
        <w:rPr>
          <w:rFonts w:cs="Arial"/>
          <w:sz w:val="20"/>
          <w:szCs w:val="20"/>
        </w:rPr>
      </w:pPr>
      <w:r w:rsidRPr="00F55FFA">
        <w:rPr>
          <w:rFonts w:cs="Arial"/>
          <w:sz w:val="20"/>
          <w:szCs w:val="20"/>
        </w:rPr>
        <w:t xml:space="preserve">The objective </w:t>
      </w:r>
      <w:r w:rsidR="00A56109">
        <w:rPr>
          <w:rFonts w:cs="Arial"/>
          <w:sz w:val="20"/>
          <w:szCs w:val="20"/>
        </w:rPr>
        <w:t xml:space="preserve">of the proposal </w:t>
      </w:r>
      <w:r w:rsidRPr="00F55FFA">
        <w:rPr>
          <w:rFonts w:cs="Arial"/>
          <w:sz w:val="20"/>
          <w:szCs w:val="20"/>
        </w:rPr>
        <w:t xml:space="preserve">is to </w:t>
      </w:r>
      <w:r w:rsidR="00A56109">
        <w:rPr>
          <w:rFonts w:cs="Arial"/>
          <w:sz w:val="20"/>
          <w:szCs w:val="20"/>
        </w:rPr>
        <w:t xml:space="preserve">request a continuation of </w:t>
      </w:r>
      <w:proofErr w:type="spellStart"/>
      <w:r w:rsidR="00A56109">
        <w:rPr>
          <w:rFonts w:cs="Arial"/>
          <w:sz w:val="20"/>
          <w:szCs w:val="20"/>
        </w:rPr>
        <w:t>SPR</w:t>
      </w:r>
      <w:proofErr w:type="spellEnd"/>
      <w:r w:rsidR="00A56109">
        <w:rPr>
          <w:rFonts w:cs="Arial"/>
          <w:sz w:val="20"/>
          <w:szCs w:val="20"/>
        </w:rPr>
        <w:t>-5(281)</w:t>
      </w:r>
      <w:r w:rsidRPr="00F55FFA">
        <w:rPr>
          <w:rFonts w:cs="Arial"/>
          <w:sz w:val="20"/>
          <w:szCs w:val="20"/>
        </w:rPr>
        <w:t xml:space="preserve"> the </w:t>
      </w:r>
      <w:r w:rsidRPr="00F55FFA">
        <w:rPr>
          <w:rFonts w:cs="Arial"/>
          <w:i/>
          <w:sz w:val="20"/>
          <w:szCs w:val="20"/>
          <w:u w:val="single"/>
        </w:rPr>
        <w:t>S</w:t>
      </w:r>
      <w:r w:rsidRPr="00F55FFA">
        <w:rPr>
          <w:rFonts w:cs="Arial"/>
          <w:i/>
          <w:sz w:val="20"/>
          <w:szCs w:val="20"/>
        </w:rPr>
        <w:t xml:space="preserve">teel </w:t>
      </w:r>
      <w:r w:rsidRPr="00F55FFA">
        <w:rPr>
          <w:rFonts w:cs="Arial"/>
          <w:bCs/>
          <w:i/>
          <w:sz w:val="20"/>
          <w:szCs w:val="20"/>
          <w:u w:val="single"/>
        </w:rPr>
        <w:t>B</w:t>
      </w:r>
      <w:r w:rsidRPr="00F55FFA">
        <w:rPr>
          <w:rFonts w:cs="Arial"/>
          <w:bCs/>
          <w:i/>
          <w:sz w:val="20"/>
          <w:szCs w:val="20"/>
        </w:rPr>
        <w:t xml:space="preserve">ridge </w:t>
      </w:r>
      <w:r w:rsidRPr="00F55FFA">
        <w:rPr>
          <w:rFonts w:cs="Arial"/>
          <w:bCs/>
          <w:i/>
          <w:sz w:val="20"/>
          <w:szCs w:val="20"/>
          <w:u w:val="single"/>
        </w:rPr>
        <w:t>R</w:t>
      </w:r>
      <w:r w:rsidRPr="00F55FFA">
        <w:rPr>
          <w:rFonts w:cs="Arial"/>
          <w:bCs/>
          <w:i/>
          <w:sz w:val="20"/>
          <w:szCs w:val="20"/>
        </w:rPr>
        <w:t xml:space="preserve">esearch, </w:t>
      </w:r>
      <w:r w:rsidRPr="00F55FFA">
        <w:rPr>
          <w:rFonts w:cs="Arial"/>
          <w:bCs/>
          <w:i/>
          <w:sz w:val="20"/>
          <w:szCs w:val="20"/>
          <w:u w:val="single"/>
        </w:rPr>
        <w:t>I</w:t>
      </w:r>
      <w:r w:rsidRPr="00F55FFA">
        <w:rPr>
          <w:rFonts w:cs="Arial"/>
          <w:bCs/>
          <w:i/>
          <w:sz w:val="20"/>
          <w:szCs w:val="20"/>
        </w:rPr>
        <w:t xml:space="preserve">nspection, </w:t>
      </w:r>
      <w:r w:rsidRPr="00F55FFA">
        <w:rPr>
          <w:rFonts w:cs="Arial"/>
          <w:bCs/>
          <w:i/>
          <w:sz w:val="20"/>
          <w:szCs w:val="20"/>
          <w:u w:val="single"/>
        </w:rPr>
        <w:t>T</w:t>
      </w:r>
      <w:r w:rsidRPr="00F55FFA">
        <w:rPr>
          <w:rFonts w:cs="Arial"/>
          <w:bCs/>
          <w:i/>
          <w:sz w:val="20"/>
          <w:szCs w:val="20"/>
        </w:rPr>
        <w:t xml:space="preserve">raining, and </w:t>
      </w:r>
      <w:r w:rsidRPr="00F55FFA">
        <w:rPr>
          <w:rFonts w:cs="Arial"/>
          <w:bCs/>
          <w:i/>
          <w:sz w:val="20"/>
          <w:szCs w:val="20"/>
          <w:u w:val="single"/>
        </w:rPr>
        <w:t>E</w:t>
      </w:r>
      <w:r w:rsidRPr="00F55FFA">
        <w:rPr>
          <w:rFonts w:cs="Arial"/>
          <w:bCs/>
          <w:i/>
          <w:sz w:val="20"/>
          <w:szCs w:val="20"/>
        </w:rPr>
        <w:t>ducation Engineering Center (S-BRIT</w:t>
      </w:r>
      <w:r w:rsidRPr="00B548EB">
        <w:rPr>
          <w:rFonts w:cs="Arial"/>
          <w:bCs/>
          <w:i/>
          <w:sz w:val="20"/>
          <w:szCs w:val="20"/>
        </w:rPr>
        <w:t xml:space="preserve">E Engineering Center) </w:t>
      </w:r>
      <w:r w:rsidRPr="00B548EB">
        <w:rPr>
          <w:rFonts w:cs="Arial"/>
          <w:bCs/>
          <w:sz w:val="20"/>
          <w:szCs w:val="20"/>
        </w:rPr>
        <w:t>focused on existing steel highway bridges.</w:t>
      </w:r>
      <w:r w:rsidRPr="00B548EB">
        <w:rPr>
          <w:rFonts w:cs="Arial"/>
          <w:bCs/>
          <w:i/>
          <w:sz w:val="20"/>
          <w:szCs w:val="20"/>
        </w:rPr>
        <w:t xml:space="preserve">  </w:t>
      </w:r>
      <w:r w:rsidRPr="00B548EB">
        <w:rPr>
          <w:rFonts w:cs="Arial"/>
          <w:bCs/>
          <w:sz w:val="20"/>
          <w:szCs w:val="20"/>
        </w:rPr>
        <w:t xml:space="preserve">This National </w:t>
      </w:r>
      <w:r w:rsidRPr="00B548EB">
        <w:rPr>
          <w:rFonts w:cs="Arial"/>
          <w:bCs/>
          <w:i/>
          <w:sz w:val="20"/>
          <w:szCs w:val="20"/>
        </w:rPr>
        <w:t xml:space="preserve">Center </w:t>
      </w:r>
      <w:r w:rsidR="00B548EB" w:rsidRPr="00B548EB">
        <w:rPr>
          <w:rFonts w:cs="Arial"/>
          <w:bCs/>
          <w:i/>
          <w:sz w:val="20"/>
          <w:szCs w:val="20"/>
        </w:rPr>
        <w:t>when initially proposed in 2013</w:t>
      </w:r>
      <w:r w:rsidR="00B548EB">
        <w:rPr>
          <w:rFonts w:cs="Arial"/>
          <w:bCs/>
          <w:i/>
          <w:sz w:val="20"/>
          <w:szCs w:val="20"/>
        </w:rPr>
        <w:t>,</w:t>
      </w:r>
      <w:r w:rsidR="00B548EB" w:rsidRPr="00B548EB">
        <w:rPr>
          <w:rFonts w:cs="Arial"/>
          <w:bCs/>
          <w:i/>
          <w:sz w:val="20"/>
          <w:szCs w:val="20"/>
        </w:rPr>
        <w:t xml:space="preserve"> has become a national Center </w:t>
      </w:r>
      <w:r w:rsidRPr="00B548EB">
        <w:rPr>
          <w:rFonts w:cs="Arial"/>
          <w:i/>
          <w:sz w:val="20"/>
          <w:szCs w:val="20"/>
        </w:rPr>
        <w:t xml:space="preserve">leading education, training, research, and engineering </w:t>
      </w:r>
      <w:r w:rsidR="00B548EB" w:rsidRPr="00B548EB">
        <w:rPr>
          <w:rFonts w:cs="Arial"/>
          <w:i/>
          <w:sz w:val="20"/>
          <w:szCs w:val="20"/>
        </w:rPr>
        <w:t>benefitting</w:t>
      </w:r>
      <w:r w:rsidRPr="00B548EB">
        <w:rPr>
          <w:rFonts w:cs="Arial"/>
          <w:i/>
          <w:sz w:val="20"/>
          <w:szCs w:val="20"/>
        </w:rPr>
        <w:t xml:space="preserve"> the existing aging steel bridge and structure inventory</w:t>
      </w:r>
      <w:r w:rsidRPr="00B548EB">
        <w:rPr>
          <w:rFonts w:cs="Arial"/>
          <w:sz w:val="20"/>
          <w:szCs w:val="20"/>
        </w:rPr>
        <w:t xml:space="preserve">. </w:t>
      </w:r>
      <w:r w:rsidR="00B548EB" w:rsidRPr="00B548EB">
        <w:rPr>
          <w:rFonts w:cs="Arial"/>
          <w:sz w:val="20"/>
          <w:szCs w:val="20"/>
        </w:rPr>
        <w:t xml:space="preserve"> Over the life of the project, ten (10) state</w:t>
      </w:r>
      <w:r w:rsidR="00B548EB">
        <w:rPr>
          <w:rFonts w:cs="Arial"/>
          <w:sz w:val="20"/>
          <w:szCs w:val="20"/>
        </w:rPr>
        <w:t xml:space="preserve">s, the US Army Corps, and </w:t>
      </w:r>
      <w:r w:rsidR="00B548EB" w:rsidRPr="00B548EB">
        <w:rPr>
          <w:rFonts w:cs="Arial"/>
          <w:sz w:val="20"/>
          <w:szCs w:val="20"/>
        </w:rPr>
        <w:t>FHWA have provided support t</w:t>
      </w:r>
      <w:r w:rsidR="00B548EB">
        <w:rPr>
          <w:rFonts w:cs="Arial"/>
          <w:sz w:val="20"/>
          <w:szCs w:val="20"/>
        </w:rPr>
        <w:t xml:space="preserve">hrough </w:t>
      </w:r>
      <w:proofErr w:type="spellStart"/>
      <w:r w:rsidR="00B548EB">
        <w:rPr>
          <w:rFonts w:cs="Arial"/>
          <w:sz w:val="20"/>
          <w:szCs w:val="20"/>
        </w:rPr>
        <w:t>TPF</w:t>
      </w:r>
      <w:proofErr w:type="spellEnd"/>
      <w:r w:rsidR="00B548EB">
        <w:rPr>
          <w:rFonts w:cs="Arial"/>
          <w:sz w:val="20"/>
          <w:szCs w:val="20"/>
        </w:rPr>
        <w:t xml:space="preserve">-5(281) and continue to do so.  Current funding is very strong and partner states continue to be added.  </w:t>
      </w:r>
      <w:r w:rsidRPr="00B548EB">
        <w:rPr>
          <w:rFonts w:cs="Arial"/>
          <w:sz w:val="20"/>
          <w:szCs w:val="20"/>
        </w:rPr>
        <w:t>Althoug</w:t>
      </w:r>
      <w:r w:rsidRPr="00F55FFA">
        <w:rPr>
          <w:rFonts w:cs="Arial"/>
          <w:sz w:val="20"/>
          <w:szCs w:val="20"/>
        </w:rPr>
        <w:t xml:space="preserve">h the Center </w:t>
      </w:r>
      <w:r w:rsidR="00B548EB">
        <w:rPr>
          <w:rFonts w:cs="Arial"/>
          <w:sz w:val="20"/>
          <w:szCs w:val="20"/>
        </w:rPr>
        <w:t>has been</w:t>
      </w:r>
      <w:r w:rsidRPr="00F55FFA">
        <w:rPr>
          <w:rFonts w:cs="Arial"/>
          <w:sz w:val="20"/>
          <w:szCs w:val="20"/>
        </w:rPr>
        <w:t xml:space="preserve"> focused on highway bridges, it will also support stakeholders of</w:t>
      </w:r>
      <w:r w:rsidR="00A42CFA">
        <w:rPr>
          <w:rFonts w:cs="Arial"/>
          <w:sz w:val="20"/>
          <w:szCs w:val="20"/>
        </w:rPr>
        <w:t xml:space="preserve"> steel</w:t>
      </w:r>
      <w:r w:rsidRPr="00F55FFA">
        <w:rPr>
          <w:rFonts w:cs="Arial"/>
          <w:sz w:val="20"/>
          <w:szCs w:val="20"/>
        </w:rPr>
        <w:t xml:space="preserve"> railroad bridges as well as steel ancillary structures, such as lighting towers and sign supports.  </w:t>
      </w:r>
      <w:r w:rsidR="00B548EB">
        <w:rPr>
          <w:rFonts w:cs="Arial"/>
          <w:sz w:val="20"/>
          <w:szCs w:val="20"/>
        </w:rPr>
        <w:t xml:space="preserve">As a result, in-kind support from the railway industry has been strong as well.  </w:t>
      </w:r>
      <w:r w:rsidRPr="00F55FFA">
        <w:rPr>
          <w:rFonts w:cs="Arial"/>
          <w:sz w:val="20"/>
          <w:szCs w:val="20"/>
        </w:rPr>
        <w:t xml:space="preserve">The Center </w:t>
      </w:r>
      <w:r w:rsidR="00B548EB">
        <w:rPr>
          <w:rFonts w:cs="Arial"/>
          <w:sz w:val="20"/>
          <w:szCs w:val="20"/>
        </w:rPr>
        <w:t>has</w:t>
      </w:r>
      <w:r w:rsidRPr="00F55FFA">
        <w:rPr>
          <w:rFonts w:cs="Arial"/>
          <w:sz w:val="20"/>
          <w:szCs w:val="20"/>
        </w:rPr>
        <w:t xml:space="preserve"> contribute</w:t>
      </w:r>
      <w:r w:rsidR="00B548EB">
        <w:rPr>
          <w:rFonts w:cs="Arial"/>
          <w:sz w:val="20"/>
          <w:szCs w:val="20"/>
        </w:rPr>
        <w:t>d</w:t>
      </w:r>
      <w:r w:rsidRPr="00F55FFA">
        <w:rPr>
          <w:rFonts w:cs="Arial"/>
          <w:sz w:val="20"/>
          <w:szCs w:val="20"/>
        </w:rPr>
        <w:t xml:space="preserve"> to improved asset</w:t>
      </w:r>
      <w:bookmarkStart w:id="0" w:name="_GoBack"/>
      <w:bookmarkEnd w:id="0"/>
      <w:r w:rsidRPr="00F55FFA">
        <w:rPr>
          <w:rFonts w:cs="Arial"/>
          <w:sz w:val="20"/>
          <w:szCs w:val="20"/>
        </w:rPr>
        <w:t xml:space="preserve"> management decisions for DOTs, FHWA, and other partners relative to existing steel bridge inventory. </w:t>
      </w:r>
    </w:p>
    <w:p w:rsidR="00B548EB" w:rsidRDefault="00B548EB" w:rsidP="00B548EB">
      <w:pPr>
        <w:spacing w:after="0" w:line="240" w:lineRule="auto"/>
        <w:jc w:val="both"/>
        <w:rPr>
          <w:rFonts w:cs="Arial"/>
          <w:sz w:val="20"/>
          <w:szCs w:val="20"/>
        </w:rPr>
      </w:pPr>
    </w:p>
    <w:p w:rsidR="00B548EB" w:rsidRDefault="00B548EB" w:rsidP="00B548EB">
      <w:pPr>
        <w:spacing w:after="0" w:line="240" w:lineRule="auto"/>
        <w:jc w:val="both"/>
        <w:rPr>
          <w:rFonts w:cs="Arial"/>
          <w:sz w:val="20"/>
          <w:szCs w:val="20"/>
        </w:rPr>
      </w:pPr>
      <w:r>
        <w:rPr>
          <w:rFonts w:cs="Arial"/>
          <w:sz w:val="20"/>
          <w:szCs w:val="20"/>
        </w:rPr>
        <w:t xml:space="preserve">However, since the existing </w:t>
      </w:r>
      <w:proofErr w:type="spellStart"/>
      <w:r>
        <w:rPr>
          <w:rFonts w:cs="Arial"/>
          <w:sz w:val="20"/>
          <w:szCs w:val="20"/>
        </w:rPr>
        <w:t>TPF</w:t>
      </w:r>
      <w:proofErr w:type="spellEnd"/>
      <w:r>
        <w:rPr>
          <w:rFonts w:cs="Arial"/>
          <w:sz w:val="20"/>
          <w:szCs w:val="20"/>
        </w:rPr>
        <w:t xml:space="preserve">-5(281) needs to sunset per FHWA guidelines, the Research Team, and the current active partners are requesting a continuation of this pooled fund study, albeit under a different </w:t>
      </w:r>
      <w:proofErr w:type="spellStart"/>
      <w:r>
        <w:rPr>
          <w:rFonts w:cs="Arial"/>
          <w:sz w:val="20"/>
          <w:szCs w:val="20"/>
        </w:rPr>
        <w:t>TPF</w:t>
      </w:r>
      <w:proofErr w:type="spellEnd"/>
      <w:r>
        <w:rPr>
          <w:rFonts w:cs="Arial"/>
          <w:sz w:val="20"/>
          <w:szCs w:val="20"/>
        </w:rPr>
        <w:t xml:space="preserve"> number.  The original project objectives and deliverables remain unchanged.  Nevertheless, a summary of the Center is presented below.</w:t>
      </w:r>
    </w:p>
    <w:p w:rsidR="00A42CFA" w:rsidRPr="00F55FFA" w:rsidRDefault="00A42CFA" w:rsidP="00F55FFA">
      <w:pPr>
        <w:spacing w:after="0" w:line="240" w:lineRule="auto"/>
        <w:jc w:val="both"/>
        <w:rPr>
          <w:rFonts w:cs="Arial"/>
          <w:sz w:val="20"/>
          <w:szCs w:val="20"/>
        </w:rPr>
      </w:pPr>
    </w:p>
    <w:p w:rsidR="00844A5B" w:rsidRPr="00F55FFA" w:rsidRDefault="00844A5B" w:rsidP="00F55FFA">
      <w:pPr>
        <w:spacing w:after="0" w:line="240" w:lineRule="auto"/>
        <w:jc w:val="both"/>
        <w:rPr>
          <w:rFonts w:cs="Arial"/>
          <w:b/>
          <w:sz w:val="20"/>
          <w:szCs w:val="20"/>
          <w:u w:val="single"/>
        </w:rPr>
      </w:pPr>
      <w:r w:rsidRPr="00F55FFA">
        <w:rPr>
          <w:rFonts w:cs="Arial"/>
          <w:b/>
          <w:sz w:val="20"/>
          <w:szCs w:val="20"/>
          <w:u w:val="single"/>
        </w:rPr>
        <w:t>Detailed Discussion</w:t>
      </w:r>
    </w:p>
    <w:p w:rsidR="00844A5B" w:rsidRPr="00F55FFA" w:rsidRDefault="00844A5B" w:rsidP="00F55FFA">
      <w:pPr>
        <w:spacing w:after="0" w:line="240" w:lineRule="auto"/>
        <w:jc w:val="both"/>
        <w:rPr>
          <w:rFonts w:cs="Arial"/>
          <w:b/>
          <w:sz w:val="20"/>
          <w:szCs w:val="20"/>
          <w:u w:val="single"/>
        </w:rPr>
      </w:pPr>
      <w:r w:rsidRPr="00F55FFA">
        <w:rPr>
          <w:rFonts w:cs="Arial"/>
          <w:b/>
          <w:sz w:val="20"/>
          <w:szCs w:val="20"/>
          <w:u w:val="single"/>
        </w:rPr>
        <w:t>General</w:t>
      </w:r>
    </w:p>
    <w:p w:rsidR="00844A5B" w:rsidRPr="00F55FFA" w:rsidRDefault="00844A5B" w:rsidP="00F55FFA">
      <w:pPr>
        <w:spacing w:after="0" w:line="240" w:lineRule="auto"/>
        <w:jc w:val="both"/>
        <w:rPr>
          <w:rFonts w:cs="Arial"/>
          <w:sz w:val="20"/>
          <w:szCs w:val="20"/>
        </w:rPr>
      </w:pPr>
      <w:r w:rsidRPr="00F55FFA">
        <w:rPr>
          <w:rFonts w:cs="Arial"/>
          <w:sz w:val="20"/>
          <w:szCs w:val="20"/>
        </w:rPr>
        <w:t>As infrastructure continues to age, the engineers who designed and had first-hand knowledge of the then new structures (</w:t>
      </w:r>
      <w:r w:rsidRPr="00F55FFA">
        <w:rPr>
          <w:rFonts w:cs="Arial"/>
          <w:i/>
          <w:sz w:val="20"/>
          <w:szCs w:val="20"/>
        </w:rPr>
        <w:t>e.g., the Interstate era</w:t>
      </w:r>
      <w:r w:rsidRPr="00F55FFA">
        <w:rPr>
          <w:rFonts w:cs="Arial"/>
          <w:sz w:val="20"/>
          <w:szCs w:val="20"/>
        </w:rPr>
        <w:t xml:space="preserve">), eventually exit the workforce.  Further, engineering programs, research, and associated coursework move forward and evolve over time.  Obviously, these advances in education are essential to progress with </w:t>
      </w:r>
      <w:r w:rsidRPr="00F55FFA">
        <w:rPr>
          <w:rFonts w:cs="Arial"/>
          <w:i/>
          <w:sz w:val="20"/>
          <w:szCs w:val="20"/>
        </w:rPr>
        <w:t>new</w:t>
      </w:r>
      <w:r w:rsidRPr="00F55FFA">
        <w:rPr>
          <w:rFonts w:cs="Arial"/>
          <w:sz w:val="20"/>
          <w:szCs w:val="20"/>
        </w:rPr>
        <w:t xml:space="preserve"> designs and </w:t>
      </w:r>
      <w:r w:rsidRPr="00F55FFA">
        <w:rPr>
          <w:rFonts w:cs="Arial"/>
          <w:i/>
          <w:sz w:val="20"/>
          <w:szCs w:val="20"/>
        </w:rPr>
        <w:t>new</w:t>
      </w:r>
      <w:r w:rsidRPr="00F55FFA">
        <w:rPr>
          <w:rFonts w:cs="Arial"/>
          <w:sz w:val="20"/>
          <w:szCs w:val="20"/>
        </w:rPr>
        <w:t xml:space="preserve"> materials.  However, the vast majority of the infrastructure is comprised of structures built with older materials, design philosophies, and construction practices that are no longer discussed in the classroom.  The average age of a steel bridge in Indiana is about 50 years, and similar statistics are found throughout the US.  Further, most of the major “landmark” river crossings are steel structures that are approaching or exceeded their design lives.  A quick review of the brides crossing the Ohio, Hudson, or Mississippi Rivers provides stark reminders of the age of our infrastructure.  Unfortunately, in many cases, this has left these critical structures effectively abandoned when it comes to ensuring their “healthcare” professionals are adequately trained.  Clearly, a well rounded workforce must include engineers prepared to design the structures of the future working hand-in-hand with engineers prepared to maintain the structures of the past.</w:t>
      </w:r>
    </w:p>
    <w:p w:rsidR="00844A5B" w:rsidRPr="00F55FFA" w:rsidRDefault="00844A5B" w:rsidP="00F55FFA">
      <w:pPr>
        <w:spacing w:after="0" w:line="240" w:lineRule="auto"/>
        <w:jc w:val="both"/>
        <w:rPr>
          <w:rFonts w:cs="Arial"/>
          <w:sz w:val="20"/>
          <w:szCs w:val="20"/>
        </w:rPr>
      </w:pPr>
    </w:p>
    <w:p w:rsidR="00844A5B" w:rsidRPr="00F55FFA" w:rsidRDefault="00844A5B" w:rsidP="00F55FFA">
      <w:pPr>
        <w:spacing w:after="0" w:line="240" w:lineRule="auto"/>
        <w:jc w:val="both"/>
        <w:rPr>
          <w:rFonts w:cs="Arial"/>
          <w:sz w:val="20"/>
          <w:szCs w:val="20"/>
        </w:rPr>
      </w:pPr>
      <w:r w:rsidRPr="00F55FFA">
        <w:rPr>
          <w:rFonts w:cs="Arial"/>
          <w:sz w:val="20"/>
          <w:szCs w:val="20"/>
        </w:rPr>
        <w:t xml:space="preserve">To successfully maintain the existing steel bridge inventory, expertise is needed in the areas of deterioration, fatigue, fracture, corrosion, repair/retrofit, coatings, materials, NDE, riveting, welding, fabrication, etc.  There are multiple reasons for this loss of expertise, including budget cuts, natural attrition, and a diminishing pool of technical expertise related to aging infrastructure.  Regardless of the cause, the effects are clearly seen in DOTs across the United States.  Some of these needs must be addressed through new research, while others can be addressed through improved training.  In some select cases, individual experts are needed for specific consultation in order to solve unique complex problems.  </w:t>
      </w:r>
    </w:p>
    <w:p w:rsidR="00844A5B" w:rsidRPr="00F55FFA" w:rsidRDefault="00844A5B" w:rsidP="00F55FFA">
      <w:pPr>
        <w:spacing w:after="0" w:line="240" w:lineRule="auto"/>
        <w:jc w:val="both"/>
        <w:rPr>
          <w:rFonts w:cs="Arial"/>
          <w:sz w:val="20"/>
          <w:szCs w:val="20"/>
        </w:rPr>
      </w:pPr>
    </w:p>
    <w:p w:rsidR="00844A5B" w:rsidRPr="00F55FFA" w:rsidRDefault="00844A5B" w:rsidP="00F55FFA">
      <w:pPr>
        <w:spacing w:after="0" w:line="240" w:lineRule="auto"/>
        <w:jc w:val="both"/>
        <w:rPr>
          <w:rFonts w:cs="Arial"/>
          <w:sz w:val="20"/>
          <w:szCs w:val="20"/>
        </w:rPr>
      </w:pPr>
      <w:r w:rsidRPr="00F55FFA">
        <w:rPr>
          <w:rFonts w:cs="Arial"/>
          <w:sz w:val="20"/>
          <w:szCs w:val="20"/>
        </w:rPr>
        <w:t xml:space="preserve">Utilizing some of Purdue’s existing strengths in education and research, the S-BRITE Center will </w:t>
      </w:r>
      <w:r w:rsidR="00B548EB">
        <w:rPr>
          <w:rFonts w:cs="Arial"/>
          <w:sz w:val="20"/>
          <w:szCs w:val="20"/>
        </w:rPr>
        <w:t xml:space="preserve">continue to </w:t>
      </w:r>
      <w:r w:rsidRPr="00F55FFA">
        <w:rPr>
          <w:rFonts w:cs="Arial"/>
          <w:sz w:val="20"/>
          <w:szCs w:val="20"/>
        </w:rPr>
        <w:t>engage facu</w:t>
      </w:r>
      <w:r w:rsidR="00D96B86" w:rsidRPr="00F55FFA">
        <w:rPr>
          <w:rFonts w:cs="Arial"/>
          <w:sz w:val="20"/>
          <w:szCs w:val="20"/>
        </w:rPr>
        <w:t>lty and engineers from around the country</w:t>
      </w:r>
      <w:r w:rsidRPr="00F55FFA">
        <w:rPr>
          <w:rFonts w:cs="Arial"/>
          <w:sz w:val="20"/>
          <w:szCs w:val="20"/>
        </w:rPr>
        <w:t xml:space="preserve"> in order to explore partnership opportunities in training and research.  Finally, a “Distributed Expertise Network” (DEN), which includes specific experts from inside and outside of Purdue will be created to assist partners with specific complex problems.</w:t>
      </w:r>
    </w:p>
    <w:p w:rsidR="00844A5B" w:rsidRPr="00F55FFA" w:rsidRDefault="00844A5B" w:rsidP="00F55FFA">
      <w:pPr>
        <w:spacing w:after="0" w:line="240" w:lineRule="auto"/>
        <w:jc w:val="both"/>
        <w:rPr>
          <w:rFonts w:cs="Arial"/>
          <w:sz w:val="20"/>
          <w:szCs w:val="20"/>
        </w:rPr>
      </w:pPr>
    </w:p>
    <w:p w:rsidR="00844A5B" w:rsidRPr="00F55FFA" w:rsidRDefault="00844A5B" w:rsidP="00F55FFA">
      <w:pPr>
        <w:spacing w:after="0" w:line="240" w:lineRule="auto"/>
        <w:jc w:val="both"/>
        <w:rPr>
          <w:rFonts w:cs="Arial"/>
          <w:sz w:val="20"/>
          <w:szCs w:val="20"/>
        </w:rPr>
      </w:pPr>
      <w:r w:rsidRPr="00F55FFA">
        <w:rPr>
          <w:rFonts w:cs="Arial"/>
          <w:sz w:val="20"/>
          <w:szCs w:val="20"/>
        </w:rPr>
        <w:t xml:space="preserve">The S-BRITE Center will fill a growing need in the transportation industry as </w:t>
      </w:r>
      <w:r w:rsidR="003E2508">
        <w:rPr>
          <w:rFonts w:cs="Arial"/>
          <w:sz w:val="20"/>
          <w:szCs w:val="20"/>
        </w:rPr>
        <w:t xml:space="preserve">relates to </w:t>
      </w:r>
      <w:r w:rsidRPr="00F55FFA">
        <w:rPr>
          <w:rFonts w:cs="Arial"/>
          <w:sz w:val="20"/>
          <w:szCs w:val="20"/>
        </w:rPr>
        <w:t xml:space="preserve">existing and aging steel bridges.  </w:t>
      </w:r>
    </w:p>
    <w:p w:rsidR="003E2508" w:rsidRPr="00F55FFA" w:rsidRDefault="003E2508" w:rsidP="00F55FFA">
      <w:pPr>
        <w:spacing w:after="0" w:line="240" w:lineRule="auto"/>
        <w:jc w:val="both"/>
        <w:rPr>
          <w:rFonts w:cs="Arial"/>
          <w:sz w:val="20"/>
          <w:szCs w:val="20"/>
        </w:rPr>
      </w:pPr>
    </w:p>
    <w:p w:rsidR="00844A5B" w:rsidRPr="00F55FFA" w:rsidRDefault="00844A5B" w:rsidP="00F55FFA">
      <w:pPr>
        <w:spacing w:after="0" w:line="240" w:lineRule="auto"/>
        <w:jc w:val="both"/>
        <w:rPr>
          <w:rFonts w:cs="Arial"/>
          <w:b/>
          <w:sz w:val="20"/>
          <w:szCs w:val="20"/>
          <w:u w:val="single"/>
        </w:rPr>
      </w:pPr>
      <w:r w:rsidRPr="00F55FFA">
        <w:rPr>
          <w:rFonts w:cs="Arial"/>
          <w:b/>
          <w:sz w:val="20"/>
          <w:szCs w:val="20"/>
          <w:u w:val="single"/>
        </w:rPr>
        <w:t>Educational Aspects</w:t>
      </w:r>
    </w:p>
    <w:p w:rsidR="003B3123" w:rsidRPr="00F55FFA" w:rsidRDefault="00844A5B" w:rsidP="00F55FFA">
      <w:pPr>
        <w:spacing w:after="0" w:line="240" w:lineRule="auto"/>
        <w:jc w:val="both"/>
        <w:rPr>
          <w:rFonts w:cs="Arial"/>
          <w:sz w:val="20"/>
          <w:szCs w:val="20"/>
        </w:rPr>
      </w:pPr>
      <w:r w:rsidRPr="00F55FFA">
        <w:rPr>
          <w:rFonts w:cs="Arial"/>
          <w:sz w:val="20"/>
          <w:szCs w:val="20"/>
        </w:rPr>
        <w:t xml:space="preserve">A long-term goal of the S-BRITE Center </w:t>
      </w:r>
      <w:r w:rsidR="00B548EB">
        <w:rPr>
          <w:rFonts w:cs="Arial"/>
          <w:sz w:val="20"/>
          <w:szCs w:val="20"/>
        </w:rPr>
        <w:t>has been</w:t>
      </w:r>
      <w:r w:rsidRPr="00F55FFA">
        <w:rPr>
          <w:rFonts w:cs="Arial"/>
          <w:sz w:val="20"/>
          <w:szCs w:val="20"/>
        </w:rPr>
        <w:t xml:space="preserve"> to create the next generation of bridge engineers and inspectors who are properly educated to be effective stewards of the existing aging steel bridge inventory.  At the university level, the development of a new “minor” or certificate within Civil Engineering is proposed that will prepare engineering students for a career in the area of transportation structures.  </w:t>
      </w:r>
      <w:r w:rsidR="003B3123" w:rsidRPr="00F55FFA">
        <w:rPr>
          <w:rFonts w:cs="Arial"/>
          <w:sz w:val="20"/>
          <w:szCs w:val="20"/>
        </w:rPr>
        <w:t xml:space="preserve">At the professional level, high-quality, specialized short courses for professionals will be developed and targeted at those individuals currently responsible for the existing infrastructure.  The courses would go beyond the current NHI course level. </w:t>
      </w:r>
    </w:p>
    <w:p w:rsidR="003B3123" w:rsidRPr="00F55FFA" w:rsidRDefault="003B3123" w:rsidP="00F55FFA">
      <w:pPr>
        <w:spacing w:after="0" w:line="240" w:lineRule="auto"/>
        <w:jc w:val="both"/>
        <w:rPr>
          <w:rFonts w:cs="Arial"/>
          <w:i/>
          <w:sz w:val="20"/>
          <w:szCs w:val="20"/>
        </w:rPr>
      </w:pPr>
    </w:p>
    <w:p w:rsidR="003B3123" w:rsidRDefault="003B3123" w:rsidP="00F55FFA">
      <w:pPr>
        <w:spacing w:after="0" w:line="240" w:lineRule="auto"/>
        <w:jc w:val="both"/>
        <w:rPr>
          <w:rFonts w:cs="Arial"/>
          <w:sz w:val="20"/>
          <w:szCs w:val="20"/>
        </w:rPr>
      </w:pPr>
    </w:p>
    <w:p w:rsidR="00F55FFA" w:rsidRPr="00F55FFA" w:rsidRDefault="00F55FFA" w:rsidP="00F55FFA">
      <w:pPr>
        <w:spacing w:after="0" w:line="240" w:lineRule="auto"/>
        <w:jc w:val="both"/>
        <w:rPr>
          <w:rFonts w:cs="Arial"/>
          <w:sz w:val="20"/>
          <w:szCs w:val="20"/>
        </w:rPr>
      </w:pPr>
    </w:p>
    <w:p w:rsidR="00844A5B" w:rsidRPr="00F55FFA" w:rsidRDefault="00844A5B" w:rsidP="00F55FFA">
      <w:pPr>
        <w:spacing w:after="0" w:line="240" w:lineRule="auto"/>
        <w:jc w:val="both"/>
        <w:rPr>
          <w:rFonts w:cs="Arial"/>
          <w:b/>
          <w:sz w:val="20"/>
          <w:szCs w:val="20"/>
          <w:u w:val="single"/>
        </w:rPr>
      </w:pPr>
      <w:r w:rsidRPr="00F55FFA">
        <w:rPr>
          <w:rFonts w:cs="Arial"/>
          <w:b/>
          <w:sz w:val="20"/>
          <w:szCs w:val="20"/>
          <w:u w:val="single"/>
        </w:rPr>
        <w:t>Bridge Component Gallery</w:t>
      </w:r>
    </w:p>
    <w:p w:rsidR="00844A5B" w:rsidRPr="00F55FFA" w:rsidRDefault="00844A5B" w:rsidP="00F55FFA">
      <w:pPr>
        <w:spacing w:after="0" w:line="240" w:lineRule="auto"/>
        <w:jc w:val="both"/>
        <w:rPr>
          <w:rFonts w:cs="Arial"/>
          <w:sz w:val="20"/>
          <w:szCs w:val="20"/>
        </w:rPr>
      </w:pPr>
      <w:r w:rsidRPr="00F55FFA">
        <w:rPr>
          <w:rFonts w:cs="Arial"/>
          <w:sz w:val="20"/>
          <w:szCs w:val="20"/>
        </w:rPr>
        <w:t>Although training, education, and research are the overall focus of the Center, the cornerstone of the S-BRITE Engineering Center will be a multi-acre gallery which will include full-scale bridge structures, portions of complete structures, and individual components that will include a host of common and uncommon details used in steel bridges.  Similar centers exist for the aircraft, ship, and offshore industries, though nothing has been developed for the steel bridge industry.</w:t>
      </w:r>
    </w:p>
    <w:p w:rsidR="00844A5B" w:rsidRPr="00F55FFA" w:rsidRDefault="00844A5B" w:rsidP="00F55FFA">
      <w:pPr>
        <w:spacing w:after="0" w:line="240" w:lineRule="auto"/>
        <w:jc w:val="both"/>
        <w:rPr>
          <w:rFonts w:cs="Arial"/>
          <w:sz w:val="20"/>
          <w:szCs w:val="20"/>
        </w:rPr>
      </w:pPr>
    </w:p>
    <w:p w:rsidR="00B548EB" w:rsidRDefault="00844A5B" w:rsidP="00F55FFA">
      <w:pPr>
        <w:spacing w:after="0" w:line="240" w:lineRule="auto"/>
        <w:jc w:val="both"/>
        <w:rPr>
          <w:rFonts w:cs="Arial"/>
          <w:sz w:val="20"/>
          <w:szCs w:val="20"/>
        </w:rPr>
      </w:pPr>
      <w:r w:rsidRPr="00F55FFA">
        <w:rPr>
          <w:rFonts w:cs="Arial"/>
          <w:sz w:val="20"/>
          <w:szCs w:val="20"/>
        </w:rPr>
        <w:t xml:space="preserve">The gallery </w:t>
      </w:r>
      <w:r w:rsidR="00B548EB">
        <w:rPr>
          <w:rFonts w:cs="Arial"/>
          <w:sz w:val="20"/>
          <w:szCs w:val="20"/>
        </w:rPr>
        <w:t>has</w:t>
      </w:r>
      <w:r w:rsidRPr="00F55FFA">
        <w:rPr>
          <w:rFonts w:cs="Arial"/>
          <w:sz w:val="20"/>
          <w:szCs w:val="20"/>
        </w:rPr>
        <w:t xml:space="preserve"> </w:t>
      </w:r>
      <w:r w:rsidR="00B548EB">
        <w:rPr>
          <w:rFonts w:cs="Arial"/>
          <w:sz w:val="20"/>
          <w:szCs w:val="20"/>
        </w:rPr>
        <w:t>provided</w:t>
      </w:r>
      <w:r w:rsidRPr="00F55FFA">
        <w:rPr>
          <w:rFonts w:cs="Arial"/>
          <w:sz w:val="20"/>
          <w:szCs w:val="20"/>
        </w:rPr>
        <w:t xml:space="preserve"> a unique hands-on experience for education of individuals of all levels regarding steel fabrication, deterioration, inspection techniques, etc.  </w:t>
      </w:r>
      <w:r w:rsidR="00B548EB">
        <w:rPr>
          <w:rFonts w:cs="Arial"/>
          <w:sz w:val="20"/>
          <w:szCs w:val="20"/>
        </w:rPr>
        <w:t xml:space="preserve">The reader is encouraged to view the S-BRITE flyover video highlighting the scale of the bridge component gallery.  </w:t>
      </w:r>
    </w:p>
    <w:p w:rsidR="00844A5B" w:rsidRDefault="00B548EB" w:rsidP="00F55FFA">
      <w:pPr>
        <w:spacing w:after="0" w:line="240" w:lineRule="auto"/>
        <w:jc w:val="both"/>
        <w:rPr>
          <w:rFonts w:cs="Arial"/>
          <w:sz w:val="20"/>
          <w:szCs w:val="20"/>
        </w:rPr>
      </w:pPr>
      <w:r>
        <w:rPr>
          <w:rFonts w:cs="Arial"/>
          <w:sz w:val="20"/>
          <w:szCs w:val="20"/>
        </w:rPr>
        <w:t xml:space="preserve">The video can be found at: </w:t>
      </w:r>
      <w:hyperlink r:id="rId7" w:history="1">
        <w:r w:rsidRPr="00B04CF8">
          <w:rPr>
            <w:rStyle w:val="Hyperlink"/>
            <w:rFonts w:cs="Arial"/>
            <w:sz w:val="20"/>
            <w:szCs w:val="20"/>
          </w:rPr>
          <w:t>https://engineering.purdue.edu/CAI/SBRITE/Facilities</w:t>
        </w:r>
      </w:hyperlink>
    </w:p>
    <w:p w:rsidR="00B548EB" w:rsidRPr="00F55FFA" w:rsidRDefault="00B548EB" w:rsidP="00F55FFA">
      <w:pPr>
        <w:spacing w:after="0" w:line="240" w:lineRule="auto"/>
        <w:jc w:val="both"/>
        <w:rPr>
          <w:rFonts w:cs="Arial"/>
          <w:sz w:val="20"/>
          <w:szCs w:val="20"/>
        </w:rPr>
      </w:pPr>
    </w:p>
    <w:p w:rsidR="00844A5B" w:rsidRPr="00F55FFA" w:rsidRDefault="00844A5B" w:rsidP="00F55FFA">
      <w:pPr>
        <w:spacing w:after="0" w:line="240" w:lineRule="auto"/>
        <w:jc w:val="both"/>
        <w:rPr>
          <w:rFonts w:cs="Arial"/>
          <w:sz w:val="20"/>
          <w:szCs w:val="20"/>
        </w:rPr>
      </w:pPr>
      <w:r w:rsidRPr="00F55FFA">
        <w:rPr>
          <w:rFonts w:cs="Arial"/>
          <w:sz w:val="20"/>
          <w:szCs w:val="20"/>
        </w:rPr>
        <w:t xml:space="preserve">Since the bridge components </w:t>
      </w:r>
      <w:r w:rsidR="00B548EB">
        <w:rPr>
          <w:rFonts w:cs="Arial"/>
          <w:sz w:val="20"/>
          <w:szCs w:val="20"/>
        </w:rPr>
        <w:t xml:space="preserve">are </w:t>
      </w:r>
      <w:r w:rsidRPr="00F55FFA">
        <w:rPr>
          <w:rFonts w:cs="Arial"/>
          <w:sz w:val="20"/>
          <w:szCs w:val="20"/>
        </w:rPr>
        <w:t xml:space="preserve">not actually in service and </w:t>
      </w:r>
      <w:r w:rsidR="00B548EB">
        <w:rPr>
          <w:rFonts w:cs="Arial"/>
          <w:sz w:val="20"/>
          <w:szCs w:val="20"/>
        </w:rPr>
        <w:t>are</w:t>
      </w:r>
      <w:r w:rsidRPr="00F55FFA">
        <w:rPr>
          <w:rFonts w:cs="Arial"/>
          <w:sz w:val="20"/>
          <w:szCs w:val="20"/>
        </w:rPr>
        <w:t xml:space="preserve"> in more accessible conditions, costly traffic control and extensive fall-protection will not be required </w:t>
      </w:r>
      <w:r w:rsidR="00B548EB">
        <w:rPr>
          <w:rFonts w:cs="Arial"/>
          <w:sz w:val="20"/>
          <w:szCs w:val="20"/>
        </w:rPr>
        <w:t xml:space="preserve">during training.  Conveniently, they have </w:t>
      </w:r>
      <w:r w:rsidRPr="00F55FFA">
        <w:rPr>
          <w:rFonts w:cs="Arial"/>
          <w:sz w:val="20"/>
          <w:szCs w:val="20"/>
        </w:rPr>
        <w:t>be</w:t>
      </w:r>
      <w:r w:rsidR="00B548EB">
        <w:rPr>
          <w:rFonts w:cs="Arial"/>
          <w:sz w:val="20"/>
          <w:szCs w:val="20"/>
        </w:rPr>
        <w:t>en</w:t>
      </w:r>
      <w:r w:rsidRPr="00F55FFA">
        <w:rPr>
          <w:rFonts w:cs="Arial"/>
          <w:sz w:val="20"/>
          <w:szCs w:val="20"/>
        </w:rPr>
        <w:t xml:space="preserve"> situated so that real-world conditions exist to truly simulate in-s</w:t>
      </w:r>
      <w:r w:rsidR="005D46ED">
        <w:rPr>
          <w:rFonts w:cs="Arial"/>
          <w:sz w:val="20"/>
          <w:szCs w:val="20"/>
        </w:rPr>
        <w:t xml:space="preserve">itu inspection conditions.  </w:t>
      </w:r>
      <w:r w:rsidR="00B548EB">
        <w:rPr>
          <w:rFonts w:cs="Arial"/>
          <w:sz w:val="20"/>
          <w:szCs w:val="20"/>
        </w:rPr>
        <w:t>The S-BRITE</w:t>
      </w:r>
      <w:r w:rsidRPr="00F55FFA">
        <w:rPr>
          <w:rFonts w:cs="Arial"/>
          <w:sz w:val="20"/>
          <w:szCs w:val="20"/>
        </w:rPr>
        <w:t xml:space="preserve"> “living laboratory” </w:t>
      </w:r>
      <w:r w:rsidR="00B548EB">
        <w:rPr>
          <w:rFonts w:cs="Arial"/>
          <w:sz w:val="20"/>
          <w:szCs w:val="20"/>
        </w:rPr>
        <w:t>has become i</w:t>
      </w:r>
      <w:r w:rsidRPr="00F55FFA">
        <w:rPr>
          <w:rFonts w:cs="Arial"/>
          <w:sz w:val="20"/>
          <w:szCs w:val="20"/>
        </w:rPr>
        <w:t xml:space="preserve">ncredibly useful for research tools being developed for inspection, durability modeling, and performance testing of inspectors.  </w:t>
      </w:r>
    </w:p>
    <w:p w:rsidR="00844A5B" w:rsidRDefault="00844A5B" w:rsidP="00F55FFA">
      <w:pPr>
        <w:spacing w:after="0" w:line="240" w:lineRule="auto"/>
        <w:jc w:val="both"/>
        <w:rPr>
          <w:rFonts w:cs="Arial"/>
          <w:sz w:val="20"/>
          <w:szCs w:val="20"/>
        </w:rPr>
      </w:pPr>
    </w:p>
    <w:p w:rsidR="00F55FFA" w:rsidRPr="00F55FFA" w:rsidRDefault="00F55FFA" w:rsidP="00F55FFA">
      <w:pPr>
        <w:spacing w:after="0" w:line="240" w:lineRule="auto"/>
        <w:jc w:val="both"/>
        <w:rPr>
          <w:rFonts w:cs="Arial"/>
          <w:sz w:val="20"/>
          <w:szCs w:val="20"/>
        </w:rPr>
      </w:pPr>
    </w:p>
    <w:p w:rsidR="00844A5B" w:rsidRPr="00F55FFA" w:rsidRDefault="003B3123" w:rsidP="00F55FFA">
      <w:pPr>
        <w:spacing w:after="0" w:line="240" w:lineRule="auto"/>
        <w:jc w:val="both"/>
        <w:rPr>
          <w:rFonts w:cs="Arial"/>
          <w:b/>
          <w:sz w:val="20"/>
          <w:szCs w:val="20"/>
          <w:u w:val="single"/>
        </w:rPr>
      </w:pPr>
      <w:r w:rsidRPr="00F55FFA">
        <w:rPr>
          <w:rFonts w:cs="Arial"/>
          <w:b/>
          <w:sz w:val="20"/>
          <w:szCs w:val="20"/>
          <w:u w:val="single"/>
        </w:rPr>
        <w:t>Distributed Expertise Network (DEN)</w:t>
      </w:r>
    </w:p>
    <w:p w:rsidR="00BD4B57" w:rsidRPr="00F55FFA" w:rsidRDefault="00844A5B" w:rsidP="00F55FFA">
      <w:pPr>
        <w:spacing w:after="0" w:line="240" w:lineRule="auto"/>
        <w:jc w:val="both"/>
        <w:rPr>
          <w:rFonts w:cstheme="minorHAnsi"/>
          <w:sz w:val="20"/>
          <w:szCs w:val="20"/>
        </w:rPr>
      </w:pPr>
      <w:r w:rsidRPr="00F55FFA">
        <w:rPr>
          <w:rFonts w:cs="Arial"/>
          <w:sz w:val="20"/>
          <w:szCs w:val="20"/>
        </w:rPr>
        <w:t xml:space="preserve">To help fill the technical voids found at most DOTs, a unique team of experts </w:t>
      </w:r>
      <w:r w:rsidR="00B548EB">
        <w:rPr>
          <w:rFonts w:cs="Arial"/>
          <w:sz w:val="20"/>
          <w:szCs w:val="20"/>
        </w:rPr>
        <w:t>have been</w:t>
      </w:r>
      <w:r w:rsidRPr="00F55FFA">
        <w:rPr>
          <w:rFonts w:cs="Arial"/>
          <w:sz w:val="20"/>
          <w:szCs w:val="20"/>
        </w:rPr>
        <w:t xml:space="preserve"> assembled through the S-BRITE Center to create a </w:t>
      </w:r>
      <w:r w:rsidR="003B3123" w:rsidRPr="00F55FFA">
        <w:rPr>
          <w:rFonts w:cs="Arial"/>
          <w:sz w:val="20"/>
          <w:szCs w:val="20"/>
        </w:rPr>
        <w:t>Distributed Expertise Network (the DEN).</w:t>
      </w:r>
      <w:r w:rsidRPr="00F55FFA">
        <w:rPr>
          <w:rFonts w:cs="Arial"/>
          <w:sz w:val="20"/>
          <w:szCs w:val="20"/>
        </w:rPr>
        <w:t xml:space="preserve">  Some of these individuals </w:t>
      </w:r>
      <w:r w:rsidR="00B548EB">
        <w:rPr>
          <w:rFonts w:cs="Arial"/>
          <w:sz w:val="20"/>
          <w:szCs w:val="20"/>
        </w:rPr>
        <w:t>are</w:t>
      </w:r>
      <w:r w:rsidRPr="00F55FFA">
        <w:rPr>
          <w:rFonts w:cs="Arial"/>
          <w:sz w:val="20"/>
          <w:szCs w:val="20"/>
        </w:rPr>
        <w:t xml:space="preserve"> </w:t>
      </w:r>
      <w:r w:rsidR="00B548EB">
        <w:rPr>
          <w:rFonts w:cs="Arial"/>
          <w:sz w:val="20"/>
          <w:szCs w:val="20"/>
        </w:rPr>
        <w:t>local to Purdue</w:t>
      </w:r>
      <w:r w:rsidRPr="00F55FFA">
        <w:rPr>
          <w:rFonts w:cs="Arial"/>
          <w:sz w:val="20"/>
          <w:szCs w:val="20"/>
        </w:rPr>
        <w:t xml:space="preserve"> at the Center while others </w:t>
      </w:r>
      <w:r w:rsidR="00B548EB">
        <w:rPr>
          <w:rFonts w:cs="Arial"/>
          <w:sz w:val="20"/>
          <w:szCs w:val="20"/>
        </w:rPr>
        <w:t>are</w:t>
      </w:r>
      <w:r w:rsidRPr="00F55FFA">
        <w:rPr>
          <w:rFonts w:cs="Arial"/>
          <w:sz w:val="20"/>
          <w:szCs w:val="20"/>
        </w:rPr>
        <w:t xml:space="preserve"> located at their respective institution.  The DEN </w:t>
      </w:r>
      <w:r w:rsidR="00B548EB">
        <w:rPr>
          <w:rFonts w:cs="Arial"/>
          <w:sz w:val="20"/>
          <w:szCs w:val="20"/>
        </w:rPr>
        <w:t>serves</w:t>
      </w:r>
      <w:r w:rsidRPr="00F55FFA">
        <w:rPr>
          <w:rFonts w:cs="Arial"/>
          <w:sz w:val="20"/>
          <w:szCs w:val="20"/>
        </w:rPr>
        <w:t xml:space="preserve"> the </w:t>
      </w:r>
      <w:r w:rsidR="003B3123" w:rsidRPr="00F55FFA">
        <w:rPr>
          <w:rFonts w:cs="Arial"/>
          <w:sz w:val="20"/>
          <w:szCs w:val="20"/>
        </w:rPr>
        <w:t>role that no longer exists in many</w:t>
      </w:r>
      <w:r w:rsidRPr="00F55FFA">
        <w:rPr>
          <w:rFonts w:cs="Arial"/>
          <w:sz w:val="20"/>
          <w:szCs w:val="20"/>
        </w:rPr>
        <w:t xml:space="preserve"> individual state DOTs today, specifically the existence of a group of highly specialized technical experts that are “on-call” to assist as issues arise.  </w:t>
      </w:r>
      <w:r w:rsidR="00DB43D7" w:rsidRPr="00F55FFA">
        <w:rPr>
          <w:rFonts w:cs="Arial"/>
          <w:sz w:val="20"/>
          <w:szCs w:val="20"/>
        </w:rPr>
        <w:t xml:space="preserve">These experts </w:t>
      </w:r>
      <w:r w:rsidR="00B548EB">
        <w:rPr>
          <w:rFonts w:cs="Arial"/>
          <w:sz w:val="20"/>
          <w:szCs w:val="20"/>
        </w:rPr>
        <w:t>are</w:t>
      </w:r>
      <w:r w:rsidR="00DB43D7" w:rsidRPr="00F55FFA">
        <w:rPr>
          <w:rFonts w:cs="Arial"/>
          <w:sz w:val="20"/>
          <w:szCs w:val="20"/>
        </w:rPr>
        <w:t xml:space="preserve"> effectively “on call” to the Center and the participants, and </w:t>
      </w:r>
      <w:r w:rsidR="00B548EB">
        <w:rPr>
          <w:rFonts w:cs="Arial"/>
          <w:sz w:val="20"/>
          <w:szCs w:val="20"/>
        </w:rPr>
        <w:t xml:space="preserve">have been </w:t>
      </w:r>
      <w:r w:rsidR="00DB43D7" w:rsidRPr="00F55FFA">
        <w:rPr>
          <w:rFonts w:cs="Arial"/>
          <w:sz w:val="20"/>
          <w:szCs w:val="20"/>
        </w:rPr>
        <w:t>able to travel to the parti</w:t>
      </w:r>
      <w:r w:rsidR="005D46ED">
        <w:rPr>
          <w:rFonts w:cs="Arial"/>
          <w:sz w:val="20"/>
          <w:szCs w:val="20"/>
        </w:rPr>
        <w:t>ci</w:t>
      </w:r>
      <w:r w:rsidR="00DB43D7" w:rsidRPr="00F55FFA">
        <w:rPr>
          <w:rFonts w:cs="Arial"/>
          <w:sz w:val="20"/>
          <w:szCs w:val="20"/>
        </w:rPr>
        <w:t>pant</w:t>
      </w:r>
      <w:r w:rsidR="005D46ED">
        <w:rPr>
          <w:rFonts w:cs="Arial"/>
          <w:sz w:val="20"/>
          <w:szCs w:val="20"/>
        </w:rPr>
        <w:t>’</w:t>
      </w:r>
      <w:r w:rsidR="00DB43D7" w:rsidRPr="00F55FFA">
        <w:rPr>
          <w:rFonts w:cs="Arial"/>
          <w:sz w:val="20"/>
          <w:szCs w:val="20"/>
        </w:rPr>
        <w:t xml:space="preserve">s location if required and per the funding level provided.  There </w:t>
      </w:r>
      <w:r w:rsidR="00B548EB">
        <w:rPr>
          <w:rFonts w:cs="Arial"/>
          <w:sz w:val="20"/>
          <w:szCs w:val="20"/>
        </w:rPr>
        <w:t>is</w:t>
      </w:r>
      <w:r w:rsidR="00DB43D7" w:rsidRPr="00F55FFA">
        <w:rPr>
          <w:rFonts w:cs="Arial"/>
          <w:sz w:val="20"/>
          <w:szCs w:val="20"/>
        </w:rPr>
        <w:t xml:space="preserve"> no need for special subcontracts between the individual state and the expert since the </w:t>
      </w:r>
      <w:r w:rsidR="00222310">
        <w:rPr>
          <w:rFonts w:cs="Arial"/>
          <w:sz w:val="20"/>
          <w:szCs w:val="20"/>
        </w:rPr>
        <w:t xml:space="preserve">agreements are </w:t>
      </w:r>
      <w:r w:rsidR="00DB43D7" w:rsidRPr="00F55FFA">
        <w:rPr>
          <w:rFonts w:cs="Arial"/>
          <w:sz w:val="20"/>
          <w:szCs w:val="20"/>
        </w:rPr>
        <w:t>already be in place as participants of the Center.</w:t>
      </w:r>
    </w:p>
    <w:p w:rsidR="00BD4B57" w:rsidRPr="00F55FFA" w:rsidRDefault="00BD4B57" w:rsidP="00F55FFA">
      <w:pPr>
        <w:pStyle w:val="NoSpacing"/>
        <w:jc w:val="both"/>
        <w:rPr>
          <w:rFonts w:cstheme="minorHAnsi"/>
          <w:sz w:val="20"/>
          <w:szCs w:val="20"/>
        </w:rPr>
      </w:pPr>
    </w:p>
    <w:p w:rsidR="00F55FFA" w:rsidRDefault="00F55FFA">
      <w:pPr>
        <w:rPr>
          <w:rFonts w:cstheme="minorHAnsi"/>
          <w:b/>
          <w:sz w:val="20"/>
          <w:szCs w:val="20"/>
          <w:u w:val="single"/>
        </w:rPr>
      </w:pPr>
      <w:r>
        <w:rPr>
          <w:rFonts w:cstheme="minorHAnsi"/>
          <w:b/>
          <w:sz w:val="20"/>
          <w:szCs w:val="20"/>
          <w:u w:val="single"/>
        </w:rPr>
        <w:br w:type="page"/>
      </w:r>
    </w:p>
    <w:p w:rsidR="00FF503D" w:rsidRPr="00F55FFA" w:rsidRDefault="003B3123" w:rsidP="00F55FFA">
      <w:pPr>
        <w:pStyle w:val="NoSpacing"/>
        <w:jc w:val="both"/>
        <w:rPr>
          <w:rFonts w:cstheme="minorHAnsi"/>
          <w:b/>
          <w:sz w:val="20"/>
          <w:szCs w:val="20"/>
          <w:u w:val="single"/>
        </w:rPr>
      </w:pPr>
      <w:r w:rsidRPr="00F55FFA">
        <w:rPr>
          <w:rFonts w:cstheme="minorHAnsi"/>
          <w:b/>
          <w:sz w:val="20"/>
          <w:szCs w:val="20"/>
          <w:u w:val="single"/>
        </w:rPr>
        <w:lastRenderedPageBreak/>
        <w:t xml:space="preserve">Levels of </w:t>
      </w:r>
      <w:r w:rsidR="00FF503D" w:rsidRPr="00F55FFA">
        <w:rPr>
          <w:rFonts w:cstheme="minorHAnsi"/>
          <w:b/>
          <w:sz w:val="20"/>
          <w:szCs w:val="20"/>
          <w:u w:val="single"/>
        </w:rPr>
        <w:t>Commitment</w:t>
      </w:r>
    </w:p>
    <w:p w:rsidR="00691646" w:rsidRPr="00F55FFA" w:rsidRDefault="003B3123" w:rsidP="00F55FFA">
      <w:pPr>
        <w:pStyle w:val="NoSpacing"/>
        <w:jc w:val="both"/>
        <w:rPr>
          <w:sz w:val="20"/>
          <w:szCs w:val="20"/>
        </w:rPr>
      </w:pPr>
      <w:r w:rsidRPr="00F55FFA">
        <w:rPr>
          <w:sz w:val="20"/>
          <w:szCs w:val="20"/>
        </w:rPr>
        <w:t xml:space="preserve">Since states have different needs and resources, </w:t>
      </w:r>
      <w:r w:rsidR="00691646" w:rsidRPr="00F55FFA">
        <w:rPr>
          <w:sz w:val="20"/>
          <w:szCs w:val="20"/>
        </w:rPr>
        <w:t xml:space="preserve">three </w:t>
      </w:r>
      <w:r w:rsidRPr="00F55FFA">
        <w:rPr>
          <w:sz w:val="20"/>
          <w:szCs w:val="20"/>
        </w:rPr>
        <w:t xml:space="preserve">different levels or “tiers” of contributions </w:t>
      </w:r>
      <w:r w:rsidR="00222310">
        <w:rPr>
          <w:sz w:val="20"/>
          <w:szCs w:val="20"/>
        </w:rPr>
        <w:t>were</w:t>
      </w:r>
      <w:r w:rsidRPr="00F55FFA">
        <w:rPr>
          <w:sz w:val="20"/>
          <w:szCs w:val="20"/>
        </w:rPr>
        <w:t xml:space="preserve"> developed with each tier receiving defined benefits.  Participants will be stakeholders in the direction of the Center, research program directions, and coursework development.  </w:t>
      </w:r>
      <w:r w:rsidR="00222310">
        <w:rPr>
          <w:sz w:val="20"/>
          <w:szCs w:val="20"/>
        </w:rPr>
        <w:t>I</w:t>
      </w:r>
      <w:r w:rsidR="00145EB9">
        <w:rPr>
          <w:sz w:val="20"/>
          <w:szCs w:val="20"/>
        </w:rPr>
        <w:t>t</w:t>
      </w:r>
      <w:r w:rsidR="00222310">
        <w:rPr>
          <w:sz w:val="20"/>
          <w:szCs w:val="20"/>
        </w:rPr>
        <w:t xml:space="preserve"> is noted that although the fees associated with participation were developed </w:t>
      </w:r>
      <w:r w:rsidR="00145EB9">
        <w:rPr>
          <w:sz w:val="20"/>
          <w:szCs w:val="20"/>
        </w:rPr>
        <w:t xml:space="preserve">over seven years ago, no increases have been made to date. </w:t>
      </w:r>
      <w:r w:rsidR="00222310">
        <w:rPr>
          <w:sz w:val="20"/>
          <w:szCs w:val="20"/>
        </w:rPr>
        <w:t xml:space="preserve"> </w:t>
      </w:r>
      <w:r w:rsidR="00691646" w:rsidRPr="00F55FFA">
        <w:rPr>
          <w:sz w:val="20"/>
          <w:szCs w:val="20"/>
        </w:rPr>
        <w:t>Details are contained in the Table below.</w:t>
      </w:r>
    </w:p>
    <w:p w:rsidR="00691646" w:rsidRDefault="00691646" w:rsidP="00F55FFA">
      <w:pPr>
        <w:pStyle w:val="NoSpacing"/>
        <w:jc w:val="both"/>
        <w:rPr>
          <w:sz w:val="20"/>
          <w:szCs w:val="20"/>
        </w:rPr>
      </w:pPr>
    </w:p>
    <w:p w:rsidR="000739BF" w:rsidRDefault="000739BF" w:rsidP="00F55FFA">
      <w:pPr>
        <w:pStyle w:val="NoSpacing"/>
        <w:jc w:val="both"/>
        <w:rPr>
          <w:sz w:val="20"/>
          <w:szCs w:val="20"/>
        </w:rPr>
      </w:pPr>
      <w:r>
        <w:rPr>
          <w:sz w:val="20"/>
          <w:szCs w:val="20"/>
        </w:rPr>
        <w:t xml:space="preserve">Tier </w:t>
      </w:r>
      <w:proofErr w:type="spellStart"/>
      <w:r>
        <w:rPr>
          <w:sz w:val="20"/>
          <w:szCs w:val="20"/>
        </w:rPr>
        <w:t>1A</w:t>
      </w:r>
      <w:proofErr w:type="spellEnd"/>
      <w:r>
        <w:rPr>
          <w:sz w:val="20"/>
          <w:szCs w:val="20"/>
        </w:rPr>
        <w:t xml:space="preserve"> and Tier </w:t>
      </w:r>
      <w:proofErr w:type="spellStart"/>
      <w:r>
        <w:rPr>
          <w:sz w:val="20"/>
          <w:szCs w:val="20"/>
        </w:rPr>
        <w:t>1B</w:t>
      </w:r>
      <w:proofErr w:type="spellEnd"/>
    </w:p>
    <w:p w:rsidR="000739BF" w:rsidRPr="00F55FFA" w:rsidRDefault="000739BF" w:rsidP="000739BF">
      <w:pPr>
        <w:pStyle w:val="NoSpacing"/>
        <w:jc w:val="both"/>
        <w:rPr>
          <w:sz w:val="20"/>
          <w:szCs w:val="20"/>
        </w:rPr>
      </w:pPr>
      <w:r w:rsidRPr="00F55FFA">
        <w:rPr>
          <w:rFonts w:cstheme="minorHAnsi"/>
          <w:b/>
          <w:sz w:val="20"/>
          <w:szCs w:val="20"/>
          <w:u w:val="single"/>
        </w:rPr>
        <w:t>Tier</w:t>
      </w:r>
      <w:r>
        <w:rPr>
          <w:rFonts w:cstheme="minorHAnsi"/>
          <w:b/>
          <w:sz w:val="20"/>
          <w:szCs w:val="20"/>
          <w:u w:val="single"/>
        </w:rPr>
        <w:t xml:space="preserve"> </w:t>
      </w:r>
      <w:proofErr w:type="spellStart"/>
      <w:r>
        <w:rPr>
          <w:rFonts w:cstheme="minorHAnsi"/>
          <w:b/>
          <w:sz w:val="20"/>
          <w:szCs w:val="20"/>
          <w:u w:val="single"/>
        </w:rPr>
        <w:t>1A</w:t>
      </w:r>
      <w:proofErr w:type="spellEnd"/>
    </w:p>
    <w:p w:rsidR="000739BF" w:rsidRPr="00F55FFA" w:rsidRDefault="000739BF" w:rsidP="000739BF">
      <w:pPr>
        <w:pStyle w:val="NoSpacing"/>
        <w:numPr>
          <w:ilvl w:val="4"/>
          <w:numId w:val="13"/>
        </w:numPr>
        <w:ind w:left="450" w:hanging="270"/>
        <w:jc w:val="both"/>
        <w:rPr>
          <w:rFonts w:cstheme="minorHAnsi"/>
          <w:sz w:val="20"/>
          <w:szCs w:val="20"/>
        </w:rPr>
      </w:pPr>
      <w:r w:rsidRPr="00F55FFA">
        <w:rPr>
          <w:rFonts w:cstheme="minorHAnsi"/>
          <w:sz w:val="20"/>
          <w:szCs w:val="20"/>
        </w:rPr>
        <w:t xml:space="preserve">$ </w:t>
      </w:r>
      <w:r>
        <w:rPr>
          <w:rFonts w:cstheme="minorHAnsi"/>
          <w:sz w:val="20"/>
          <w:szCs w:val="20"/>
        </w:rPr>
        <w:t>30</w:t>
      </w:r>
      <w:r w:rsidRPr="00F55FFA">
        <w:rPr>
          <w:rFonts w:cstheme="minorHAnsi"/>
          <w:sz w:val="20"/>
          <w:szCs w:val="20"/>
        </w:rPr>
        <w:t xml:space="preserve">,000 per year for </w:t>
      </w:r>
      <w:r>
        <w:rPr>
          <w:rFonts w:cstheme="minorHAnsi"/>
          <w:sz w:val="20"/>
          <w:szCs w:val="20"/>
        </w:rPr>
        <w:t>2</w:t>
      </w:r>
      <w:r w:rsidRPr="00F55FFA">
        <w:rPr>
          <w:rFonts w:cstheme="minorHAnsi"/>
          <w:sz w:val="20"/>
          <w:szCs w:val="20"/>
        </w:rPr>
        <w:t xml:space="preserve"> years for a total commitment of $ </w:t>
      </w:r>
      <w:r>
        <w:rPr>
          <w:rFonts w:cstheme="minorHAnsi"/>
          <w:sz w:val="20"/>
          <w:szCs w:val="20"/>
        </w:rPr>
        <w:t>60</w:t>
      </w:r>
      <w:r w:rsidRPr="00F55FFA">
        <w:rPr>
          <w:rFonts w:cstheme="minorHAnsi"/>
          <w:sz w:val="20"/>
          <w:szCs w:val="20"/>
        </w:rPr>
        <w:t>,000</w:t>
      </w:r>
    </w:p>
    <w:p w:rsidR="000739BF" w:rsidRPr="00F55FFA" w:rsidRDefault="000739BF" w:rsidP="000739BF">
      <w:pPr>
        <w:pStyle w:val="NoSpacing"/>
        <w:numPr>
          <w:ilvl w:val="4"/>
          <w:numId w:val="13"/>
        </w:numPr>
        <w:ind w:left="450" w:hanging="270"/>
        <w:jc w:val="both"/>
        <w:rPr>
          <w:rFonts w:cstheme="minorHAnsi"/>
          <w:sz w:val="20"/>
          <w:szCs w:val="20"/>
        </w:rPr>
      </w:pPr>
      <w:r w:rsidRPr="00F55FFA">
        <w:rPr>
          <w:rFonts w:cstheme="minorHAnsi"/>
          <w:sz w:val="20"/>
          <w:szCs w:val="20"/>
        </w:rPr>
        <w:t>This level provides support for the administration and policy development for center operations and strategic plan as well as for course development, traditional research and the gallery development and maintenance.</w:t>
      </w:r>
    </w:p>
    <w:p w:rsidR="000739BF" w:rsidRDefault="000739BF" w:rsidP="000739BF">
      <w:pPr>
        <w:pStyle w:val="NoSpacing"/>
        <w:numPr>
          <w:ilvl w:val="4"/>
          <w:numId w:val="13"/>
        </w:numPr>
        <w:ind w:left="450" w:hanging="270"/>
        <w:jc w:val="both"/>
        <w:rPr>
          <w:rFonts w:cstheme="minorHAnsi"/>
          <w:sz w:val="20"/>
          <w:szCs w:val="20"/>
        </w:rPr>
      </w:pPr>
      <w:r w:rsidRPr="00617039">
        <w:rPr>
          <w:rFonts w:cstheme="minorHAnsi"/>
          <w:sz w:val="20"/>
          <w:szCs w:val="20"/>
        </w:rPr>
        <w:t xml:space="preserve">Specific deliverables will include 1 training course at the stakeholder’s facility for up to 30 people as well as 1 training course for up to 2 people including travel to Purdue University for specialized training at the bridge gallery or attending short courses.  The two can attend the same training or each can attend training for up to two different topics (e.g., 1 individuals may attend one course and 1 may attend a different course).  </w:t>
      </w:r>
      <w:r w:rsidRPr="00F55FFA">
        <w:rPr>
          <w:rFonts w:cstheme="minorHAnsi"/>
          <w:sz w:val="20"/>
          <w:szCs w:val="20"/>
        </w:rPr>
        <w:t xml:space="preserve">It also includes </w:t>
      </w:r>
      <w:r>
        <w:rPr>
          <w:rFonts w:cstheme="minorHAnsi"/>
          <w:sz w:val="20"/>
          <w:szCs w:val="20"/>
        </w:rPr>
        <w:t xml:space="preserve">8 </w:t>
      </w:r>
      <w:r w:rsidRPr="00F55FFA">
        <w:rPr>
          <w:rFonts w:cstheme="minorHAnsi"/>
          <w:sz w:val="20"/>
          <w:szCs w:val="20"/>
        </w:rPr>
        <w:t>hours of specific assistance through the DEN.</w:t>
      </w:r>
    </w:p>
    <w:p w:rsidR="000739BF" w:rsidRPr="00F55FFA" w:rsidRDefault="000739BF" w:rsidP="000739BF">
      <w:pPr>
        <w:pStyle w:val="NoSpacing"/>
        <w:ind w:left="450"/>
        <w:jc w:val="both"/>
        <w:rPr>
          <w:rFonts w:cstheme="minorHAnsi"/>
          <w:sz w:val="20"/>
          <w:szCs w:val="20"/>
        </w:rPr>
      </w:pPr>
    </w:p>
    <w:p w:rsidR="000739BF" w:rsidRPr="000739BF" w:rsidRDefault="000739BF" w:rsidP="00F55FFA">
      <w:pPr>
        <w:pStyle w:val="NoSpacing"/>
        <w:jc w:val="both"/>
        <w:rPr>
          <w:b/>
          <w:sz w:val="20"/>
          <w:szCs w:val="20"/>
          <w:u w:val="single"/>
        </w:rPr>
      </w:pPr>
      <w:r w:rsidRPr="000739BF">
        <w:rPr>
          <w:b/>
          <w:sz w:val="20"/>
          <w:szCs w:val="20"/>
          <w:u w:val="single"/>
        </w:rPr>
        <w:t xml:space="preserve">Tier </w:t>
      </w:r>
      <w:proofErr w:type="spellStart"/>
      <w:r w:rsidRPr="000739BF">
        <w:rPr>
          <w:b/>
          <w:sz w:val="20"/>
          <w:szCs w:val="20"/>
          <w:u w:val="single"/>
        </w:rPr>
        <w:t>1B</w:t>
      </w:r>
      <w:proofErr w:type="spellEnd"/>
    </w:p>
    <w:p w:rsidR="000739BF" w:rsidRPr="00F55FFA" w:rsidRDefault="000739BF" w:rsidP="000739BF">
      <w:pPr>
        <w:pStyle w:val="NoSpacing"/>
        <w:numPr>
          <w:ilvl w:val="4"/>
          <w:numId w:val="13"/>
        </w:numPr>
        <w:ind w:left="450" w:hanging="270"/>
        <w:jc w:val="both"/>
        <w:rPr>
          <w:rFonts w:cstheme="minorHAnsi"/>
          <w:sz w:val="20"/>
          <w:szCs w:val="20"/>
        </w:rPr>
      </w:pPr>
      <w:r w:rsidRPr="00F55FFA">
        <w:rPr>
          <w:rFonts w:cstheme="minorHAnsi"/>
          <w:sz w:val="20"/>
          <w:szCs w:val="20"/>
        </w:rPr>
        <w:t xml:space="preserve">$ </w:t>
      </w:r>
      <w:r>
        <w:rPr>
          <w:rFonts w:cstheme="minorHAnsi"/>
          <w:sz w:val="20"/>
          <w:szCs w:val="20"/>
        </w:rPr>
        <w:t>30</w:t>
      </w:r>
      <w:r w:rsidRPr="00F55FFA">
        <w:rPr>
          <w:rFonts w:cstheme="minorHAnsi"/>
          <w:sz w:val="20"/>
          <w:szCs w:val="20"/>
        </w:rPr>
        <w:t xml:space="preserve">,000 per year for </w:t>
      </w:r>
      <w:r>
        <w:rPr>
          <w:rFonts w:cstheme="minorHAnsi"/>
          <w:sz w:val="20"/>
          <w:szCs w:val="20"/>
        </w:rPr>
        <w:t>2</w:t>
      </w:r>
      <w:r w:rsidRPr="00F55FFA">
        <w:rPr>
          <w:rFonts w:cstheme="minorHAnsi"/>
          <w:sz w:val="20"/>
          <w:szCs w:val="20"/>
        </w:rPr>
        <w:t xml:space="preserve"> years for a total commitment of $ </w:t>
      </w:r>
      <w:r>
        <w:rPr>
          <w:rFonts w:cstheme="minorHAnsi"/>
          <w:sz w:val="20"/>
          <w:szCs w:val="20"/>
        </w:rPr>
        <w:t>60</w:t>
      </w:r>
      <w:r w:rsidRPr="00F55FFA">
        <w:rPr>
          <w:rFonts w:cstheme="minorHAnsi"/>
          <w:sz w:val="20"/>
          <w:szCs w:val="20"/>
        </w:rPr>
        <w:t>,000</w:t>
      </w:r>
    </w:p>
    <w:p w:rsidR="000739BF" w:rsidRPr="00F55FFA" w:rsidRDefault="000739BF" w:rsidP="000739BF">
      <w:pPr>
        <w:pStyle w:val="NoSpacing"/>
        <w:numPr>
          <w:ilvl w:val="4"/>
          <w:numId w:val="13"/>
        </w:numPr>
        <w:ind w:left="450" w:hanging="270"/>
        <w:jc w:val="both"/>
        <w:rPr>
          <w:rFonts w:cstheme="minorHAnsi"/>
          <w:sz w:val="20"/>
          <w:szCs w:val="20"/>
        </w:rPr>
      </w:pPr>
      <w:r w:rsidRPr="00F55FFA">
        <w:rPr>
          <w:rFonts w:cstheme="minorHAnsi"/>
          <w:sz w:val="20"/>
          <w:szCs w:val="20"/>
        </w:rPr>
        <w:t>This level provides support for the administration and policy development for center operations and strategic plan as well as for course development, traditional research and the gallery development and maintenance.</w:t>
      </w:r>
      <w:r>
        <w:rPr>
          <w:rFonts w:cstheme="minorHAnsi"/>
          <w:sz w:val="20"/>
          <w:szCs w:val="20"/>
        </w:rPr>
        <w:t xml:space="preserve">  Tier </w:t>
      </w:r>
      <w:proofErr w:type="spellStart"/>
      <w:r>
        <w:rPr>
          <w:rFonts w:cstheme="minorHAnsi"/>
          <w:sz w:val="20"/>
          <w:szCs w:val="20"/>
        </w:rPr>
        <w:t>1B</w:t>
      </w:r>
      <w:proofErr w:type="spellEnd"/>
      <w:r>
        <w:rPr>
          <w:rFonts w:cstheme="minorHAnsi"/>
          <w:sz w:val="20"/>
          <w:szCs w:val="20"/>
        </w:rPr>
        <w:t xml:space="preserve"> </w:t>
      </w:r>
      <w:r w:rsidR="0082441C">
        <w:rPr>
          <w:rFonts w:cstheme="minorHAnsi"/>
          <w:sz w:val="20"/>
          <w:szCs w:val="20"/>
        </w:rPr>
        <w:t>provides</w:t>
      </w:r>
      <w:r>
        <w:rPr>
          <w:rFonts w:cstheme="minorHAnsi"/>
          <w:sz w:val="20"/>
          <w:szCs w:val="20"/>
        </w:rPr>
        <w:t xml:space="preserve"> the participant more involvement in research and </w:t>
      </w:r>
    </w:p>
    <w:p w:rsidR="000739BF" w:rsidRPr="00F55FFA" w:rsidRDefault="000739BF" w:rsidP="000739BF">
      <w:pPr>
        <w:pStyle w:val="NoSpacing"/>
        <w:numPr>
          <w:ilvl w:val="4"/>
          <w:numId w:val="13"/>
        </w:numPr>
        <w:ind w:left="450" w:hanging="270"/>
        <w:jc w:val="both"/>
        <w:rPr>
          <w:rFonts w:cstheme="minorHAnsi"/>
          <w:sz w:val="20"/>
          <w:szCs w:val="20"/>
        </w:rPr>
      </w:pPr>
      <w:r w:rsidRPr="00617039">
        <w:rPr>
          <w:rFonts w:cstheme="minorHAnsi"/>
          <w:sz w:val="20"/>
          <w:szCs w:val="20"/>
        </w:rPr>
        <w:t xml:space="preserve">Specific deliverables will include 1 training course at the stakeholder’s facility for up to 30 people.  </w:t>
      </w:r>
      <w:r w:rsidRPr="00F55FFA">
        <w:rPr>
          <w:rFonts w:cstheme="minorHAnsi"/>
          <w:sz w:val="20"/>
          <w:szCs w:val="20"/>
        </w:rPr>
        <w:t xml:space="preserve">It also includes </w:t>
      </w:r>
      <w:r>
        <w:rPr>
          <w:rFonts w:cstheme="minorHAnsi"/>
          <w:sz w:val="20"/>
          <w:szCs w:val="20"/>
        </w:rPr>
        <w:t xml:space="preserve">12 </w:t>
      </w:r>
      <w:r w:rsidRPr="00F55FFA">
        <w:rPr>
          <w:rFonts w:cstheme="minorHAnsi"/>
          <w:sz w:val="20"/>
          <w:szCs w:val="20"/>
        </w:rPr>
        <w:t>hours of specific assistance through the DEN.</w:t>
      </w:r>
    </w:p>
    <w:p w:rsidR="000739BF" w:rsidRPr="00F55FFA" w:rsidRDefault="000739BF" w:rsidP="00F55FFA">
      <w:pPr>
        <w:pStyle w:val="NoSpacing"/>
        <w:jc w:val="both"/>
        <w:rPr>
          <w:sz w:val="20"/>
          <w:szCs w:val="20"/>
        </w:rPr>
      </w:pPr>
    </w:p>
    <w:p w:rsidR="00BD4B57" w:rsidRPr="00F55FFA" w:rsidRDefault="009A2629" w:rsidP="00F55FFA">
      <w:pPr>
        <w:pStyle w:val="NoSpacing"/>
        <w:jc w:val="both"/>
        <w:rPr>
          <w:sz w:val="20"/>
          <w:szCs w:val="20"/>
        </w:rPr>
      </w:pPr>
      <w:r w:rsidRPr="00F55FFA">
        <w:rPr>
          <w:rFonts w:cstheme="minorHAnsi"/>
          <w:b/>
          <w:sz w:val="20"/>
          <w:szCs w:val="20"/>
          <w:u w:val="single"/>
        </w:rPr>
        <w:t xml:space="preserve">Tier </w:t>
      </w:r>
      <w:r w:rsidR="000739BF">
        <w:rPr>
          <w:rFonts w:cstheme="minorHAnsi"/>
          <w:b/>
          <w:sz w:val="20"/>
          <w:szCs w:val="20"/>
          <w:u w:val="single"/>
        </w:rPr>
        <w:t>2</w:t>
      </w:r>
    </w:p>
    <w:p w:rsidR="00FF503D" w:rsidRPr="00F55FFA" w:rsidRDefault="00FF503D" w:rsidP="00F55FFA">
      <w:pPr>
        <w:pStyle w:val="NoSpacing"/>
        <w:numPr>
          <w:ilvl w:val="4"/>
          <w:numId w:val="13"/>
        </w:numPr>
        <w:ind w:left="450" w:hanging="270"/>
        <w:jc w:val="both"/>
        <w:rPr>
          <w:rFonts w:cstheme="minorHAnsi"/>
          <w:sz w:val="20"/>
          <w:szCs w:val="20"/>
        </w:rPr>
      </w:pPr>
      <w:r w:rsidRPr="00F55FFA">
        <w:rPr>
          <w:rFonts w:cstheme="minorHAnsi"/>
          <w:sz w:val="20"/>
          <w:szCs w:val="20"/>
        </w:rPr>
        <w:t>$ 50,000 per year for</w:t>
      </w:r>
      <w:r w:rsidR="00081DD8">
        <w:rPr>
          <w:rFonts w:cstheme="minorHAnsi"/>
          <w:sz w:val="20"/>
          <w:szCs w:val="20"/>
        </w:rPr>
        <w:t xml:space="preserve"> 2</w:t>
      </w:r>
      <w:r w:rsidRPr="00F55FFA">
        <w:rPr>
          <w:rFonts w:cstheme="minorHAnsi"/>
          <w:sz w:val="20"/>
          <w:szCs w:val="20"/>
        </w:rPr>
        <w:t xml:space="preserve"> years </w:t>
      </w:r>
      <w:r w:rsidR="00B64244" w:rsidRPr="00F55FFA">
        <w:rPr>
          <w:rFonts w:cstheme="minorHAnsi"/>
          <w:sz w:val="20"/>
          <w:szCs w:val="20"/>
        </w:rPr>
        <w:t xml:space="preserve">for </w:t>
      </w:r>
      <w:r w:rsidRPr="00F55FFA">
        <w:rPr>
          <w:rFonts w:cstheme="minorHAnsi"/>
          <w:sz w:val="20"/>
          <w:szCs w:val="20"/>
        </w:rPr>
        <w:t xml:space="preserve">a total commitment of $ </w:t>
      </w:r>
      <w:r w:rsidR="00081DD8">
        <w:rPr>
          <w:rFonts w:cstheme="minorHAnsi"/>
          <w:sz w:val="20"/>
          <w:szCs w:val="20"/>
        </w:rPr>
        <w:t>100</w:t>
      </w:r>
      <w:r w:rsidRPr="00F55FFA">
        <w:rPr>
          <w:rFonts w:cstheme="minorHAnsi"/>
          <w:sz w:val="20"/>
          <w:szCs w:val="20"/>
        </w:rPr>
        <w:t>,000</w:t>
      </w:r>
    </w:p>
    <w:p w:rsidR="00BD4B57" w:rsidRPr="00F55FFA" w:rsidRDefault="00BD4B57" w:rsidP="00F55FFA">
      <w:pPr>
        <w:pStyle w:val="NoSpacing"/>
        <w:numPr>
          <w:ilvl w:val="4"/>
          <w:numId w:val="13"/>
        </w:numPr>
        <w:ind w:left="450" w:hanging="270"/>
        <w:jc w:val="both"/>
        <w:rPr>
          <w:rFonts w:cstheme="minorHAnsi"/>
          <w:sz w:val="20"/>
          <w:szCs w:val="20"/>
        </w:rPr>
      </w:pPr>
      <w:r w:rsidRPr="00F55FFA">
        <w:rPr>
          <w:rFonts w:cstheme="minorHAnsi"/>
          <w:sz w:val="20"/>
          <w:szCs w:val="20"/>
        </w:rPr>
        <w:t xml:space="preserve">This level provides support for the administration and policy development for center operations and strategic plan as well as for course development, </w:t>
      </w:r>
      <w:r w:rsidR="003B3123" w:rsidRPr="00F55FFA">
        <w:rPr>
          <w:rFonts w:cstheme="minorHAnsi"/>
          <w:sz w:val="20"/>
          <w:szCs w:val="20"/>
        </w:rPr>
        <w:t xml:space="preserve">traditional </w:t>
      </w:r>
      <w:r w:rsidRPr="00F55FFA">
        <w:rPr>
          <w:rFonts w:cstheme="minorHAnsi"/>
          <w:sz w:val="20"/>
          <w:szCs w:val="20"/>
        </w:rPr>
        <w:t>research and the gallery development and maintenance.</w:t>
      </w:r>
    </w:p>
    <w:p w:rsidR="00BD4B57" w:rsidRPr="00F55FFA" w:rsidRDefault="00BD4B57" w:rsidP="00F55FFA">
      <w:pPr>
        <w:pStyle w:val="NoSpacing"/>
        <w:numPr>
          <w:ilvl w:val="4"/>
          <w:numId w:val="13"/>
        </w:numPr>
        <w:ind w:left="450" w:hanging="270"/>
        <w:jc w:val="both"/>
        <w:rPr>
          <w:rFonts w:cstheme="minorHAnsi"/>
          <w:sz w:val="20"/>
          <w:szCs w:val="20"/>
        </w:rPr>
      </w:pPr>
      <w:r w:rsidRPr="00F55FFA">
        <w:rPr>
          <w:rFonts w:cstheme="minorHAnsi"/>
          <w:sz w:val="20"/>
          <w:szCs w:val="20"/>
        </w:rPr>
        <w:t xml:space="preserve">Specific deliverables will include 1 training course at the stakeholder’s facility for up to 50 people as well as 1 training course for up to 5 people including travel </w:t>
      </w:r>
      <w:r w:rsidR="00DB43D7" w:rsidRPr="00F55FFA">
        <w:rPr>
          <w:rFonts w:cstheme="minorHAnsi"/>
          <w:sz w:val="20"/>
          <w:szCs w:val="20"/>
        </w:rPr>
        <w:t>to Purdue University for specialized training</w:t>
      </w:r>
      <w:r w:rsidRPr="00F55FFA">
        <w:rPr>
          <w:rFonts w:cstheme="minorHAnsi"/>
          <w:sz w:val="20"/>
          <w:szCs w:val="20"/>
        </w:rPr>
        <w:t xml:space="preserve"> </w:t>
      </w:r>
      <w:r w:rsidR="00DB43D7" w:rsidRPr="00F55FFA">
        <w:rPr>
          <w:rFonts w:cstheme="minorHAnsi"/>
          <w:sz w:val="20"/>
          <w:szCs w:val="20"/>
        </w:rPr>
        <w:t xml:space="preserve">at the bridge gallery or attending short courses.  The five can </w:t>
      </w:r>
      <w:r w:rsidR="005D46ED">
        <w:rPr>
          <w:rFonts w:cstheme="minorHAnsi"/>
          <w:sz w:val="20"/>
          <w:szCs w:val="20"/>
        </w:rPr>
        <w:t>attend</w:t>
      </w:r>
      <w:r w:rsidR="00DB43D7" w:rsidRPr="00F55FFA">
        <w:rPr>
          <w:rFonts w:cstheme="minorHAnsi"/>
          <w:sz w:val="20"/>
          <w:szCs w:val="20"/>
        </w:rPr>
        <w:t xml:space="preserve"> the same tra</w:t>
      </w:r>
      <w:r w:rsidR="005D46ED">
        <w:rPr>
          <w:rFonts w:cstheme="minorHAnsi"/>
          <w:sz w:val="20"/>
          <w:szCs w:val="20"/>
        </w:rPr>
        <w:t>ining or each can attend training</w:t>
      </w:r>
      <w:r w:rsidR="00DB43D7" w:rsidRPr="00F55FFA">
        <w:rPr>
          <w:rFonts w:cstheme="minorHAnsi"/>
          <w:sz w:val="20"/>
          <w:szCs w:val="20"/>
        </w:rPr>
        <w:t xml:space="preserve"> for up to two different topics</w:t>
      </w:r>
      <w:r w:rsidR="00D735C8">
        <w:rPr>
          <w:rFonts w:cstheme="minorHAnsi"/>
          <w:sz w:val="20"/>
          <w:szCs w:val="20"/>
        </w:rPr>
        <w:t xml:space="preserve"> (e.g., 2 individuals may attend one course and 3 may attend a different course)</w:t>
      </w:r>
      <w:r w:rsidRPr="00F55FFA">
        <w:rPr>
          <w:rFonts w:cstheme="minorHAnsi"/>
          <w:sz w:val="20"/>
          <w:szCs w:val="20"/>
        </w:rPr>
        <w:t>.</w:t>
      </w:r>
      <w:r w:rsidR="00B64244" w:rsidRPr="00F55FFA">
        <w:rPr>
          <w:rFonts w:cstheme="minorHAnsi"/>
          <w:sz w:val="20"/>
          <w:szCs w:val="20"/>
        </w:rPr>
        <w:t xml:space="preserve">  It also includes 20 hours of specific assistance through the </w:t>
      </w:r>
      <w:r w:rsidR="00DB43D7" w:rsidRPr="00F55FFA">
        <w:rPr>
          <w:rFonts w:cstheme="minorHAnsi"/>
          <w:sz w:val="20"/>
          <w:szCs w:val="20"/>
        </w:rPr>
        <w:t>DEN</w:t>
      </w:r>
      <w:r w:rsidR="00B64244" w:rsidRPr="00F55FFA">
        <w:rPr>
          <w:rFonts w:cstheme="minorHAnsi"/>
          <w:sz w:val="20"/>
          <w:szCs w:val="20"/>
        </w:rPr>
        <w:t>.</w:t>
      </w:r>
    </w:p>
    <w:p w:rsidR="009A2629" w:rsidRPr="00F55FFA" w:rsidRDefault="009A2629" w:rsidP="00F55FFA">
      <w:pPr>
        <w:pStyle w:val="NoSpacing"/>
        <w:jc w:val="both"/>
        <w:rPr>
          <w:rFonts w:cstheme="minorHAnsi"/>
          <w:sz w:val="20"/>
          <w:szCs w:val="20"/>
        </w:rPr>
      </w:pPr>
    </w:p>
    <w:p w:rsidR="00BD4B57" w:rsidRPr="00F55FFA" w:rsidRDefault="00BD4B57" w:rsidP="00F55FFA">
      <w:pPr>
        <w:pStyle w:val="NoSpacing"/>
        <w:jc w:val="both"/>
        <w:rPr>
          <w:rFonts w:cstheme="minorHAnsi"/>
          <w:b/>
          <w:sz w:val="20"/>
          <w:szCs w:val="20"/>
          <w:u w:val="single"/>
        </w:rPr>
      </w:pPr>
      <w:r w:rsidRPr="00F55FFA">
        <w:rPr>
          <w:rFonts w:cstheme="minorHAnsi"/>
          <w:b/>
          <w:sz w:val="20"/>
          <w:szCs w:val="20"/>
          <w:u w:val="single"/>
        </w:rPr>
        <w:t xml:space="preserve">Tier </w:t>
      </w:r>
      <w:r w:rsidR="000739BF">
        <w:rPr>
          <w:rFonts w:cstheme="minorHAnsi"/>
          <w:b/>
          <w:sz w:val="20"/>
          <w:szCs w:val="20"/>
          <w:u w:val="single"/>
        </w:rPr>
        <w:t>3</w:t>
      </w:r>
      <w:r w:rsidRPr="00F55FFA">
        <w:rPr>
          <w:rFonts w:cstheme="minorHAnsi"/>
          <w:b/>
          <w:sz w:val="20"/>
          <w:szCs w:val="20"/>
          <w:u w:val="single"/>
        </w:rPr>
        <w:t>:</w:t>
      </w:r>
    </w:p>
    <w:p w:rsidR="00BD4B57" w:rsidRPr="00F55FFA" w:rsidRDefault="00BD4B57" w:rsidP="00F55FFA">
      <w:pPr>
        <w:pStyle w:val="NoSpacing"/>
        <w:numPr>
          <w:ilvl w:val="4"/>
          <w:numId w:val="12"/>
        </w:numPr>
        <w:ind w:left="450" w:hanging="270"/>
        <w:jc w:val="both"/>
        <w:rPr>
          <w:rFonts w:cstheme="minorHAnsi"/>
          <w:sz w:val="20"/>
          <w:szCs w:val="20"/>
        </w:rPr>
      </w:pPr>
      <w:r w:rsidRPr="00F55FFA">
        <w:rPr>
          <w:rFonts w:cstheme="minorHAnsi"/>
          <w:sz w:val="20"/>
          <w:szCs w:val="20"/>
        </w:rPr>
        <w:t xml:space="preserve">$ 100,000 per year for </w:t>
      </w:r>
      <w:r w:rsidR="00081DD8">
        <w:rPr>
          <w:rFonts w:cstheme="minorHAnsi"/>
          <w:sz w:val="20"/>
          <w:szCs w:val="20"/>
        </w:rPr>
        <w:t>2</w:t>
      </w:r>
      <w:r w:rsidRPr="00F55FFA">
        <w:rPr>
          <w:rFonts w:cstheme="minorHAnsi"/>
          <w:sz w:val="20"/>
          <w:szCs w:val="20"/>
        </w:rPr>
        <w:t xml:space="preserve"> years </w:t>
      </w:r>
      <w:r w:rsidR="00B64244" w:rsidRPr="00F55FFA">
        <w:rPr>
          <w:rFonts w:cstheme="minorHAnsi"/>
          <w:sz w:val="20"/>
          <w:szCs w:val="20"/>
        </w:rPr>
        <w:t xml:space="preserve">for </w:t>
      </w:r>
      <w:r w:rsidRPr="00F55FFA">
        <w:rPr>
          <w:rFonts w:cstheme="minorHAnsi"/>
          <w:sz w:val="20"/>
          <w:szCs w:val="20"/>
        </w:rPr>
        <w:t xml:space="preserve">a total commitment of $ </w:t>
      </w:r>
      <w:r w:rsidR="00081DD8">
        <w:rPr>
          <w:rFonts w:cstheme="minorHAnsi"/>
          <w:sz w:val="20"/>
          <w:szCs w:val="20"/>
        </w:rPr>
        <w:t>2</w:t>
      </w:r>
      <w:r w:rsidRPr="00F55FFA">
        <w:rPr>
          <w:rFonts w:cstheme="minorHAnsi"/>
          <w:sz w:val="20"/>
          <w:szCs w:val="20"/>
        </w:rPr>
        <w:t>00,000</w:t>
      </w:r>
    </w:p>
    <w:p w:rsidR="00BD4B57" w:rsidRPr="00F55FFA" w:rsidRDefault="00BD4B57" w:rsidP="00F55FFA">
      <w:pPr>
        <w:pStyle w:val="NoSpacing"/>
        <w:numPr>
          <w:ilvl w:val="4"/>
          <w:numId w:val="12"/>
        </w:numPr>
        <w:ind w:left="450" w:hanging="270"/>
        <w:jc w:val="both"/>
        <w:rPr>
          <w:rFonts w:cstheme="minorHAnsi"/>
          <w:sz w:val="20"/>
          <w:szCs w:val="20"/>
        </w:rPr>
      </w:pPr>
      <w:r w:rsidRPr="00F55FFA">
        <w:rPr>
          <w:rFonts w:cstheme="minorHAnsi"/>
          <w:sz w:val="20"/>
          <w:szCs w:val="20"/>
        </w:rPr>
        <w:t>This level provides support for the administration and policy development for center operations and strategic plan as well as for course development, research and the gallery development and maintenance.</w:t>
      </w:r>
    </w:p>
    <w:p w:rsidR="006C3A0D" w:rsidRPr="00F55FFA" w:rsidRDefault="00DB43D7" w:rsidP="00F55FFA">
      <w:pPr>
        <w:pStyle w:val="NoSpacing"/>
        <w:numPr>
          <w:ilvl w:val="4"/>
          <w:numId w:val="12"/>
        </w:numPr>
        <w:ind w:left="450" w:hanging="270"/>
        <w:jc w:val="both"/>
        <w:rPr>
          <w:rFonts w:cstheme="minorHAnsi"/>
          <w:sz w:val="20"/>
          <w:szCs w:val="20"/>
        </w:rPr>
      </w:pPr>
      <w:r w:rsidRPr="00F55FFA">
        <w:rPr>
          <w:rFonts w:cstheme="minorHAnsi"/>
          <w:sz w:val="20"/>
          <w:szCs w:val="20"/>
        </w:rPr>
        <w:t>Specific deliverables will include 2 training courses at the stakeholder’s facility for up to 50 people as well as 2 training course for up to 10 people including travel to Purdue University for specialized training at the bridge gallery or attending sh</w:t>
      </w:r>
      <w:r w:rsidR="005D46ED">
        <w:rPr>
          <w:rFonts w:cstheme="minorHAnsi"/>
          <w:sz w:val="20"/>
          <w:szCs w:val="20"/>
        </w:rPr>
        <w:t>ort courses.  The ten can attend</w:t>
      </w:r>
      <w:r w:rsidRPr="00F55FFA">
        <w:rPr>
          <w:rFonts w:cstheme="minorHAnsi"/>
          <w:sz w:val="20"/>
          <w:szCs w:val="20"/>
        </w:rPr>
        <w:t xml:space="preserve"> the same training or each can attend separate training for up to three different topics.</w:t>
      </w:r>
      <w:r w:rsidR="00B64244" w:rsidRPr="00F55FFA">
        <w:rPr>
          <w:rFonts w:cstheme="minorHAnsi"/>
          <w:sz w:val="20"/>
          <w:szCs w:val="20"/>
        </w:rPr>
        <w:t xml:space="preserve">  It also includes 40 hours of specific assistance through the solutions center.</w:t>
      </w:r>
    </w:p>
    <w:p w:rsidR="009A2629" w:rsidRPr="00F55FFA" w:rsidRDefault="009A2629" w:rsidP="00F55FFA">
      <w:pPr>
        <w:pStyle w:val="NoSpacing"/>
        <w:ind w:left="360"/>
        <w:jc w:val="both"/>
        <w:rPr>
          <w:rFonts w:cstheme="minorHAnsi"/>
          <w:sz w:val="20"/>
          <w:szCs w:val="20"/>
        </w:rPr>
      </w:pPr>
    </w:p>
    <w:p w:rsidR="00B64244" w:rsidRPr="00F55FFA" w:rsidRDefault="00B64244" w:rsidP="00F55FFA">
      <w:pPr>
        <w:pStyle w:val="NoSpacing"/>
        <w:jc w:val="both"/>
        <w:rPr>
          <w:rFonts w:cstheme="minorHAnsi"/>
          <w:b/>
          <w:sz w:val="20"/>
          <w:szCs w:val="20"/>
          <w:u w:val="single"/>
        </w:rPr>
      </w:pPr>
      <w:r w:rsidRPr="00F55FFA">
        <w:rPr>
          <w:rFonts w:cstheme="minorHAnsi"/>
          <w:b/>
          <w:sz w:val="20"/>
          <w:szCs w:val="20"/>
          <w:u w:val="single"/>
        </w:rPr>
        <w:t xml:space="preserve">Tier </w:t>
      </w:r>
      <w:r w:rsidR="000739BF">
        <w:rPr>
          <w:rFonts w:cstheme="minorHAnsi"/>
          <w:b/>
          <w:sz w:val="20"/>
          <w:szCs w:val="20"/>
          <w:u w:val="single"/>
        </w:rPr>
        <w:t>4</w:t>
      </w:r>
      <w:r w:rsidRPr="00F55FFA">
        <w:rPr>
          <w:rFonts w:cstheme="minorHAnsi"/>
          <w:b/>
          <w:sz w:val="20"/>
          <w:szCs w:val="20"/>
          <w:u w:val="single"/>
        </w:rPr>
        <w:t>:</w:t>
      </w:r>
    </w:p>
    <w:p w:rsidR="009A2629" w:rsidRPr="00F55FFA" w:rsidRDefault="00B64244" w:rsidP="00F55FFA">
      <w:pPr>
        <w:pStyle w:val="NoSpacing"/>
        <w:numPr>
          <w:ilvl w:val="0"/>
          <w:numId w:val="11"/>
        </w:numPr>
        <w:ind w:left="450" w:hanging="270"/>
        <w:jc w:val="both"/>
        <w:rPr>
          <w:rFonts w:cstheme="minorHAnsi"/>
          <w:sz w:val="20"/>
          <w:szCs w:val="20"/>
        </w:rPr>
      </w:pPr>
      <w:r w:rsidRPr="00F55FFA">
        <w:rPr>
          <w:rFonts w:cstheme="minorHAnsi"/>
          <w:sz w:val="20"/>
          <w:szCs w:val="20"/>
        </w:rPr>
        <w:t xml:space="preserve">$ 150,000 per year for </w:t>
      </w:r>
      <w:r w:rsidR="00081DD8">
        <w:rPr>
          <w:rFonts w:cstheme="minorHAnsi"/>
          <w:sz w:val="20"/>
          <w:szCs w:val="20"/>
        </w:rPr>
        <w:t>2</w:t>
      </w:r>
      <w:r w:rsidRPr="00F55FFA">
        <w:rPr>
          <w:rFonts w:cstheme="minorHAnsi"/>
          <w:sz w:val="20"/>
          <w:szCs w:val="20"/>
        </w:rPr>
        <w:t xml:space="preserve"> years for a total commitment of $ </w:t>
      </w:r>
      <w:r w:rsidR="00081DD8">
        <w:rPr>
          <w:rFonts w:cstheme="minorHAnsi"/>
          <w:sz w:val="20"/>
          <w:szCs w:val="20"/>
        </w:rPr>
        <w:t>300</w:t>
      </w:r>
      <w:r w:rsidRPr="00F55FFA">
        <w:rPr>
          <w:rFonts w:cstheme="minorHAnsi"/>
          <w:sz w:val="20"/>
          <w:szCs w:val="20"/>
        </w:rPr>
        <w:t>,000</w:t>
      </w:r>
    </w:p>
    <w:p w:rsidR="009A2629" w:rsidRPr="00F55FFA" w:rsidRDefault="00B64244" w:rsidP="00F55FFA">
      <w:pPr>
        <w:pStyle w:val="NoSpacing"/>
        <w:numPr>
          <w:ilvl w:val="0"/>
          <w:numId w:val="11"/>
        </w:numPr>
        <w:ind w:left="450" w:hanging="270"/>
        <w:jc w:val="both"/>
        <w:rPr>
          <w:rFonts w:cstheme="minorHAnsi"/>
          <w:sz w:val="20"/>
          <w:szCs w:val="20"/>
        </w:rPr>
      </w:pPr>
      <w:r w:rsidRPr="00F55FFA">
        <w:rPr>
          <w:rFonts w:cstheme="minorHAnsi"/>
          <w:sz w:val="20"/>
          <w:szCs w:val="20"/>
        </w:rPr>
        <w:t>This level provides support for the administration and policy development for center operations and strategic plan as well as for course development, research and the gallery development and maintenance.</w:t>
      </w:r>
    </w:p>
    <w:p w:rsidR="00691646" w:rsidRPr="00F55FFA" w:rsidRDefault="00DB43D7" w:rsidP="00F55FFA">
      <w:pPr>
        <w:pStyle w:val="NoSpacing"/>
        <w:numPr>
          <w:ilvl w:val="0"/>
          <w:numId w:val="11"/>
        </w:numPr>
        <w:ind w:left="450" w:hanging="270"/>
        <w:jc w:val="both"/>
        <w:rPr>
          <w:rFonts w:cstheme="minorHAnsi"/>
          <w:sz w:val="20"/>
          <w:szCs w:val="20"/>
        </w:rPr>
      </w:pPr>
      <w:r w:rsidRPr="00F55FFA">
        <w:rPr>
          <w:rFonts w:cstheme="minorHAnsi"/>
          <w:sz w:val="20"/>
          <w:szCs w:val="20"/>
        </w:rPr>
        <w:t xml:space="preserve">Specific deliverables will include 3 training courses at the stakeholder’s facility for up to 50 people as well as 3 training course for up to 15 people including travel to Purdue University for specialized training at the bridge gallery or attending short courses.  The 15 </w:t>
      </w:r>
      <w:r w:rsidR="005D46ED">
        <w:rPr>
          <w:rFonts w:cstheme="minorHAnsi"/>
          <w:sz w:val="20"/>
          <w:szCs w:val="20"/>
        </w:rPr>
        <w:t>can attend</w:t>
      </w:r>
      <w:r w:rsidRPr="00F55FFA">
        <w:rPr>
          <w:rFonts w:cstheme="minorHAnsi"/>
          <w:sz w:val="20"/>
          <w:szCs w:val="20"/>
        </w:rPr>
        <w:t xml:space="preserve"> the same training or each can attend separate training for up to four diffe</w:t>
      </w:r>
      <w:r w:rsidR="005D46ED">
        <w:rPr>
          <w:rFonts w:cstheme="minorHAnsi"/>
          <w:sz w:val="20"/>
          <w:szCs w:val="20"/>
        </w:rPr>
        <w:t>rent topics.  It also includes 6</w:t>
      </w:r>
      <w:r w:rsidRPr="00F55FFA">
        <w:rPr>
          <w:rFonts w:cstheme="minorHAnsi"/>
          <w:sz w:val="20"/>
          <w:szCs w:val="20"/>
        </w:rPr>
        <w:t>0 hours of specific assistance through the solutions center.</w:t>
      </w:r>
    </w:p>
    <w:p w:rsidR="009A2629" w:rsidRPr="00F55FFA" w:rsidRDefault="009A2629" w:rsidP="00F55FFA">
      <w:pPr>
        <w:pStyle w:val="NoSpacing"/>
        <w:ind w:left="360"/>
        <w:jc w:val="both"/>
        <w:rPr>
          <w:rFonts w:cstheme="minorHAnsi"/>
          <w:sz w:val="20"/>
          <w:szCs w:val="20"/>
        </w:rPr>
      </w:pPr>
    </w:p>
    <w:tbl>
      <w:tblPr>
        <w:tblW w:w="0" w:type="auto"/>
        <w:tblInd w:w="378" w:type="dxa"/>
        <w:tblLayout w:type="fixed"/>
        <w:tblLook w:val="04A0" w:firstRow="1" w:lastRow="0" w:firstColumn="1" w:lastColumn="0" w:noHBand="0" w:noVBand="1"/>
      </w:tblPr>
      <w:tblGrid>
        <w:gridCol w:w="3780"/>
        <w:gridCol w:w="1116"/>
        <w:gridCol w:w="1116"/>
        <w:gridCol w:w="1116"/>
        <w:gridCol w:w="1116"/>
        <w:gridCol w:w="1116"/>
      </w:tblGrid>
      <w:tr w:rsidR="009A2629" w:rsidRPr="00F55FFA" w:rsidTr="00081DD8">
        <w:trPr>
          <w:trHeight w:hRule="exact" w:val="424"/>
        </w:trPr>
        <w:tc>
          <w:tcPr>
            <w:tcW w:w="3780" w:type="dxa"/>
            <w:vMerge w:val="restart"/>
            <w:tcBorders>
              <w:top w:val="single" w:sz="4" w:space="0" w:color="auto"/>
              <w:left w:val="single" w:sz="4" w:space="0" w:color="auto"/>
              <w:right w:val="single" w:sz="4" w:space="0" w:color="auto"/>
            </w:tcBorders>
            <w:shd w:val="clear" w:color="auto" w:fill="auto"/>
            <w:vAlign w:val="center"/>
            <w:hideMark/>
          </w:tcPr>
          <w:p w:rsidR="009A2629" w:rsidRPr="00F55FFA" w:rsidRDefault="009A2629" w:rsidP="00F55FFA">
            <w:pPr>
              <w:spacing w:after="0" w:line="240" w:lineRule="auto"/>
              <w:ind w:firstLine="360"/>
              <w:jc w:val="both"/>
              <w:rPr>
                <w:rFonts w:ascii="Calibri" w:eastAsia="Times New Roman" w:hAnsi="Calibri" w:cs="Calibri"/>
                <w:b/>
                <w:color w:val="000000"/>
                <w:sz w:val="20"/>
                <w:szCs w:val="20"/>
              </w:rPr>
            </w:pPr>
            <w:r w:rsidRPr="00F55FFA">
              <w:rPr>
                <w:rFonts w:ascii="Calibri" w:eastAsia="Times New Roman" w:hAnsi="Calibri" w:cs="Calibri"/>
                <w:b/>
                <w:color w:val="000000"/>
                <w:sz w:val="20"/>
                <w:szCs w:val="20"/>
              </w:rPr>
              <w:lastRenderedPageBreak/>
              <w:t>Categories</w:t>
            </w:r>
          </w:p>
        </w:tc>
        <w:tc>
          <w:tcPr>
            <w:tcW w:w="5580" w:type="dxa"/>
            <w:gridSpan w:val="5"/>
            <w:tcBorders>
              <w:top w:val="single" w:sz="4" w:space="0" w:color="auto"/>
              <w:left w:val="nil"/>
              <w:bottom w:val="single" w:sz="4" w:space="0" w:color="auto"/>
              <w:right w:val="single" w:sz="4" w:space="0" w:color="auto"/>
            </w:tcBorders>
            <w:shd w:val="clear" w:color="auto" w:fill="auto"/>
            <w:vAlign w:val="center"/>
            <w:hideMark/>
          </w:tcPr>
          <w:p w:rsidR="009A2629" w:rsidRPr="00F55FFA" w:rsidRDefault="009A2629" w:rsidP="00F55FFA">
            <w:pPr>
              <w:spacing w:after="0" w:line="240" w:lineRule="auto"/>
              <w:jc w:val="both"/>
              <w:rPr>
                <w:rFonts w:ascii="Calibri" w:eastAsia="Times New Roman" w:hAnsi="Calibri" w:cs="Calibri"/>
                <w:b/>
                <w:color w:val="000000"/>
                <w:sz w:val="20"/>
                <w:szCs w:val="20"/>
              </w:rPr>
            </w:pPr>
            <w:r w:rsidRPr="00F55FFA">
              <w:rPr>
                <w:rFonts w:ascii="Calibri" w:eastAsia="Times New Roman" w:hAnsi="Calibri" w:cs="Calibri"/>
                <w:b/>
                <w:color w:val="000000"/>
                <w:sz w:val="20"/>
                <w:szCs w:val="20"/>
              </w:rPr>
              <w:t>Approximate Distribution of Commitment</w:t>
            </w:r>
          </w:p>
        </w:tc>
      </w:tr>
      <w:tr w:rsidR="00081DD8" w:rsidRPr="00F55FFA" w:rsidTr="00081DD8">
        <w:trPr>
          <w:trHeight w:hRule="exact" w:val="397"/>
        </w:trPr>
        <w:tc>
          <w:tcPr>
            <w:tcW w:w="3780" w:type="dxa"/>
            <w:vMerge/>
            <w:tcBorders>
              <w:left w:val="single" w:sz="4" w:space="0" w:color="auto"/>
              <w:bottom w:val="single" w:sz="4" w:space="0" w:color="auto"/>
              <w:right w:val="single" w:sz="4" w:space="0" w:color="auto"/>
            </w:tcBorders>
            <w:shd w:val="clear" w:color="auto" w:fill="auto"/>
            <w:vAlign w:val="center"/>
            <w:hideMark/>
          </w:tcPr>
          <w:p w:rsidR="00081DD8" w:rsidRPr="00F55FFA" w:rsidRDefault="00081DD8" w:rsidP="00F55FFA">
            <w:pPr>
              <w:spacing w:after="0" w:line="240" w:lineRule="auto"/>
              <w:ind w:firstLine="360"/>
              <w:jc w:val="both"/>
              <w:rPr>
                <w:rFonts w:ascii="Calibri" w:eastAsia="Times New Roman" w:hAnsi="Calibri" w:cs="Calibri"/>
                <w:b/>
                <w:color w:val="000000"/>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081DD8" w:rsidRPr="00F55FFA" w:rsidRDefault="00081DD8" w:rsidP="00F55FFA">
            <w:pPr>
              <w:spacing w:after="0" w:line="240" w:lineRule="auto"/>
              <w:jc w:val="both"/>
              <w:rPr>
                <w:rFonts w:ascii="Calibri" w:eastAsia="Times New Roman" w:hAnsi="Calibri" w:cs="Calibri"/>
                <w:b/>
                <w:color w:val="000000"/>
                <w:sz w:val="20"/>
                <w:szCs w:val="20"/>
              </w:rPr>
            </w:pPr>
            <w:r w:rsidRPr="00F55FFA">
              <w:rPr>
                <w:rFonts w:ascii="Calibri" w:eastAsia="Times New Roman" w:hAnsi="Calibri" w:cs="Calibri"/>
                <w:b/>
                <w:color w:val="000000"/>
                <w:sz w:val="20"/>
                <w:szCs w:val="20"/>
              </w:rPr>
              <w:t xml:space="preserve">Tier </w:t>
            </w:r>
            <w:proofErr w:type="spellStart"/>
            <w:r w:rsidRPr="00F55FFA">
              <w:rPr>
                <w:rFonts w:ascii="Calibri" w:eastAsia="Times New Roman" w:hAnsi="Calibri" w:cs="Calibri"/>
                <w:b/>
                <w:color w:val="000000"/>
                <w:sz w:val="20"/>
                <w:szCs w:val="20"/>
              </w:rPr>
              <w:t>1</w:t>
            </w:r>
            <w:r>
              <w:rPr>
                <w:rFonts w:ascii="Calibri" w:eastAsia="Times New Roman" w:hAnsi="Calibri" w:cs="Calibri"/>
                <w:b/>
                <w:color w:val="000000"/>
                <w:sz w:val="20"/>
                <w:szCs w:val="20"/>
              </w:rPr>
              <w:t>A</w:t>
            </w:r>
            <w:proofErr w:type="spellEnd"/>
          </w:p>
        </w:tc>
        <w:tc>
          <w:tcPr>
            <w:tcW w:w="1116" w:type="dxa"/>
            <w:tcBorders>
              <w:top w:val="single" w:sz="4" w:space="0" w:color="auto"/>
              <w:left w:val="nil"/>
              <w:bottom w:val="single" w:sz="4" w:space="0" w:color="auto"/>
              <w:right w:val="single" w:sz="4" w:space="0" w:color="auto"/>
            </w:tcBorders>
            <w:shd w:val="clear" w:color="auto" w:fill="auto"/>
            <w:vAlign w:val="center"/>
          </w:tcPr>
          <w:p w:rsidR="00081DD8" w:rsidRPr="00F55FFA" w:rsidRDefault="00081DD8" w:rsidP="00081DD8">
            <w:pPr>
              <w:spacing w:after="0" w:line="240" w:lineRule="auto"/>
              <w:jc w:val="both"/>
              <w:rPr>
                <w:rFonts w:ascii="Calibri" w:eastAsia="Times New Roman" w:hAnsi="Calibri" w:cs="Calibri"/>
                <w:b/>
                <w:color w:val="000000"/>
                <w:sz w:val="20"/>
                <w:szCs w:val="20"/>
              </w:rPr>
            </w:pPr>
            <w:r>
              <w:rPr>
                <w:rFonts w:ascii="Calibri" w:eastAsia="Times New Roman" w:hAnsi="Calibri" w:cs="Calibri"/>
                <w:b/>
                <w:color w:val="000000"/>
                <w:sz w:val="20"/>
                <w:szCs w:val="20"/>
              </w:rPr>
              <w:t xml:space="preserve">Tier </w:t>
            </w:r>
            <w:proofErr w:type="spellStart"/>
            <w:r>
              <w:rPr>
                <w:rFonts w:ascii="Calibri" w:eastAsia="Times New Roman" w:hAnsi="Calibri" w:cs="Calibri"/>
                <w:b/>
                <w:color w:val="000000"/>
                <w:sz w:val="20"/>
                <w:szCs w:val="20"/>
              </w:rPr>
              <w:t>1B</w:t>
            </w:r>
            <w:proofErr w:type="spellEnd"/>
          </w:p>
        </w:tc>
        <w:tc>
          <w:tcPr>
            <w:tcW w:w="1116" w:type="dxa"/>
            <w:tcBorders>
              <w:top w:val="single" w:sz="4" w:space="0" w:color="auto"/>
              <w:left w:val="nil"/>
              <w:bottom w:val="single" w:sz="4" w:space="0" w:color="auto"/>
              <w:right w:val="single" w:sz="4" w:space="0" w:color="auto"/>
            </w:tcBorders>
            <w:shd w:val="clear" w:color="auto" w:fill="auto"/>
            <w:vAlign w:val="center"/>
          </w:tcPr>
          <w:p w:rsidR="00081DD8" w:rsidRPr="00F55FFA" w:rsidRDefault="00081DD8" w:rsidP="00081DD8">
            <w:pPr>
              <w:spacing w:after="0" w:line="240" w:lineRule="auto"/>
              <w:jc w:val="both"/>
              <w:rPr>
                <w:rFonts w:ascii="Calibri" w:eastAsia="Times New Roman" w:hAnsi="Calibri" w:cs="Calibri"/>
                <w:b/>
                <w:color w:val="000000"/>
                <w:sz w:val="20"/>
                <w:szCs w:val="20"/>
              </w:rPr>
            </w:pPr>
            <w:r>
              <w:rPr>
                <w:rFonts w:ascii="Calibri" w:eastAsia="Times New Roman" w:hAnsi="Calibri" w:cs="Calibri"/>
                <w:b/>
                <w:color w:val="000000"/>
                <w:sz w:val="20"/>
                <w:szCs w:val="20"/>
              </w:rPr>
              <w:t>Tier 2</w:t>
            </w:r>
          </w:p>
        </w:tc>
        <w:tc>
          <w:tcPr>
            <w:tcW w:w="1116" w:type="dxa"/>
            <w:tcBorders>
              <w:top w:val="single" w:sz="4" w:space="0" w:color="auto"/>
              <w:left w:val="nil"/>
              <w:bottom w:val="single" w:sz="4" w:space="0" w:color="auto"/>
              <w:right w:val="single" w:sz="4" w:space="0" w:color="auto"/>
            </w:tcBorders>
            <w:vAlign w:val="center"/>
          </w:tcPr>
          <w:p w:rsidR="00081DD8" w:rsidRPr="00F55FFA" w:rsidRDefault="00081DD8" w:rsidP="00081DD8">
            <w:pPr>
              <w:spacing w:after="0" w:line="240" w:lineRule="auto"/>
              <w:jc w:val="both"/>
              <w:rPr>
                <w:rFonts w:ascii="Calibri" w:eastAsia="Times New Roman" w:hAnsi="Calibri" w:cs="Calibri"/>
                <w:b/>
                <w:color w:val="000000"/>
                <w:sz w:val="20"/>
                <w:szCs w:val="20"/>
              </w:rPr>
            </w:pPr>
            <w:r w:rsidRPr="00F55FFA">
              <w:rPr>
                <w:rFonts w:ascii="Calibri" w:eastAsia="Times New Roman" w:hAnsi="Calibri" w:cs="Calibri"/>
                <w:b/>
                <w:color w:val="000000"/>
                <w:sz w:val="20"/>
                <w:szCs w:val="20"/>
              </w:rPr>
              <w:t xml:space="preserve">Tier </w:t>
            </w:r>
            <w:r>
              <w:rPr>
                <w:rFonts w:ascii="Calibri" w:eastAsia="Times New Roman" w:hAnsi="Calibri" w:cs="Calibri"/>
                <w:b/>
                <w:color w:val="000000"/>
                <w:sz w:val="20"/>
                <w:szCs w:val="20"/>
              </w:rPr>
              <w:t>3</w:t>
            </w:r>
          </w:p>
        </w:tc>
        <w:tc>
          <w:tcPr>
            <w:tcW w:w="1116" w:type="dxa"/>
            <w:tcBorders>
              <w:top w:val="single" w:sz="4" w:space="0" w:color="auto"/>
              <w:left w:val="nil"/>
              <w:bottom w:val="single" w:sz="4" w:space="0" w:color="auto"/>
              <w:right w:val="single" w:sz="4" w:space="0" w:color="auto"/>
            </w:tcBorders>
            <w:vAlign w:val="center"/>
          </w:tcPr>
          <w:p w:rsidR="00081DD8" w:rsidRPr="00F55FFA" w:rsidRDefault="00081DD8" w:rsidP="00081DD8">
            <w:pPr>
              <w:spacing w:after="0" w:line="240" w:lineRule="auto"/>
              <w:jc w:val="both"/>
              <w:rPr>
                <w:rFonts w:ascii="Calibri" w:eastAsia="Times New Roman" w:hAnsi="Calibri" w:cs="Calibri"/>
                <w:b/>
                <w:color w:val="000000"/>
                <w:sz w:val="20"/>
                <w:szCs w:val="20"/>
              </w:rPr>
            </w:pPr>
            <w:r w:rsidRPr="00F55FFA">
              <w:rPr>
                <w:rFonts w:ascii="Calibri" w:eastAsia="Times New Roman" w:hAnsi="Calibri" w:cs="Calibri"/>
                <w:b/>
                <w:color w:val="000000"/>
                <w:sz w:val="20"/>
                <w:szCs w:val="20"/>
              </w:rPr>
              <w:t xml:space="preserve">Tier </w:t>
            </w:r>
            <w:r>
              <w:rPr>
                <w:rFonts w:ascii="Calibri" w:eastAsia="Times New Roman" w:hAnsi="Calibri" w:cs="Calibri"/>
                <w:b/>
                <w:color w:val="000000"/>
                <w:sz w:val="20"/>
                <w:szCs w:val="20"/>
              </w:rPr>
              <w:t>4</w:t>
            </w:r>
          </w:p>
        </w:tc>
      </w:tr>
      <w:tr w:rsidR="00081DD8" w:rsidRPr="00F55FFA" w:rsidTr="00081DD8">
        <w:trPr>
          <w:trHeight w:hRule="exact" w:val="289"/>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rsidR="00081DD8" w:rsidRPr="00F55FFA" w:rsidRDefault="00081DD8" w:rsidP="00F55FFA">
            <w:pPr>
              <w:jc w:val="both"/>
              <w:rPr>
                <w:rFonts w:ascii="Calibri" w:eastAsia="Times New Roman" w:hAnsi="Calibri" w:cs="Calibri"/>
                <w:color w:val="000000"/>
                <w:sz w:val="20"/>
                <w:szCs w:val="20"/>
              </w:rPr>
            </w:pPr>
            <w:r w:rsidRPr="00F55FFA">
              <w:rPr>
                <w:rFonts w:ascii="Calibri" w:eastAsia="Times New Roman" w:hAnsi="Calibri" w:cs="Calibri"/>
                <w:color w:val="000000"/>
                <w:sz w:val="20"/>
                <w:szCs w:val="20"/>
              </w:rPr>
              <w:t>Administration / Policy Development &amp; Implementation</w:t>
            </w:r>
          </w:p>
        </w:tc>
        <w:tc>
          <w:tcPr>
            <w:tcW w:w="1116" w:type="dxa"/>
            <w:tcBorders>
              <w:top w:val="nil"/>
              <w:left w:val="nil"/>
              <w:bottom w:val="single" w:sz="4" w:space="0" w:color="auto"/>
              <w:right w:val="single" w:sz="4" w:space="0" w:color="auto"/>
            </w:tcBorders>
            <w:shd w:val="clear" w:color="auto" w:fill="auto"/>
            <w:noWrap/>
            <w:vAlign w:val="center"/>
            <w:hideMark/>
          </w:tcPr>
          <w:p w:rsidR="00081DD8" w:rsidRPr="00F55FFA" w:rsidRDefault="00081DD8" w:rsidP="00081DD8">
            <w:pPr>
              <w:spacing w:after="0" w:line="240" w:lineRule="auto"/>
              <w:jc w:val="both"/>
              <w:rPr>
                <w:rFonts w:ascii="Calibri" w:eastAsia="Times New Roman" w:hAnsi="Calibri" w:cs="Calibri"/>
                <w:color w:val="000000"/>
                <w:sz w:val="20"/>
                <w:szCs w:val="20"/>
              </w:rPr>
            </w:pPr>
            <w:r w:rsidRPr="00F55FFA">
              <w:rPr>
                <w:rFonts w:ascii="Calibri" w:eastAsia="Times New Roman" w:hAnsi="Calibri" w:cs="Calibri"/>
                <w:color w:val="000000"/>
                <w:sz w:val="20"/>
                <w:szCs w:val="20"/>
              </w:rPr>
              <w:t>$</w:t>
            </w:r>
            <w:r>
              <w:rPr>
                <w:rFonts w:ascii="Calibri" w:eastAsia="Times New Roman" w:hAnsi="Calibri" w:cs="Calibri"/>
                <w:color w:val="000000"/>
                <w:sz w:val="20"/>
                <w:szCs w:val="20"/>
              </w:rPr>
              <w:t>2,5</w:t>
            </w:r>
            <w:r w:rsidRPr="00F55FFA">
              <w:rPr>
                <w:rFonts w:ascii="Calibri" w:eastAsia="Times New Roman" w:hAnsi="Calibri" w:cs="Calibri"/>
                <w:color w:val="000000"/>
                <w:sz w:val="20"/>
                <w:szCs w:val="20"/>
              </w:rPr>
              <w:t>00</w:t>
            </w:r>
          </w:p>
        </w:tc>
        <w:tc>
          <w:tcPr>
            <w:tcW w:w="1116" w:type="dxa"/>
            <w:tcBorders>
              <w:top w:val="nil"/>
              <w:left w:val="nil"/>
              <w:bottom w:val="single" w:sz="4" w:space="0" w:color="auto"/>
              <w:right w:val="single" w:sz="4" w:space="0" w:color="auto"/>
            </w:tcBorders>
            <w:shd w:val="clear" w:color="auto" w:fill="auto"/>
            <w:vAlign w:val="center"/>
          </w:tcPr>
          <w:p w:rsidR="00081DD8" w:rsidRPr="00F55FFA" w:rsidRDefault="00081DD8" w:rsidP="00081DD8">
            <w:pPr>
              <w:spacing w:after="0" w:line="240" w:lineRule="auto"/>
              <w:jc w:val="both"/>
              <w:rPr>
                <w:rFonts w:ascii="Calibri" w:eastAsia="Times New Roman" w:hAnsi="Calibri" w:cs="Calibri"/>
                <w:color w:val="000000"/>
                <w:sz w:val="20"/>
                <w:szCs w:val="20"/>
              </w:rPr>
            </w:pPr>
            <w:r w:rsidRPr="00F55FFA">
              <w:rPr>
                <w:rFonts w:ascii="Calibri" w:eastAsia="Times New Roman" w:hAnsi="Calibri" w:cs="Calibri"/>
                <w:color w:val="000000"/>
                <w:sz w:val="20"/>
                <w:szCs w:val="20"/>
              </w:rPr>
              <w:t>$</w:t>
            </w:r>
            <w:r>
              <w:rPr>
                <w:rFonts w:ascii="Calibri" w:eastAsia="Times New Roman" w:hAnsi="Calibri" w:cs="Calibri"/>
                <w:color w:val="000000"/>
                <w:sz w:val="20"/>
                <w:szCs w:val="20"/>
              </w:rPr>
              <w:t>3</w:t>
            </w:r>
            <w:r w:rsidRPr="00F55FFA">
              <w:rPr>
                <w:rFonts w:ascii="Calibri" w:eastAsia="Times New Roman" w:hAnsi="Calibri" w:cs="Calibri"/>
                <w:color w:val="000000"/>
                <w:sz w:val="20"/>
                <w:szCs w:val="20"/>
              </w:rPr>
              <w:t>,000</w:t>
            </w:r>
          </w:p>
        </w:tc>
        <w:tc>
          <w:tcPr>
            <w:tcW w:w="1116" w:type="dxa"/>
            <w:tcBorders>
              <w:top w:val="nil"/>
              <w:left w:val="nil"/>
              <w:bottom w:val="single" w:sz="4" w:space="0" w:color="auto"/>
              <w:right w:val="single" w:sz="4" w:space="0" w:color="auto"/>
            </w:tcBorders>
            <w:shd w:val="clear" w:color="auto" w:fill="auto"/>
            <w:vAlign w:val="center"/>
          </w:tcPr>
          <w:p w:rsidR="00081DD8" w:rsidRPr="00F55FFA" w:rsidRDefault="00081DD8" w:rsidP="00FE1BC9">
            <w:pPr>
              <w:spacing w:after="0" w:line="240" w:lineRule="auto"/>
              <w:jc w:val="both"/>
              <w:rPr>
                <w:rFonts w:ascii="Calibri" w:eastAsia="Times New Roman" w:hAnsi="Calibri" w:cs="Calibri"/>
                <w:color w:val="000000"/>
                <w:sz w:val="20"/>
                <w:szCs w:val="20"/>
              </w:rPr>
            </w:pPr>
            <w:r w:rsidRPr="00F55FFA">
              <w:rPr>
                <w:rFonts w:ascii="Calibri" w:eastAsia="Times New Roman" w:hAnsi="Calibri" w:cs="Calibri"/>
                <w:color w:val="000000"/>
                <w:sz w:val="20"/>
                <w:szCs w:val="20"/>
              </w:rPr>
              <w:t>$4,000</w:t>
            </w:r>
          </w:p>
        </w:tc>
        <w:tc>
          <w:tcPr>
            <w:tcW w:w="1116" w:type="dxa"/>
            <w:tcBorders>
              <w:top w:val="nil"/>
              <w:left w:val="nil"/>
              <w:bottom w:val="single" w:sz="4" w:space="0" w:color="auto"/>
              <w:right w:val="single" w:sz="4" w:space="0" w:color="auto"/>
            </w:tcBorders>
            <w:vAlign w:val="center"/>
          </w:tcPr>
          <w:p w:rsidR="00081DD8" w:rsidRPr="00F55FFA" w:rsidRDefault="00081DD8" w:rsidP="00F55FFA">
            <w:pPr>
              <w:spacing w:after="0" w:line="240" w:lineRule="auto"/>
              <w:ind w:firstLine="12"/>
              <w:jc w:val="both"/>
              <w:rPr>
                <w:rFonts w:ascii="Calibri" w:eastAsia="Times New Roman" w:hAnsi="Calibri" w:cs="Calibri"/>
                <w:color w:val="000000"/>
                <w:sz w:val="20"/>
                <w:szCs w:val="20"/>
              </w:rPr>
            </w:pPr>
            <w:r w:rsidRPr="00F55FFA">
              <w:rPr>
                <w:rFonts w:ascii="Calibri" w:eastAsia="Times New Roman" w:hAnsi="Calibri" w:cs="Calibri"/>
                <w:color w:val="000000"/>
                <w:sz w:val="20"/>
                <w:szCs w:val="20"/>
              </w:rPr>
              <w:t>$8,000</w:t>
            </w:r>
          </w:p>
        </w:tc>
        <w:tc>
          <w:tcPr>
            <w:tcW w:w="1116" w:type="dxa"/>
            <w:tcBorders>
              <w:top w:val="nil"/>
              <w:left w:val="nil"/>
              <w:bottom w:val="single" w:sz="4" w:space="0" w:color="auto"/>
              <w:right w:val="single" w:sz="4" w:space="0" w:color="auto"/>
            </w:tcBorders>
            <w:vAlign w:val="center"/>
          </w:tcPr>
          <w:p w:rsidR="00081DD8" w:rsidRPr="00F55FFA" w:rsidRDefault="00081DD8" w:rsidP="00F55FFA">
            <w:pPr>
              <w:spacing w:after="0" w:line="240" w:lineRule="auto"/>
              <w:jc w:val="both"/>
              <w:rPr>
                <w:rFonts w:ascii="Calibri" w:eastAsia="Times New Roman" w:hAnsi="Calibri" w:cs="Calibri"/>
                <w:color w:val="000000"/>
                <w:sz w:val="20"/>
                <w:szCs w:val="20"/>
              </w:rPr>
            </w:pPr>
            <w:r w:rsidRPr="00F55FFA">
              <w:rPr>
                <w:rFonts w:ascii="Calibri" w:eastAsia="Times New Roman" w:hAnsi="Calibri" w:cs="Calibri"/>
                <w:color w:val="000000"/>
                <w:sz w:val="20"/>
                <w:szCs w:val="20"/>
              </w:rPr>
              <w:t>$12,000</w:t>
            </w:r>
          </w:p>
        </w:tc>
      </w:tr>
      <w:tr w:rsidR="00081DD8" w:rsidRPr="00F55FFA" w:rsidTr="00081DD8">
        <w:trPr>
          <w:trHeight w:hRule="exact" w:val="901"/>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rsidR="00081DD8" w:rsidRPr="00F55FFA" w:rsidRDefault="00081DD8" w:rsidP="00F55FFA">
            <w:pPr>
              <w:jc w:val="both"/>
              <w:rPr>
                <w:rFonts w:ascii="Calibri" w:eastAsia="Times New Roman" w:hAnsi="Calibri" w:cs="Calibri"/>
                <w:color w:val="000000"/>
                <w:sz w:val="20"/>
                <w:szCs w:val="20"/>
              </w:rPr>
            </w:pPr>
            <w:r w:rsidRPr="00F55FFA">
              <w:rPr>
                <w:rFonts w:ascii="Calibri" w:eastAsia="Times New Roman" w:hAnsi="Calibri" w:cs="Calibri"/>
                <w:color w:val="000000"/>
                <w:sz w:val="20"/>
                <w:szCs w:val="20"/>
              </w:rPr>
              <w:t>New Course Development (Professional Training, New Inspector Certification Program, and Graduate, Undergrad, and Technical School Courses)</w:t>
            </w:r>
          </w:p>
        </w:tc>
        <w:tc>
          <w:tcPr>
            <w:tcW w:w="1116" w:type="dxa"/>
            <w:tcBorders>
              <w:top w:val="nil"/>
              <w:left w:val="nil"/>
              <w:bottom w:val="single" w:sz="4" w:space="0" w:color="auto"/>
              <w:right w:val="single" w:sz="4" w:space="0" w:color="auto"/>
            </w:tcBorders>
            <w:shd w:val="clear" w:color="auto" w:fill="auto"/>
            <w:noWrap/>
            <w:vAlign w:val="center"/>
            <w:hideMark/>
          </w:tcPr>
          <w:p w:rsidR="00081DD8" w:rsidRPr="00F55FFA" w:rsidRDefault="00081DD8" w:rsidP="004367B1">
            <w:pPr>
              <w:spacing w:after="0" w:line="240" w:lineRule="auto"/>
              <w:jc w:val="both"/>
              <w:rPr>
                <w:rFonts w:ascii="Calibri" w:eastAsia="Times New Roman" w:hAnsi="Calibri" w:cs="Calibri"/>
                <w:color w:val="000000"/>
                <w:sz w:val="20"/>
                <w:szCs w:val="20"/>
              </w:rPr>
            </w:pPr>
            <w:r w:rsidRPr="00F55FFA">
              <w:rPr>
                <w:rFonts w:ascii="Calibri" w:eastAsia="Times New Roman" w:hAnsi="Calibri" w:cs="Calibri"/>
                <w:color w:val="000000"/>
                <w:sz w:val="20"/>
                <w:szCs w:val="20"/>
              </w:rPr>
              <w:t>$</w:t>
            </w:r>
            <w:r>
              <w:rPr>
                <w:rFonts w:ascii="Calibri" w:eastAsia="Times New Roman" w:hAnsi="Calibri" w:cs="Calibri"/>
                <w:color w:val="000000"/>
                <w:sz w:val="20"/>
                <w:szCs w:val="20"/>
              </w:rPr>
              <w:t>3,0</w:t>
            </w:r>
            <w:r w:rsidRPr="00F55FFA">
              <w:rPr>
                <w:rFonts w:ascii="Calibri" w:eastAsia="Times New Roman" w:hAnsi="Calibri" w:cs="Calibri"/>
                <w:color w:val="000000"/>
                <w:sz w:val="20"/>
                <w:szCs w:val="20"/>
              </w:rPr>
              <w:t>00</w:t>
            </w:r>
          </w:p>
        </w:tc>
        <w:tc>
          <w:tcPr>
            <w:tcW w:w="1116" w:type="dxa"/>
            <w:tcBorders>
              <w:top w:val="nil"/>
              <w:left w:val="nil"/>
              <w:bottom w:val="single" w:sz="4" w:space="0" w:color="auto"/>
              <w:right w:val="single" w:sz="4" w:space="0" w:color="auto"/>
            </w:tcBorders>
            <w:shd w:val="clear" w:color="auto" w:fill="auto"/>
            <w:vAlign w:val="center"/>
          </w:tcPr>
          <w:p w:rsidR="00081DD8" w:rsidRPr="00F55FFA" w:rsidRDefault="00081DD8" w:rsidP="00081DD8">
            <w:pPr>
              <w:spacing w:after="0" w:line="240" w:lineRule="auto"/>
              <w:jc w:val="both"/>
              <w:rPr>
                <w:rFonts w:ascii="Calibri" w:eastAsia="Times New Roman" w:hAnsi="Calibri" w:cs="Calibri"/>
                <w:color w:val="000000"/>
                <w:sz w:val="20"/>
                <w:szCs w:val="20"/>
              </w:rPr>
            </w:pPr>
            <w:r w:rsidRPr="00F55FFA">
              <w:rPr>
                <w:rFonts w:ascii="Calibri" w:eastAsia="Times New Roman" w:hAnsi="Calibri" w:cs="Calibri"/>
                <w:color w:val="000000"/>
                <w:sz w:val="20"/>
                <w:szCs w:val="20"/>
              </w:rPr>
              <w:t>$</w:t>
            </w:r>
            <w:r>
              <w:rPr>
                <w:rFonts w:ascii="Calibri" w:eastAsia="Times New Roman" w:hAnsi="Calibri" w:cs="Calibri"/>
                <w:color w:val="000000"/>
                <w:sz w:val="20"/>
                <w:szCs w:val="20"/>
              </w:rPr>
              <w:t>3,0</w:t>
            </w:r>
            <w:r w:rsidRPr="00F55FFA">
              <w:rPr>
                <w:rFonts w:ascii="Calibri" w:eastAsia="Times New Roman" w:hAnsi="Calibri" w:cs="Calibri"/>
                <w:color w:val="000000"/>
                <w:sz w:val="20"/>
                <w:szCs w:val="20"/>
              </w:rPr>
              <w:t>00</w:t>
            </w:r>
          </w:p>
        </w:tc>
        <w:tc>
          <w:tcPr>
            <w:tcW w:w="1116" w:type="dxa"/>
            <w:tcBorders>
              <w:top w:val="nil"/>
              <w:left w:val="nil"/>
              <w:bottom w:val="single" w:sz="4" w:space="0" w:color="auto"/>
              <w:right w:val="single" w:sz="4" w:space="0" w:color="auto"/>
            </w:tcBorders>
            <w:shd w:val="clear" w:color="auto" w:fill="auto"/>
            <w:vAlign w:val="center"/>
          </w:tcPr>
          <w:p w:rsidR="00081DD8" w:rsidRPr="00F55FFA" w:rsidRDefault="00081DD8" w:rsidP="00FE1BC9">
            <w:pPr>
              <w:spacing w:after="0" w:line="240" w:lineRule="auto"/>
              <w:jc w:val="both"/>
              <w:rPr>
                <w:rFonts w:ascii="Calibri" w:eastAsia="Times New Roman" w:hAnsi="Calibri" w:cs="Calibri"/>
                <w:color w:val="000000"/>
                <w:sz w:val="20"/>
                <w:szCs w:val="20"/>
              </w:rPr>
            </w:pPr>
            <w:r w:rsidRPr="00F55FFA">
              <w:rPr>
                <w:rFonts w:ascii="Calibri" w:eastAsia="Times New Roman" w:hAnsi="Calibri" w:cs="Calibri"/>
                <w:color w:val="000000"/>
                <w:sz w:val="20"/>
                <w:szCs w:val="20"/>
              </w:rPr>
              <w:t>$7,500</w:t>
            </w:r>
          </w:p>
        </w:tc>
        <w:tc>
          <w:tcPr>
            <w:tcW w:w="1116" w:type="dxa"/>
            <w:tcBorders>
              <w:top w:val="nil"/>
              <w:left w:val="nil"/>
              <w:bottom w:val="single" w:sz="4" w:space="0" w:color="auto"/>
              <w:right w:val="single" w:sz="4" w:space="0" w:color="auto"/>
            </w:tcBorders>
            <w:vAlign w:val="center"/>
          </w:tcPr>
          <w:p w:rsidR="00081DD8" w:rsidRPr="00F55FFA" w:rsidRDefault="00081DD8" w:rsidP="00F55FFA">
            <w:pPr>
              <w:spacing w:after="0" w:line="240" w:lineRule="auto"/>
              <w:ind w:firstLine="12"/>
              <w:jc w:val="both"/>
              <w:rPr>
                <w:rFonts w:ascii="Calibri" w:eastAsia="Times New Roman" w:hAnsi="Calibri" w:cs="Calibri"/>
                <w:color w:val="000000"/>
                <w:sz w:val="20"/>
                <w:szCs w:val="20"/>
              </w:rPr>
            </w:pPr>
            <w:r w:rsidRPr="00F55FFA">
              <w:rPr>
                <w:rFonts w:ascii="Calibri" w:eastAsia="Times New Roman" w:hAnsi="Calibri" w:cs="Calibri"/>
                <w:color w:val="000000"/>
                <w:sz w:val="20"/>
                <w:szCs w:val="20"/>
              </w:rPr>
              <w:t>$15,000</w:t>
            </w:r>
          </w:p>
        </w:tc>
        <w:tc>
          <w:tcPr>
            <w:tcW w:w="1116" w:type="dxa"/>
            <w:tcBorders>
              <w:top w:val="nil"/>
              <w:left w:val="nil"/>
              <w:bottom w:val="single" w:sz="4" w:space="0" w:color="auto"/>
              <w:right w:val="single" w:sz="4" w:space="0" w:color="auto"/>
            </w:tcBorders>
            <w:vAlign w:val="center"/>
          </w:tcPr>
          <w:p w:rsidR="00081DD8" w:rsidRPr="00F55FFA" w:rsidRDefault="00081DD8" w:rsidP="00F55FFA">
            <w:pPr>
              <w:spacing w:after="0" w:line="240" w:lineRule="auto"/>
              <w:jc w:val="both"/>
              <w:rPr>
                <w:rFonts w:ascii="Calibri" w:eastAsia="Times New Roman" w:hAnsi="Calibri" w:cs="Calibri"/>
                <w:color w:val="000000"/>
                <w:sz w:val="20"/>
                <w:szCs w:val="20"/>
              </w:rPr>
            </w:pPr>
            <w:r w:rsidRPr="00F55FFA">
              <w:rPr>
                <w:rFonts w:ascii="Calibri" w:eastAsia="Times New Roman" w:hAnsi="Calibri" w:cs="Calibri"/>
                <w:color w:val="000000"/>
                <w:sz w:val="20"/>
                <w:szCs w:val="20"/>
              </w:rPr>
              <w:t>$22,500</w:t>
            </w:r>
          </w:p>
        </w:tc>
      </w:tr>
      <w:tr w:rsidR="00081DD8" w:rsidRPr="00F55FFA" w:rsidTr="00081DD8">
        <w:trPr>
          <w:trHeight w:hRule="exact" w:val="288"/>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rsidR="00081DD8" w:rsidRPr="00F55FFA" w:rsidRDefault="00081DD8" w:rsidP="00F55FFA">
            <w:pPr>
              <w:jc w:val="both"/>
              <w:rPr>
                <w:rFonts w:ascii="Calibri" w:eastAsia="Times New Roman" w:hAnsi="Calibri" w:cs="Calibri"/>
                <w:color w:val="000000"/>
                <w:sz w:val="20"/>
                <w:szCs w:val="20"/>
              </w:rPr>
            </w:pPr>
            <w:r w:rsidRPr="00F55FFA">
              <w:rPr>
                <w:rFonts w:ascii="Calibri" w:eastAsia="Times New Roman" w:hAnsi="Calibri" w:cs="Calibri"/>
                <w:color w:val="000000"/>
                <w:sz w:val="20"/>
                <w:szCs w:val="20"/>
              </w:rPr>
              <w:t xml:space="preserve">Traditional Research </w:t>
            </w:r>
          </w:p>
        </w:tc>
        <w:tc>
          <w:tcPr>
            <w:tcW w:w="1116" w:type="dxa"/>
            <w:tcBorders>
              <w:top w:val="nil"/>
              <w:left w:val="nil"/>
              <w:bottom w:val="single" w:sz="4" w:space="0" w:color="auto"/>
              <w:right w:val="single" w:sz="4" w:space="0" w:color="auto"/>
            </w:tcBorders>
            <w:shd w:val="clear" w:color="auto" w:fill="auto"/>
            <w:noWrap/>
            <w:vAlign w:val="center"/>
            <w:hideMark/>
          </w:tcPr>
          <w:p w:rsidR="00081DD8" w:rsidRPr="00F55FFA" w:rsidRDefault="00081DD8" w:rsidP="00081DD8">
            <w:pPr>
              <w:spacing w:after="0" w:line="240" w:lineRule="auto"/>
              <w:jc w:val="both"/>
              <w:rPr>
                <w:rFonts w:ascii="Calibri" w:eastAsia="Times New Roman" w:hAnsi="Calibri" w:cs="Calibri"/>
                <w:color w:val="000000"/>
                <w:sz w:val="20"/>
                <w:szCs w:val="20"/>
              </w:rPr>
            </w:pPr>
            <w:r w:rsidRPr="00F55FFA">
              <w:rPr>
                <w:rFonts w:ascii="Calibri" w:eastAsia="Times New Roman" w:hAnsi="Calibri" w:cs="Calibri"/>
                <w:color w:val="000000"/>
                <w:sz w:val="20"/>
                <w:szCs w:val="20"/>
              </w:rPr>
              <w:t>$</w:t>
            </w:r>
            <w:r>
              <w:rPr>
                <w:rFonts w:ascii="Calibri" w:eastAsia="Times New Roman" w:hAnsi="Calibri" w:cs="Calibri"/>
                <w:color w:val="000000"/>
                <w:sz w:val="20"/>
                <w:szCs w:val="20"/>
              </w:rPr>
              <w:t>7</w:t>
            </w:r>
            <w:r w:rsidRPr="00F55FFA">
              <w:rPr>
                <w:rFonts w:ascii="Calibri" w:eastAsia="Times New Roman" w:hAnsi="Calibri" w:cs="Calibri"/>
                <w:color w:val="000000"/>
                <w:sz w:val="20"/>
                <w:szCs w:val="20"/>
              </w:rPr>
              <w:t>,500</w:t>
            </w:r>
          </w:p>
        </w:tc>
        <w:tc>
          <w:tcPr>
            <w:tcW w:w="1116" w:type="dxa"/>
            <w:tcBorders>
              <w:top w:val="nil"/>
              <w:left w:val="nil"/>
              <w:bottom w:val="single" w:sz="4" w:space="0" w:color="auto"/>
              <w:right w:val="single" w:sz="4" w:space="0" w:color="auto"/>
            </w:tcBorders>
            <w:shd w:val="clear" w:color="auto" w:fill="auto"/>
            <w:vAlign w:val="center"/>
          </w:tcPr>
          <w:p w:rsidR="00081DD8" w:rsidRPr="00F55FFA" w:rsidRDefault="00081DD8" w:rsidP="00081DD8">
            <w:pPr>
              <w:spacing w:after="0" w:line="240" w:lineRule="auto"/>
              <w:jc w:val="both"/>
              <w:rPr>
                <w:rFonts w:ascii="Calibri" w:eastAsia="Times New Roman" w:hAnsi="Calibri" w:cs="Calibri"/>
                <w:color w:val="000000"/>
                <w:sz w:val="20"/>
                <w:szCs w:val="20"/>
              </w:rPr>
            </w:pPr>
            <w:r w:rsidRPr="00F55FFA">
              <w:rPr>
                <w:rFonts w:ascii="Calibri" w:eastAsia="Times New Roman" w:hAnsi="Calibri" w:cs="Calibri"/>
                <w:color w:val="000000"/>
                <w:sz w:val="20"/>
                <w:szCs w:val="20"/>
              </w:rPr>
              <w:t>$</w:t>
            </w:r>
            <w:r>
              <w:rPr>
                <w:rFonts w:ascii="Calibri" w:eastAsia="Times New Roman" w:hAnsi="Calibri" w:cs="Calibri"/>
                <w:color w:val="000000"/>
                <w:sz w:val="20"/>
                <w:szCs w:val="20"/>
              </w:rPr>
              <w:t>10</w:t>
            </w:r>
            <w:r w:rsidRPr="00F55FFA">
              <w:rPr>
                <w:rFonts w:ascii="Calibri" w:eastAsia="Times New Roman" w:hAnsi="Calibri" w:cs="Calibri"/>
                <w:color w:val="000000"/>
                <w:sz w:val="20"/>
                <w:szCs w:val="20"/>
              </w:rPr>
              <w:t>,500</w:t>
            </w:r>
          </w:p>
        </w:tc>
        <w:tc>
          <w:tcPr>
            <w:tcW w:w="1116" w:type="dxa"/>
            <w:tcBorders>
              <w:top w:val="nil"/>
              <w:left w:val="nil"/>
              <w:bottom w:val="single" w:sz="4" w:space="0" w:color="auto"/>
              <w:right w:val="single" w:sz="4" w:space="0" w:color="auto"/>
            </w:tcBorders>
            <w:shd w:val="clear" w:color="auto" w:fill="auto"/>
            <w:vAlign w:val="center"/>
          </w:tcPr>
          <w:p w:rsidR="00081DD8" w:rsidRPr="00F55FFA" w:rsidRDefault="00081DD8" w:rsidP="00FE1BC9">
            <w:pPr>
              <w:spacing w:after="0" w:line="240" w:lineRule="auto"/>
              <w:jc w:val="both"/>
              <w:rPr>
                <w:rFonts w:ascii="Calibri" w:eastAsia="Times New Roman" w:hAnsi="Calibri" w:cs="Calibri"/>
                <w:color w:val="000000"/>
                <w:sz w:val="20"/>
                <w:szCs w:val="20"/>
              </w:rPr>
            </w:pPr>
            <w:r w:rsidRPr="00F55FFA">
              <w:rPr>
                <w:rFonts w:ascii="Calibri" w:eastAsia="Times New Roman" w:hAnsi="Calibri" w:cs="Calibri"/>
                <w:color w:val="000000"/>
                <w:sz w:val="20"/>
                <w:szCs w:val="20"/>
              </w:rPr>
              <w:t>$5,500</w:t>
            </w:r>
          </w:p>
        </w:tc>
        <w:tc>
          <w:tcPr>
            <w:tcW w:w="1116" w:type="dxa"/>
            <w:tcBorders>
              <w:top w:val="nil"/>
              <w:left w:val="nil"/>
              <w:bottom w:val="single" w:sz="4" w:space="0" w:color="auto"/>
              <w:right w:val="single" w:sz="4" w:space="0" w:color="auto"/>
            </w:tcBorders>
            <w:vAlign w:val="center"/>
          </w:tcPr>
          <w:p w:rsidR="00081DD8" w:rsidRPr="00F55FFA" w:rsidRDefault="00081DD8" w:rsidP="00F55FFA">
            <w:pPr>
              <w:spacing w:after="0" w:line="240" w:lineRule="auto"/>
              <w:ind w:firstLine="12"/>
              <w:jc w:val="both"/>
              <w:rPr>
                <w:rFonts w:ascii="Calibri" w:eastAsia="Times New Roman" w:hAnsi="Calibri" w:cs="Calibri"/>
                <w:color w:val="000000"/>
                <w:sz w:val="20"/>
                <w:szCs w:val="20"/>
              </w:rPr>
            </w:pPr>
            <w:r w:rsidRPr="00F55FFA">
              <w:rPr>
                <w:rFonts w:ascii="Calibri" w:eastAsia="Times New Roman" w:hAnsi="Calibri" w:cs="Calibri"/>
                <w:color w:val="000000"/>
                <w:sz w:val="20"/>
                <w:szCs w:val="20"/>
              </w:rPr>
              <w:t>$11,000</w:t>
            </w:r>
          </w:p>
        </w:tc>
        <w:tc>
          <w:tcPr>
            <w:tcW w:w="1116" w:type="dxa"/>
            <w:tcBorders>
              <w:top w:val="nil"/>
              <w:left w:val="nil"/>
              <w:bottom w:val="single" w:sz="4" w:space="0" w:color="auto"/>
              <w:right w:val="single" w:sz="4" w:space="0" w:color="auto"/>
            </w:tcBorders>
            <w:vAlign w:val="center"/>
          </w:tcPr>
          <w:p w:rsidR="00081DD8" w:rsidRPr="00F55FFA" w:rsidRDefault="00081DD8" w:rsidP="00F55FFA">
            <w:pPr>
              <w:spacing w:after="0" w:line="240" w:lineRule="auto"/>
              <w:jc w:val="both"/>
              <w:rPr>
                <w:rFonts w:ascii="Calibri" w:eastAsia="Times New Roman" w:hAnsi="Calibri" w:cs="Calibri"/>
                <w:color w:val="000000"/>
                <w:sz w:val="20"/>
                <w:szCs w:val="20"/>
              </w:rPr>
            </w:pPr>
            <w:r w:rsidRPr="00F55FFA">
              <w:rPr>
                <w:rFonts w:ascii="Calibri" w:eastAsia="Times New Roman" w:hAnsi="Calibri" w:cs="Calibri"/>
                <w:color w:val="000000"/>
                <w:sz w:val="20"/>
                <w:szCs w:val="20"/>
              </w:rPr>
              <w:t>$16,500</w:t>
            </w:r>
          </w:p>
        </w:tc>
      </w:tr>
      <w:tr w:rsidR="00081DD8" w:rsidRPr="00F55FFA" w:rsidTr="00081DD8">
        <w:trPr>
          <w:trHeight w:hRule="exact" w:val="288"/>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rsidR="00081DD8" w:rsidRPr="00F55FFA" w:rsidRDefault="00081DD8" w:rsidP="00F55FFA">
            <w:pPr>
              <w:jc w:val="both"/>
              <w:rPr>
                <w:rFonts w:ascii="Calibri" w:eastAsia="Times New Roman" w:hAnsi="Calibri" w:cs="Calibri"/>
                <w:color w:val="000000"/>
                <w:sz w:val="20"/>
                <w:szCs w:val="20"/>
              </w:rPr>
            </w:pPr>
            <w:r w:rsidRPr="00F55FFA">
              <w:rPr>
                <w:rFonts w:ascii="Calibri" w:eastAsia="Times New Roman" w:hAnsi="Calibri" w:cs="Calibri"/>
                <w:color w:val="000000"/>
                <w:sz w:val="20"/>
                <w:szCs w:val="20"/>
              </w:rPr>
              <w:t>Professional Training</w:t>
            </w:r>
          </w:p>
        </w:tc>
        <w:tc>
          <w:tcPr>
            <w:tcW w:w="1116" w:type="dxa"/>
            <w:tcBorders>
              <w:top w:val="nil"/>
              <w:left w:val="nil"/>
              <w:bottom w:val="single" w:sz="4" w:space="0" w:color="auto"/>
              <w:right w:val="single" w:sz="4" w:space="0" w:color="auto"/>
            </w:tcBorders>
            <w:shd w:val="clear" w:color="auto" w:fill="auto"/>
            <w:noWrap/>
            <w:vAlign w:val="center"/>
            <w:hideMark/>
          </w:tcPr>
          <w:p w:rsidR="00081DD8" w:rsidRPr="00F55FFA" w:rsidRDefault="00081DD8" w:rsidP="00081DD8">
            <w:pPr>
              <w:spacing w:after="0" w:line="240" w:lineRule="auto"/>
              <w:jc w:val="both"/>
              <w:rPr>
                <w:rFonts w:ascii="Calibri" w:eastAsia="Times New Roman" w:hAnsi="Calibri" w:cs="Calibri"/>
                <w:color w:val="000000"/>
                <w:sz w:val="20"/>
                <w:szCs w:val="20"/>
              </w:rPr>
            </w:pPr>
            <w:r>
              <w:rPr>
                <w:rFonts w:ascii="Calibri" w:eastAsia="Times New Roman" w:hAnsi="Calibri" w:cs="Calibri"/>
                <w:color w:val="000000"/>
                <w:sz w:val="20"/>
                <w:szCs w:val="20"/>
              </w:rPr>
              <w:t>$9,0</w:t>
            </w:r>
            <w:r w:rsidRPr="00F55FFA">
              <w:rPr>
                <w:rFonts w:ascii="Calibri" w:eastAsia="Times New Roman" w:hAnsi="Calibri" w:cs="Calibri"/>
                <w:color w:val="000000"/>
                <w:sz w:val="20"/>
                <w:szCs w:val="20"/>
              </w:rPr>
              <w:t>00</w:t>
            </w:r>
          </w:p>
        </w:tc>
        <w:tc>
          <w:tcPr>
            <w:tcW w:w="1116" w:type="dxa"/>
            <w:tcBorders>
              <w:top w:val="nil"/>
              <w:left w:val="nil"/>
              <w:bottom w:val="single" w:sz="4" w:space="0" w:color="auto"/>
              <w:right w:val="single" w:sz="4" w:space="0" w:color="auto"/>
            </w:tcBorders>
            <w:shd w:val="clear" w:color="auto" w:fill="auto"/>
            <w:vAlign w:val="center"/>
          </w:tcPr>
          <w:p w:rsidR="00081DD8" w:rsidRPr="00F55FFA" w:rsidRDefault="00081DD8" w:rsidP="00081DD8">
            <w:pPr>
              <w:spacing w:after="0" w:line="240" w:lineRule="auto"/>
              <w:jc w:val="both"/>
              <w:rPr>
                <w:rFonts w:ascii="Calibri" w:eastAsia="Times New Roman" w:hAnsi="Calibri" w:cs="Calibri"/>
                <w:color w:val="000000"/>
                <w:sz w:val="20"/>
                <w:szCs w:val="20"/>
              </w:rPr>
            </w:pPr>
            <w:r>
              <w:rPr>
                <w:rFonts w:ascii="Calibri" w:eastAsia="Times New Roman" w:hAnsi="Calibri" w:cs="Calibri"/>
                <w:color w:val="000000"/>
                <w:sz w:val="20"/>
                <w:szCs w:val="20"/>
              </w:rPr>
              <w:t>$7,0</w:t>
            </w:r>
            <w:r w:rsidRPr="00F55FFA">
              <w:rPr>
                <w:rFonts w:ascii="Calibri" w:eastAsia="Times New Roman" w:hAnsi="Calibri" w:cs="Calibri"/>
                <w:color w:val="000000"/>
                <w:sz w:val="20"/>
                <w:szCs w:val="20"/>
              </w:rPr>
              <w:t>00</w:t>
            </w:r>
          </w:p>
        </w:tc>
        <w:tc>
          <w:tcPr>
            <w:tcW w:w="1116" w:type="dxa"/>
            <w:tcBorders>
              <w:top w:val="nil"/>
              <w:left w:val="nil"/>
              <w:bottom w:val="single" w:sz="4" w:space="0" w:color="auto"/>
              <w:right w:val="single" w:sz="4" w:space="0" w:color="auto"/>
            </w:tcBorders>
            <w:shd w:val="clear" w:color="auto" w:fill="auto"/>
            <w:vAlign w:val="center"/>
          </w:tcPr>
          <w:p w:rsidR="00081DD8" w:rsidRPr="00F55FFA" w:rsidRDefault="00081DD8" w:rsidP="00FE1BC9">
            <w:pPr>
              <w:spacing w:after="0" w:line="240" w:lineRule="auto"/>
              <w:jc w:val="both"/>
              <w:rPr>
                <w:rFonts w:ascii="Calibri" w:eastAsia="Times New Roman" w:hAnsi="Calibri" w:cs="Calibri"/>
                <w:color w:val="000000"/>
                <w:sz w:val="20"/>
                <w:szCs w:val="20"/>
              </w:rPr>
            </w:pPr>
            <w:r>
              <w:rPr>
                <w:rFonts w:ascii="Calibri" w:eastAsia="Times New Roman" w:hAnsi="Calibri" w:cs="Calibri"/>
                <w:color w:val="000000"/>
                <w:sz w:val="20"/>
                <w:szCs w:val="20"/>
              </w:rPr>
              <w:t>$12,5</w:t>
            </w:r>
            <w:r w:rsidRPr="00F55FFA">
              <w:rPr>
                <w:rFonts w:ascii="Calibri" w:eastAsia="Times New Roman" w:hAnsi="Calibri" w:cs="Calibri"/>
                <w:color w:val="000000"/>
                <w:sz w:val="20"/>
                <w:szCs w:val="20"/>
              </w:rPr>
              <w:t>00</w:t>
            </w:r>
          </w:p>
        </w:tc>
        <w:tc>
          <w:tcPr>
            <w:tcW w:w="1116" w:type="dxa"/>
            <w:tcBorders>
              <w:top w:val="nil"/>
              <w:left w:val="nil"/>
              <w:bottom w:val="single" w:sz="4" w:space="0" w:color="auto"/>
              <w:right w:val="single" w:sz="4" w:space="0" w:color="auto"/>
            </w:tcBorders>
            <w:vAlign w:val="center"/>
          </w:tcPr>
          <w:p w:rsidR="00081DD8" w:rsidRPr="00F55FFA" w:rsidRDefault="00081DD8" w:rsidP="00F55FFA">
            <w:pPr>
              <w:spacing w:after="0" w:line="240" w:lineRule="auto"/>
              <w:ind w:firstLine="12"/>
              <w:jc w:val="both"/>
              <w:rPr>
                <w:rFonts w:ascii="Calibri" w:eastAsia="Times New Roman" w:hAnsi="Calibri" w:cs="Calibri"/>
                <w:color w:val="000000"/>
                <w:sz w:val="20"/>
                <w:szCs w:val="20"/>
              </w:rPr>
            </w:pPr>
            <w:r>
              <w:rPr>
                <w:rFonts w:ascii="Calibri" w:eastAsia="Times New Roman" w:hAnsi="Calibri" w:cs="Calibri"/>
                <w:color w:val="000000"/>
                <w:sz w:val="20"/>
                <w:szCs w:val="20"/>
              </w:rPr>
              <w:t>$25</w:t>
            </w:r>
            <w:r w:rsidRPr="00F55FFA">
              <w:rPr>
                <w:rFonts w:ascii="Calibri" w:eastAsia="Times New Roman" w:hAnsi="Calibri" w:cs="Calibri"/>
                <w:color w:val="000000"/>
                <w:sz w:val="20"/>
                <w:szCs w:val="20"/>
              </w:rPr>
              <w:t>,000</w:t>
            </w:r>
          </w:p>
        </w:tc>
        <w:tc>
          <w:tcPr>
            <w:tcW w:w="1116" w:type="dxa"/>
            <w:tcBorders>
              <w:top w:val="nil"/>
              <w:left w:val="nil"/>
              <w:bottom w:val="single" w:sz="4" w:space="0" w:color="auto"/>
              <w:right w:val="single" w:sz="4" w:space="0" w:color="auto"/>
            </w:tcBorders>
            <w:vAlign w:val="center"/>
          </w:tcPr>
          <w:p w:rsidR="00081DD8" w:rsidRPr="00F55FFA" w:rsidRDefault="00081DD8" w:rsidP="00F55FFA">
            <w:pPr>
              <w:spacing w:after="0" w:line="240" w:lineRule="auto"/>
              <w:jc w:val="both"/>
              <w:rPr>
                <w:rFonts w:ascii="Calibri" w:eastAsia="Times New Roman" w:hAnsi="Calibri" w:cs="Calibri"/>
                <w:color w:val="000000"/>
                <w:sz w:val="20"/>
                <w:szCs w:val="20"/>
              </w:rPr>
            </w:pPr>
            <w:r>
              <w:rPr>
                <w:rFonts w:ascii="Calibri" w:eastAsia="Times New Roman" w:hAnsi="Calibri" w:cs="Calibri"/>
                <w:color w:val="000000"/>
                <w:sz w:val="20"/>
                <w:szCs w:val="20"/>
              </w:rPr>
              <w:t>$37,5</w:t>
            </w:r>
            <w:r w:rsidRPr="00F55FFA">
              <w:rPr>
                <w:rFonts w:ascii="Calibri" w:eastAsia="Times New Roman" w:hAnsi="Calibri" w:cs="Calibri"/>
                <w:color w:val="000000"/>
                <w:sz w:val="20"/>
                <w:szCs w:val="20"/>
              </w:rPr>
              <w:t>00</w:t>
            </w:r>
          </w:p>
        </w:tc>
      </w:tr>
      <w:tr w:rsidR="00081DD8" w:rsidRPr="00F55FFA" w:rsidTr="00081DD8">
        <w:trPr>
          <w:trHeight w:hRule="exact" w:val="288"/>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rsidR="00081DD8" w:rsidRPr="00F55FFA" w:rsidRDefault="00081DD8" w:rsidP="00F55FFA">
            <w:pPr>
              <w:jc w:val="both"/>
              <w:rPr>
                <w:rFonts w:ascii="Calibri" w:eastAsia="Times New Roman" w:hAnsi="Calibri" w:cs="Calibri"/>
                <w:color w:val="000000"/>
                <w:sz w:val="20"/>
                <w:szCs w:val="20"/>
              </w:rPr>
            </w:pPr>
            <w:r w:rsidRPr="00F55FFA">
              <w:rPr>
                <w:rFonts w:ascii="Calibri" w:eastAsia="Times New Roman" w:hAnsi="Calibri" w:cs="Calibri"/>
                <w:color w:val="000000"/>
                <w:sz w:val="20"/>
                <w:szCs w:val="20"/>
              </w:rPr>
              <w:t>Database and access to Distributed Expertise Network (DEN)</w:t>
            </w:r>
            <w:r w:rsidRPr="00F55FFA">
              <w:rPr>
                <w:rFonts w:ascii="Calibri" w:eastAsia="Times New Roman" w:hAnsi="Calibri" w:cs="Calibri"/>
                <w:color w:val="000000"/>
                <w:sz w:val="20"/>
                <w:szCs w:val="20"/>
                <w:vertAlign w:val="superscript"/>
              </w:rPr>
              <w:t>4</w:t>
            </w:r>
          </w:p>
        </w:tc>
        <w:tc>
          <w:tcPr>
            <w:tcW w:w="1116" w:type="dxa"/>
            <w:tcBorders>
              <w:top w:val="nil"/>
              <w:left w:val="nil"/>
              <w:bottom w:val="single" w:sz="4" w:space="0" w:color="auto"/>
              <w:right w:val="single" w:sz="4" w:space="0" w:color="auto"/>
            </w:tcBorders>
            <w:shd w:val="clear" w:color="auto" w:fill="auto"/>
            <w:noWrap/>
            <w:vAlign w:val="center"/>
            <w:hideMark/>
          </w:tcPr>
          <w:p w:rsidR="00081DD8" w:rsidRPr="00F55FFA" w:rsidRDefault="00081DD8" w:rsidP="00081DD8">
            <w:pPr>
              <w:spacing w:after="0" w:line="240" w:lineRule="auto"/>
              <w:jc w:val="both"/>
              <w:rPr>
                <w:rFonts w:ascii="Calibri" w:eastAsia="Times New Roman" w:hAnsi="Calibri" w:cs="Calibri"/>
                <w:color w:val="000000"/>
                <w:sz w:val="20"/>
                <w:szCs w:val="20"/>
              </w:rPr>
            </w:pPr>
            <w:r w:rsidRPr="00F55FFA">
              <w:rPr>
                <w:rFonts w:ascii="Calibri" w:eastAsia="Times New Roman" w:hAnsi="Calibri" w:cs="Calibri"/>
                <w:color w:val="000000"/>
                <w:sz w:val="20"/>
                <w:szCs w:val="20"/>
              </w:rPr>
              <w:t>$</w:t>
            </w:r>
            <w:r>
              <w:rPr>
                <w:rFonts w:ascii="Calibri" w:eastAsia="Times New Roman" w:hAnsi="Calibri" w:cs="Calibri"/>
                <w:color w:val="000000"/>
                <w:sz w:val="20"/>
                <w:szCs w:val="20"/>
              </w:rPr>
              <w:t>3,0</w:t>
            </w:r>
            <w:r w:rsidRPr="00F55FFA">
              <w:rPr>
                <w:rFonts w:ascii="Calibri" w:eastAsia="Times New Roman" w:hAnsi="Calibri" w:cs="Calibri"/>
                <w:color w:val="000000"/>
                <w:sz w:val="20"/>
                <w:szCs w:val="20"/>
              </w:rPr>
              <w:t>00</w:t>
            </w:r>
          </w:p>
        </w:tc>
        <w:tc>
          <w:tcPr>
            <w:tcW w:w="1116" w:type="dxa"/>
            <w:tcBorders>
              <w:top w:val="nil"/>
              <w:left w:val="nil"/>
              <w:bottom w:val="single" w:sz="4" w:space="0" w:color="auto"/>
              <w:right w:val="single" w:sz="4" w:space="0" w:color="auto"/>
            </w:tcBorders>
            <w:shd w:val="clear" w:color="auto" w:fill="auto"/>
            <w:vAlign w:val="center"/>
          </w:tcPr>
          <w:p w:rsidR="00081DD8" w:rsidRPr="00F55FFA" w:rsidRDefault="00081DD8" w:rsidP="00081DD8">
            <w:pPr>
              <w:spacing w:after="0" w:line="240" w:lineRule="auto"/>
              <w:jc w:val="both"/>
              <w:rPr>
                <w:rFonts w:ascii="Calibri" w:eastAsia="Times New Roman" w:hAnsi="Calibri" w:cs="Calibri"/>
                <w:color w:val="000000"/>
                <w:sz w:val="20"/>
                <w:szCs w:val="20"/>
              </w:rPr>
            </w:pPr>
            <w:r w:rsidRPr="00F55FFA">
              <w:rPr>
                <w:rFonts w:ascii="Calibri" w:eastAsia="Times New Roman" w:hAnsi="Calibri" w:cs="Calibri"/>
                <w:color w:val="000000"/>
                <w:sz w:val="20"/>
                <w:szCs w:val="20"/>
              </w:rPr>
              <w:t>$</w:t>
            </w:r>
            <w:r>
              <w:rPr>
                <w:rFonts w:ascii="Calibri" w:eastAsia="Times New Roman" w:hAnsi="Calibri" w:cs="Calibri"/>
                <w:color w:val="000000"/>
                <w:sz w:val="20"/>
                <w:szCs w:val="20"/>
              </w:rPr>
              <w:t>4,0</w:t>
            </w:r>
            <w:r w:rsidRPr="00F55FFA">
              <w:rPr>
                <w:rFonts w:ascii="Calibri" w:eastAsia="Times New Roman" w:hAnsi="Calibri" w:cs="Calibri"/>
                <w:color w:val="000000"/>
                <w:sz w:val="20"/>
                <w:szCs w:val="20"/>
              </w:rPr>
              <w:t>00</w:t>
            </w:r>
          </w:p>
        </w:tc>
        <w:tc>
          <w:tcPr>
            <w:tcW w:w="1116" w:type="dxa"/>
            <w:tcBorders>
              <w:top w:val="nil"/>
              <w:left w:val="nil"/>
              <w:bottom w:val="single" w:sz="4" w:space="0" w:color="auto"/>
              <w:right w:val="single" w:sz="4" w:space="0" w:color="auto"/>
            </w:tcBorders>
            <w:shd w:val="clear" w:color="auto" w:fill="auto"/>
            <w:vAlign w:val="center"/>
          </w:tcPr>
          <w:p w:rsidR="00081DD8" w:rsidRPr="00F55FFA" w:rsidRDefault="00081DD8" w:rsidP="00FE1BC9">
            <w:pPr>
              <w:spacing w:after="0" w:line="240" w:lineRule="auto"/>
              <w:jc w:val="both"/>
              <w:rPr>
                <w:rFonts w:ascii="Calibri" w:eastAsia="Times New Roman" w:hAnsi="Calibri" w:cs="Calibri"/>
                <w:color w:val="000000"/>
                <w:sz w:val="20"/>
                <w:szCs w:val="20"/>
              </w:rPr>
            </w:pPr>
            <w:r w:rsidRPr="00F55FFA">
              <w:rPr>
                <w:rFonts w:ascii="Calibri" w:eastAsia="Times New Roman" w:hAnsi="Calibri" w:cs="Calibri"/>
                <w:color w:val="000000"/>
                <w:sz w:val="20"/>
                <w:szCs w:val="20"/>
              </w:rPr>
              <w:t>$5,500</w:t>
            </w:r>
          </w:p>
        </w:tc>
        <w:tc>
          <w:tcPr>
            <w:tcW w:w="1116" w:type="dxa"/>
            <w:tcBorders>
              <w:top w:val="nil"/>
              <w:left w:val="nil"/>
              <w:bottom w:val="single" w:sz="4" w:space="0" w:color="auto"/>
              <w:right w:val="single" w:sz="4" w:space="0" w:color="auto"/>
            </w:tcBorders>
            <w:vAlign w:val="center"/>
          </w:tcPr>
          <w:p w:rsidR="00081DD8" w:rsidRPr="00F55FFA" w:rsidRDefault="00081DD8" w:rsidP="00F55FFA">
            <w:pPr>
              <w:spacing w:after="0" w:line="240" w:lineRule="auto"/>
              <w:ind w:firstLine="12"/>
              <w:jc w:val="both"/>
              <w:rPr>
                <w:rFonts w:ascii="Calibri" w:eastAsia="Times New Roman" w:hAnsi="Calibri" w:cs="Calibri"/>
                <w:color w:val="000000"/>
                <w:sz w:val="20"/>
                <w:szCs w:val="20"/>
              </w:rPr>
            </w:pPr>
            <w:r w:rsidRPr="00F55FFA">
              <w:rPr>
                <w:rFonts w:ascii="Calibri" w:eastAsia="Times New Roman" w:hAnsi="Calibri" w:cs="Calibri"/>
                <w:color w:val="000000"/>
                <w:sz w:val="20"/>
                <w:szCs w:val="20"/>
              </w:rPr>
              <w:t>$11,000</w:t>
            </w:r>
          </w:p>
        </w:tc>
        <w:tc>
          <w:tcPr>
            <w:tcW w:w="1116" w:type="dxa"/>
            <w:tcBorders>
              <w:top w:val="nil"/>
              <w:left w:val="nil"/>
              <w:bottom w:val="single" w:sz="4" w:space="0" w:color="auto"/>
              <w:right w:val="single" w:sz="4" w:space="0" w:color="auto"/>
            </w:tcBorders>
            <w:vAlign w:val="center"/>
          </w:tcPr>
          <w:p w:rsidR="00081DD8" w:rsidRPr="00F55FFA" w:rsidRDefault="00081DD8" w:rsidP="00F55FFA">
            <w:pPr>
              <w:spacing w:after="0" w:line="240" w:lineRule="auto"/>
              <w:jc w:val="both"/>
              <w:rPr>
                <w:rFonts w:ascii="Calibri" w:eastAsia="Times New Roman" w:hAnsi="Calibri" w:cs="Calibri"/>
                <w:color w:val="000000"/>
                <w:sz w:val="20"/>
                <w:szCs w:val="20"/>
              </w:rPr>
            </w:pPr>
            <w:r w:rsidRPr="00F55FFA">
              <w:rPr>
                <w:rFonts w:ascii="Calibri" w:eastAsia="Times New Roman" w:hAnsi="Calibri" w:cs="Calibri"/>
                <w:color w:val="000000"/>
                <w:sz w:val="20"/>
                <w:szCs w:val="20"/>
              </w:rPr>
              <w:t>$16,500</w:t>
            </w:r>
          </w:p>
        </w:tc>
      </w:tr>
      <w:tr w:rsidR="00081DD8" w:rsidRPr="00F55FFA" w:rsidTr="00081DD8">
        <w:trPr>
          <w:trHeight w:val="576"/>
        </w:trPr>
        <w:tc>
          <w:tcPr>
            <w:tcW w:w="3780" w:type="dxa"/>
            <w:tcBorders>
              <w:top w:val="nil"/>
              <w:left w:val="single" w:sz="4" w:space="0" w:color="auto"/>
              <w:bottom w:val="double" w:sz="4" w:space="0" w:color="auto"/>
              <w:right w:val="single" w:sz="4" w:space="0" w:color="auto"/>
            </w:tcBorders>
            <w:shd w:val="clear" w:color="auto" w:fill="auto"/>
            <w:noWrap/>
            <w:vAlign w:val="center"/>
            <w:hideMark/>
          </w:tcPr>
          <w:p w:rsidR="00081DD8" w:rsidRPr="00F55FFA" w:rsidRDefault="00081DD8" w:rsidP="00F55FFA">
            <w:pPr>
              <w:jc w:val="both"/>
              <w:rPr>
                <w:rFonts w:ascii="Calibri" w:eastAsia="Times New Roman" w:hAnsi="Calibri" w:cs="Calibri"/>
                <w:color w:val="000000"/>
                <w:sz w:val="20"/>
                <w:szCs w:val="20"/>
              </w:rPr>
            </w:pPr>
            <w:r w:rsidRPr="00F55FFA">
              <w:rPr>
                <w:rFonts w:ascii="Calibri" w:eastAsia="Times New Roman" w:hAnsi="Calibri" w:cs="Calibri"/>
                <w:color w:val="000000"/>
                <w:sz w:val="20"/>
                <w:szCs w:val="20"/>
              </w:rPr>
              <w:t>Development and Maintenance of Bridge Component Gallery at Purdue University</w:t>
            </w:r>
          </w:p>
        </w:tc>
        <w:tc>
          <w:tcPr>
            <w:tcW w:w="1116" w:type="dxa"/>
            <w:tcBorders>
              <w:top w:val="nil"/>
              <w:left w:val="nil"/>
              <w:bottom w:val="double" w:sz="4" w:space="0" w:color="auto"/>
              <w:right w:val="single" w:sz="4" w:space="0" w:color="auto"/>
            </w:tcBorders>
            <w:shd w:val="clear" w:color="auto" w:fill="auto"/>
            <w:noWrap/>
            <w:vAlign w:val="center"/>
            <w:hideMark/>
          </w:tcPr>
          <w:p w:rsidR="00081DD8" w:rsidRPr="00F55FFA" w:rsidRDefault="00081DD8" w:rsidP="00081DD8">
            <w:pPr>
              <w:spacing w:after="0" w:line="240" w:lineRule="auto"/>
              <w:jc w:val="both"/>
              <w:rPr>
                <w:rFonts w:ascii="Calibri" w:eastAsia="Times New Roman" w:hAnsi="Calibri" w:cs="Calibri"/>
                <w:color w:val="000000"/>
                <w:sz w:val="20"/>
                <w:szCs w:val="20"/>
              </w:rPr>
            </w:pPr>
            <w:r>
              <w:rPr>
                <w:rFonts w:ascii="Calibri" w:eastAsia="Times New Roman" w:hAnsi="Calibri" w:cs="Calibri"/>
                <w:color w:val="000000"/>
                <w:sz w:val="20"/>
                <w:szCs w:val="20"/>
              </w:rPr>
              <w:t>$5,0</w:t>
            </w:r>
            <w:r w:rsidRPr="00F55FFA">
              <w:rPr>
                <w:rFonts w:ascii="Calibri" w:eastAsia="Times New Roman" w:hAnsi="Calibri" w:cs="Calibri"/>
                <w:color w:val="000000"/>
                <w:sz w:val="20"/>
                <w:szCs w:val="20"/>
              </w:rPr>
              <w:t>00</w:t>
            </w:r>
          </w:p>
        </w:tc>
        <w:tc>
          <w:tcPr>
            <w:tcW w:w="1116" w:type="dxa"/>
            <w:tcBorders>
              <w:top w:val="nil"/>
              <w:left w:val="nil"/>
              <w:bottom w:val="double" w:sz="4" w:space="0" w:color="auto"/>
              <w:right w:val="single" w:sz="4" w:space="0" w:color="auto"/>
            </w:tcBorders>
            <w:shd w:val="clear" w:color="auto" w:fill="auto"/>
            <w:vAlign w:val="center"/>
          </w:tcPr>
          <w:p w:rsidR="00081DD8" w:rsidRPr="00F55FFA" w:rsidRDefault="00081DD8" w:rsidP="00081DD8">
            <w:pPr>
              <w:spacing w:after="0" w:line="240" w:lineRule="auto"/>
              <w:jc w:val="both"/>
              <w:rPr>
                <w:rFonts w:ascii="Calibri" w:eastAsia="Times New Roman" w:hAnsi="Calibri" w:cs="Calibri"/>
                <w:color w:val="000000"/>
                <w:sz w:val="20"/>
                <w:szCs w:val="20"/>
              </w:rPr>
            </w:pPr>
            <w:r>
              <w:rPr>
                <w:rFonts w:ascii="Calibri" w:eastAsia="Times New Roman" w:hAnsi="Calibri" w:cs="Calibri"/>
                <w:color w:val="000000"/>
                <w:sz w:val="20"/>
                <w:szCs w:val="20"/>
              </w:rPr>
              <w:t>$2,5</w:t>
            </w:r>
            <w:r w:rsidRPr="00F55FFA">
              <w:rPr>
                <w:rFonts w:ascii="Calibri" w:eastAsia="Times New Roman" w:hAnsi="Calibri" w:cs="Calibri"/>
                <w:color w:val="000000"/>
                <w:sz w:val="20"/>
                <w:szCs w:val="20"/>
              </w:rPr>
              <w:t>00</w:t>
            </w:r>
          </w:p>
        </w:tc>
        <w:tc>
          <w:tcPr>
            <w:tcW w:w="1116" w:type="dxa"/>
            <w:tcBorders>
              <w:top w:val="nil"/>
              <w:left w:val="nil"/>
              <w:bottom w:val="double" w:sz="4" w:space="0" w:color="auto"/>
              <w:right w:val="single" w:sz="4" w:space="0" w:color="auto"/>
            </w:tcBorders>
            <w:shd w:val="clear" w:color="auto" w:fill="auto"/>
            <w:vAlign w:val="center"/>
          </w:tcPr>
          <w:p w:rsidR="00081DD8" w:rsidRPr="00F55FFA" w:rsidRDefault="00081DD8" w:rsidP="00FE1BC9">
            <w:pPr>
              <w:spacing w:after="0" w:line="240" w:lineRule="auto"/>
              <w:jc w:val="both"/>
              <w:rPr>
                <w:rFonts w:ascii="Calibri" w:eastAsia="Times New Roman" w:hAnsi="Calibri" w:cs="Calibri"/>
                <w:color w:val="000000"/>
                <w:sz w:val="20"/>
                <w:szCs w:val="20"/>
              </w:rPr>
            </w:pPr>
            <w:r>
              <w:rPr>
                <w:rFonts w:ascii="Calibri" w:eastAsia="Times New Roman" w:hAnsi="Calibri" w:cs="Calibri"/>
                <w:color w:val="000000"/>
                <w:sz w:val="20"/>
                <w:szCs w:val="20"/>
              </w:rPr>
              <w:t>$15,0</w:t>
            </w:r>
            <w:r w:rsidRPr="00F55FFA">
              <w:rPr>
                <w:rFonts w:ascii="Calibri" w:eastAsia="Times New Roman" w:hAnsi="Calibri" w:cs="Calibri"/>
                <w:color w:val="000000"/>
                <w:sz w:val="20"/>
                <w:szCs w:val="20"/>
              </w:rPr>
              <w:t>00</w:t>
            </w:r>
          </w:p>
        </w:tc>
        <w:tc>
          <w:tcPr>
            <w:tcW w:w="1116" w:type="dxa"/>
            <w:tcBorders>
              <w:top w:val="nil"/>
              <w:left w:val="nil"/>
              <w:bottom w:val="double" w:sz="4" w:space="0" w:color="auto"/>
              <w:right w:val="single" w:sz="4" w:space="0" w:color="auto"/>
            </w:tcBorders>
            <w:vAlign w:val="center"/>
          </w:tcPr>
          <w:p w:rsidR="00081DD8" w:rsidRPr="00F55FFA" w:rsidRDefault="00081DD8" w:rsidP="00F55FFA">
            <w:pPr>
              <w:spacing w:after="0" w:line="240" w:lineRule="auto"/>
              <w:ind w:firstLine="12"/>
              <w:jc w:val="both"/>
              <w:rPr>
                <w:rFonts w:ascii="Calibri" w:eastAsia="Times New Roman" w:hAnsi="Calibri" w:cs="Calibri"/>
                <w:color w:val="000000"/>
                <w:sz w:val="20"/>
                <w:szCs w:val="20"/>
              </w:rPr>
            </w:pPr>
            <w:r>
              <w:rPr>
                <w:rFonts w:ascii="Calibri" w:eastAsia="Times New Roman" w:hAnsi="Calibri" w:cs="Calibri"/>
                <w:color w:val="000000"/>
                <w:sz w:val="20"/>
                <w:szCs w:val="20"/>
              </w:rPr>
              <w:t>$30</w:t>
            </w:r>
            <w:r w:rsidRPr="00F55FFA">
              <w:rPr>
                <w:rFonts w:ascii="Calibri" w:eastAsia="Times New Roman" w:hAnsi="Calibri" w:cs="Calibri"/>
                <w:color w:val="000000"/>
                <w:sz w:val="20"/>
                <w:szCs w:val="20"/>
              </w:rPr>
              <w:t>,000</w:t>
            </w:r>
          </w:p>
        </w:tc>
        <w:tc>
          <w:tcPr>
            <w:tcW w:w="1116" w:type="dxa"/>
            <w:tcBorders>
              <w:top w:val="nil"/>
              <w:left w:val="nil"/>
              <w:bottom w:val="double" w:sz="4" w:space="0" w:color="auto"/>
              <w:right w:val="single" w:sz="4" w:space="0" w:color="auto"/>
            </w:tcBorders>
            <w:vAlign w:val="center"/>
          </w:tcPr>
          <w:p w:rsidR="00081DD8" w:rsidRPr="00F55FFA" w:rsidRDefault="00081DD8" w:rsidP="00F55FFA">
            <w:pPr>
              <w:spacing w:after="0" w:line="240" w:lineRule="auto"/>
              <w:jc w:val="both"/>
              <w:rPr>
                <w:rFonts w:ascii="Calibri" w:eastAsia="Times New Roman" w:hAnsi="Calibri" w:cs="Calibri"/>
                <w:color w:val="000000"/>
                <w:sz w:val="20"/>
                <w:szCs w:val="20"/>
              </w:rPr>
            </w:pPr>
            <w:r>
              <w:rPr>
                <w:rFonts w:ascii="Calibri" w:eastAsia="Times New Roman" w:hAnsi="Calibri" w:cs="Calibri"/>
                <w:color w:val="000000"/>
                <w:sz w:val="20"/>
                <w:szCs w:val="20"/>
              </w:rPr>
              <w:t>$45,0</w:t>
            </w:r>
            <w:r w:rsidRPr="00F55FFA">
              <w:rPr>
                <w:rFonts w:ascii="Calibri" w:eastAsia="Times New Roman" w:hAnsi="Calibri" w:cs="Calibri"/>
                <w:color w:val="000000"/>
                <w:sz w:val="20"/>
                <w:szCs w:val="20"/>
              </w:rPr>
              <w:t>00</w:t>
            </w:r>
          </w:p>
        </w:tc>
      </w:tr>
      <w:tr w:rsidR="00081DD8" w:rsidRPr="00F55FFA" w:rsidTr="00081DD8">
        <w:trPr>
          <w:trHeight w:val="300"/>
        </w:trPr>
        <w:tc>
          <w:tcPr>
            <w:tcW w:w="3780"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081DD8" w:rsidRPr="00F55FFA" w:rsidRDefault="00081DD8" w:rsidP="00F55FFA">
            <w:pPr>
              <w:spacing w:after="0" w:line="240" w:lineRule="auto"/>
              <w:ind w:firstLine="360"/>
              <w:jc w:val="both"/>
              <w:rPr>
                <w:rFonts w:ascii="Calibri" w:eastAsia="Times New Roman" w:hAnsi="Calibri" w:cs="Calibri"/>
                <w:color w:val="000000"/>
                <w:sz w:val="20"/>
                <w:szCs w:val="20"/>
              </w:rPr>
            </w:pPr>
            <w:r w:rsidRPr="00F55FFA">
              <w:rPr>
                <w:rFonts w:ascii="Calibri" w:eastAsia="Times New Roman" w:hAnsi="Calibri" w:cs="Calibri"/>
                <w:color w:val="000000"/>
                <w:sz w:val="20"/>
                <w:szCs w:val="20"/>
              </w:rPr>
              <w:t>Yearly Commitment</w:t>
            </w:r>
          </w:p>
        </w:tc>
        <w:tc>
          <w:tcPr>
            <w:tcW w:w="1116" w:type="dxa"/>
            <w:tcBorders>
              <w:top w:val="double" w:sz="4" w:space="0" w:color="auto"/>
              <w:left w:val="nil"/>
              <w:bottom w:val="single" w:sz="4" w:space="0" w:color="auto"/>
              <w:right w:val="single" w:sz="4" w:space="0" w:color="auto"/>
            </w:tcBorders>
            <w:shd w:val="clear" w:color="auto" w:fill="auto"/>
            <w:noWrap/>
            <w:vAlign w:val="center"/>
            <w:hideMark/>
          </w:tcPr>
          <w:p w:rsidR="00081DD8" w:rsidRPr="00F55FFA" w:rsidRDefault="00081DD8" w:rsidP="004367B1">
            <w:pPr>
              <w:spacing w:after="0" w:line="240" w:lineRule="auto"/>
              <w:jc w:val="both"/>
              <w:rPr>
                <w:rFonts w:ascii="Calibri" w:eastAsia="Times New Roman" w:hAnsi="Calibri" w:cs="Calibri"/>
                <w:color w:val="000000"/>
                <w:sz w:val="20"/>
                <w:szCs w:val="20"/>
              </w:rPr>
            </w:pPr>
            <w:r w:rsidRPr="00F55FFA">
              <w:rPr>
                <w:rFonts w:ascii="Calibri" w:eastAsia="Times New Roman" w:hAnsi="Calibri" w:cs="Calibri"/>
                <w:color w:val="000000"/>
                <w:sz w:val="20"/>
                <w:szCs w:val="20"/>
              </w:rPr>
              <w:t>$50,000</w:t>
            </w:r>
          </w:p>
        </w:tc>
        <w:tc>
          <w:tcPr>
            <w:tcW w:w="1116" w:type="dxa"/>
            <w:tcBorders>
              <w:top w:val="double" w:sz="4" w:space="0" w:color="auto"/>
              <w:left w:val="nil"/>
              <w:bottom w:val="single" w:sz="4" w:space="0" w:color="auto"/>
              <w:right w:val="single" w:sz="4" w:space="0" w:color="auto"/>
            </w:tcBorders>
            <w:shd w:val="clear" w:color="auto" w:fill="auto"/>
            <w:vAlign w:val="center"/>
          </w:tcPr>
          <w:p w:rsidR="00081DD8" w:rsidRPr="00F55FFA" w:rsidRDefault="00081DD8" w:rsidP="00081DD8">
            <w:pPr>
              <w:spacing w:after="0" w:line="240" w:lineRule="auto"/>
              <w:jc w:val="both"/>
              <w:rPr>
                <w:rFonts w:ascii="Calibri" w:eastAsia="Times New Roman" w:hAnsi="Calibri" w:cs="Calibri"/>
                <w:color w:val="000000"/>
                <w:sz w:val="20"/>
                <w:szCs w:val="20"/>
              </w:rPr>
            </w:pPr>
            <w:r w:rsidRPr="00F55FFA">
              <w:rPr>
                <w:rFonts w:ascii="Calibri" w:eastAsia="Times New Roman" w:hAnsi="Calibri" w:cs="Calibri"/>
                <w:color w:val="000000"/>
                <w:sz w:val="20"/>
                <w:szCs w:val="20"/>
              </w:rPr>
              <w:t>$</w:t>
            </w:r>
            <w:r>
              <w:rPr>
                <w:rFonts w:ascii="Calibri" w:eastAsia="Times New Roman" w:hAnsi="Calibri" w:cs="Calibri"/>
                <w:color w:val="000000"/>
                <w:sz w:val="20"/>
                <w:szCs w:val="20"/>
              </w:rPr>
              <w:t>3</w:t>
            </w:r>
            <w:r w:rsidRPr="00F55FFA">
              <w:rPr>
                <w:rFonts w:ascii="Calibri" w:eastAsia="Times New Roman" w:hAnsi="Calibri" w:cs="Calibri"/>
                <w:color w:val="000000"/>
                <w:sz w:val="20"/>
                <w:szCs w:val="20"/>
              </w:rPr>
              <w:t>0,000</w:t>
            </w:r>
          </w:p>
        </w:tc>
        <w:tc>
          <w:tcPr>
            <w:tcW w:w="1116" w:type="dxa"/>
            <w:tcBorders>
              <w:top w:val="double" w:sz="4" w:space="0" w:color="auto"/>
              <w:left w:val="nil"/>
              <w:bottom w:val="single" w:sz="4" w:space="0" w:color="auto"/>
              <w:right w:val="single" w:sz="4" w:space="0" w:color="auto"/>
            </w:tcBorders>
            <w:shd w:val="clear" w:color="auto" w:fill="auto"/>
            <w:vAlign w:val="center"/>
          </w:tcPr>
          <w:p w:rsidR="00081DD8" w:rsidRPr="00F55FFA" w:rsidRDefault="00081DD8" w:rsidP="00FE1BC9">
            <w:pPr>
              <w:spacing w:after="0" w:line="240" w:lineRule="auto"/>
              <w:jc w:val="both"/>
              <w:rPr>
                <w:rFonts w:ascii="Calibri" w:eastAsia="Times New Roman" w:hAnsi="Calibri" w:cs="Calibri"/>
                <w:color w:val="000000"/>
                <w:sz w:val="20"/>
                <w:szCs w:val="20"/>
              </w:rPr>
            </w:pPr>
            <w:r w:rsidRPr="00F55FFA">
              <w:rPr>
                <w:rFonts w:ascii="Calibri" w:eastAsia="Times New Roman" w:hAnsi="Calibri" w:cs="Calibri"/>
                <w:color w:val="000000"/>
                <w:sz w:val="20"/>
                <w:szCs w:val="20"/>
              </w:rPr>
              <w:t>$50,000</w:t>
            </w:r>
          </w:p>
        </w:tc>
        <w:tc>
          <w:tcPr>
            <w:tcW w:w="1116" w:type="dxa"/>
            <w:tcBorders>
              <w:top w:val="double" w:sz="4" w:space="0" w:color="auto"/>
              <w:left w:val="nil"/>
              <w:bottom w:val="single" w:sz="4" w:space="0" w:color="auto"/>
              <w:right w:val="single" w:sz="4" w:space="0" w:color="auto"/>
            </w:tcBorders>
            <w:vAlign w:val="center"/>
          </w:tcPr>
          <w:p w:rsidR="00081DD8" w:rsidRPr="00F55FFA" w:rsidRDefault="00081DD8" w:rsidP="00F55FFA">
            <w:pPr>
              <w:spacing w:after="0" w:line="240" w:lineRule="auto"/>
              <w:ind w:firstLine="12"/>
              <w:jc w:val="both"/>
              <w:rPr>
                <w:rFonts w:ascii="Calibri" w:eastAsia="Times New Roman" w:hAnsi="Calibri" w:cs="Calibri"/>
                <w:color w:val="000000"/>
                <w:sz w:val="20"/>
                <w:szCs w:val="20"/>
              </w:rPr>
            </w:pPr>
            <w:r w:rsidRPr="00F55FFA">
              <w:rPr>
                <w:rFonts w:ascii="Calibri" w:eastAsia="Times New Roman" w:hAnsi="Calibri" w:cs="Calibri"/>
                <w:color w:val="000000"/>
                <w:sz w:val="20"/>
                <w:szCs w:val="20"/>
              </w:rPr>
              <w:t>$100,000</w:t>
            </w:r>
          </w:p>
        </w:tc>
        <w:tc>
          <w:tcPr>
            <w:tcW w:w="1116" w:type="dxa"/>
            <w:tcBorders>
              <w:top w:val="double" w:sz="4" w:space="0" w:color="auto"/>
              <w:left w:val="nil"/>
              <w:bottom w:val="single" w:sz="4" w:space="0" w:color="auto"/>
              <w:right w:val="single" w:sz="4" w:space="0" w:color="auto"/>
            </w:tcBorders>
            <w:vAlign w:val="center"/>
          </w:tcPr>
          <w:p w:rsidR="00081DD8" w:rsidRPr="00F55FFA" w:rsidRDefault="00081DD8" w:rsidP="00F55FFA">
            <w:pPr>
              <w:spacing w:after="0" w:line="240" w:lineRule="auto"/>
              <w:jc w:val="both"/>
              <w:rPr>
                <w:rFonts w:ascii="Calibri" w:eastAsia="Times New Roman" w:hAnsi="Calibri" w:cs="Calibri"/>
                <w:color w:val="000000"/>
                <w:sz w:val="20"/>
                <w:szCs w:val="20"/>
              </w:rPr>
            </w:pPr>
            <w:r w:rsidRPr="00F55FFA">
              <w:rPr>
                <w:rFonts w:ascii="Calibri" w:eastAsia="Times New Roman" w:hAnsi="Calibri" w:cs="Calibri"/>
                <w:color w:val="000000"/>
                <w:sz w:val="20"/>
                <w:szCs w:val="20"/>
              </w:rPr>
              <w:t>$150,000</w:t>
            </w:r>
          </w:p>
        </w:tc>
      </w:tr>
    </w:tbl>
    <w:p w:rsidR="009A2629" w:rsidRPr="00F55FFA" w:rsidRDefault="009A2629" w:rsidP="00F55FFA">
      <w:pPr>
        <w:pStyle w:val="NoSpacing"/>
        <w:jc w:val="both"/>
        <w:rPr>
          <w:rFonts w:cstheme="minorHAnsi"/>
          <w:sz w:val="20"/>
          <w:szCs w:val="20"/>
        </w:rPr>
      </w:pPr>
    </w:p>
    <w:p w:rsidR="0072002E" w:rsidRPr="005D46ED" w:rsidRDefault="0072002E" w:rsidP="00CF4192">
      <w:pPr>
        <w:pStyle w:val="NoSpacing"/>
        <w:ind w:left="360"/>
        <w:jc w:val="both"/>
        <w:rPr>
          <w:rFonts w:cstheme="minorHAnsi"/>
          <w:sz w:val="20"/>
          <w:szCs w:val="20"/>
        </w:rPr>
      </w:pPr>
    </w:p>
    <w:sectPr w:rsidR="0072002E" w:rsidRPr="005D46ED" w:rsidSect="002976C3">
      <w:headerReference w:type="default" r:id="rId8"/>
      <w:footerReference w:type="default" r:id="rId9"/>
      <w:pgSz w:w="12240" w:h="15840"/>
      <w:pgMar w:top="720" w:right="1296" w:bottom="72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C0C" w:rsidRDefault="00E12C0C" w:rsidP="00691646">
      <w:pPr>
        <w:spacing w:after="0" w:line="240" w:lineRule="auto"/>
      </w:pPr>
      <w:r>
        <w:separator/>
      </w:r>
    </w:p>
  </w:endnote>
  <w:endnote w:type="continuationSeparator" w:id="0">
    <w:p w:rsidR="00E12C0C" w:rsidRDefault="00E12C0C" w:rsidP="00691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02563"/>
      <w:docPartObj>
        <w:docPartGallery w:val="Page Numbers (Bottom of Page)"/>
        <w:docPartUnique/>
      </w:docPartObj>
    </w:sdtPr>
    <w:sdtEndPr>
      <w:rPr>
        <w:color w:val="7F7F7F" w:themeColor="background1" w:themeShade="7F"/>
        <w:spacing w:val="60"/>
      </w:rPr>
    </w:sdtEndPr>
    <w:sdtContent>
      <w:p w:rsidR="00691646" w:rsidRDefault="00772871">
        <w:pPr>
          <w:pStyle w:val="Footer"/>
          <w:pBdr>
            <w:top w:val="single" w:sz="4" w:space="1" w:color="D9D9D9" w:themeColor="background1" w:themeShade="D9"/>
          </w:pBdr>
          <w:jc w:val="right"/>
        </w:pPr>
        <w:r>
          <w:fldChar w:fldCharType="begin"/>
        </w:r>
        <w:r w:rsidR="00665D6E">
          <w:instrText xml:space="preserve"> PAGE   \* MERGEFORMAT </w:instrText>
        </w:r>
        <w:r>
          <w:fldChar w:fldCharType="separate"/>
        </w:r>
        <w:r w:rsidR="00720EF6">
          <w:rPr>
            <w:noProof/>
          </w:rPr>
          <w:t>2</w:t>
        </w:r>
        <w:r>
          <w:rPr>
            <w:noProof/>
          </w:rPr>
          <w:fldChar w:fldCharType="end"/>
        </w:r>
        <w:r w:rsidR="00691646">
          <w:t xml:space="preserve"> | </w:t>
        </w:r>
        <w:r w:rsidR="00691646">
          <w:rPr>
            <w:color w:val="7F7F7F" w:themeColor="background1" w:themeShade="7F"/>
            <w:spacing w:val="60"/>
          </w:rPr>
          <w:t>Page</w:t>
        </w:r>
      </w:p>
    </w:sdtContent>
  </w:sdt>
  <w:p w:rsidR="00691646" w:rsidRDefault="0069164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C0C" w:rsidRDefault="00E12C0C" w:rsidP="00691646">
      <w:pPr>
        <w:spacing w:after="0" w:line="240" w:lineRule="auto"/>
      </w:pPr>
      <w:r>
        <w:separator/>
      </w:r>
    </w:p>
  </w:footnote>
  <w:footnote w:type="continuationSeparator" w:id="0">
    <w:p w:rsidR="00E12C0C" w:rsidRDefault="00E12C0C" w:rsidP="00691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53A" w:rsidRDefault="0053053A">
    <w:pPr>
      <w:pStyle w:val="Header"/>
    </w:pPr>
    <w:r>
      <w:t xml:space="preserve">POSTING FOR </w:t>
    </w:r>
    <w:r w:rsidR="00B548EB" w:rsidRPr="00720EF6">
      <w:rPr>
        <w:u w:val="single"/>
      </w:rPr>
      <w:t>CONTINUATION</w:t>
    </w:r>
    <w:r w:rsidR="00B548EB">
      <w:t xml:space="preserve"> OF </w:t>
    </w:r>
    <w:proofErr w:type="spellStart"/>
    <w:r w:rsidR="00B548EB">
      <w:t>TPF</w:t>
    </w:r>
    <w:proofErr w:type="spellEnd"/>
    <w:r w:rsidR="00B548EB">
      <w:t xml:space="preserve">-5(281) </w:t>
    </w:r>
    <w:r>
      <w:t xml:space="preserve">POOLED FUND STUDY TO SUPPORT </w:t>
    </w:r>
    <w:proofErr w:type="spellStart"/>
    <w:r>
      <w:t>INDOT</w:t>
    </w:r>
    <w:proofErr w:type="spellEnd"/>
    <w:r>
      <w:t xml:space="preserve"> S-BRITE CENTER</w:t>
    </w:r>
  </w:p>
  <w:p w:rsidR="00B548EB" w:rsidRDefault="00B548E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4272F"/>
    <w:multiLevelType w:val="hybridMultilevel"/>
    <w:tmpl w:val="E250AEA8"/>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2BEE1012"/>
    <w:multiLevelType w:val="hybridMultilevel"/>
    <w:tmpl w:val="6A608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AAB49A4"/>
    <w:multiLevelType w:val="hybridMultilevel"/>
    <w:tmpl w:val="D0CEF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FF5EFA"/>
    <w:multiLevelType w:val="hybridMultilevel"/>
    <w:tmpl w:val="CE0E9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D414A04"/>
    <w:multiLevelType w:val="hybridMultilevel"/>
    <w:tmpl w:val="998AAD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ED612BD"/>
    <w:multiLevelType w:val="hybridMultilevel"/>
    <w:tmpl w:val="447CA7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36F5772"/>
    <w:multiLevelType w:val="hybridMultilevel"/>
    <w:tmpl w:val="D12AF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7372D0"/>
    <w:multiLevelType w:val="hybridMultilevel"/>
    <w:tmpl w:val="07803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FD5A95"/>
    <w:multiLevelType w:val="hybridMultilevel"/>
    <w:tmpl w:val="8E027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0F1276"/>
    <w:multiLevelType w:val="hybridMultilevel"/>
    <w:tmpl w:val="CE0635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66A1F57"/>
    <w:multiLevelType w:val="hybridMultilevel"/>
    <w:tmpl w:val="0A10867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7A223975"/>
    <w:multiLevelType w:val="hybridMultilevel"/>
    <w:tmpl w:val="E0444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1"/>
  </w:num>
  <w:num w:numId="5">
    <w:abstractNumId w:val="11"/>
  </w:num>
  <w:num w:numId="6">
    <w:abstractNumId w:val="1"/>
  </w:num>
  <w:num w:numId="7">
    <w:abstractNumId w:val="6"/>
  </w:num>
  <w:num w:numId="8">
    <w:abstractNumId w:val="10"/>
  </w:num>
  <w:num w:numId="9">
    <w:abstractNumId w:val="0"/>
  </w:num>
  <w:num w:numId="10">
    <w:abstractNumId w:val="2"/>
  </w:num>
  <w:num w:numId="11">
    <w:abstractNumId w:val="4"/>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2F7"/>
    <w:rsid w:val="00043CDE"/>
    <w:rsid w:val="000739BF"/>
    <w:rsid w:val="00081DD8"/>
    <w:rsid w:val="000E7C8B"/>
    <w:rsid w:val="001318B1"/>
    <w:rsid w:val="001420E9"/>
    <w:rsid w:val="00145EB9"/>
    <w:rsid w:val="001814B7"/>
    <w:rsid w:val="001B7417"/>
    <w:rsid w:val="001D0664"/>
    <w:rsid w:val="001F02F7"/>
    <w:rsid w:val="00211389"/>
    <w:rsid w:val="00222310"/>
    <w:rsid w:val="002976C3"/>
    <w:rsid w:val="003037D6"/>
    <w:rsid w:val="003B3123"/>
    <w:rsid w:val="003C51C3"/>
    <w:rsid w:val="003D7EC7"/>
    <w:rsid w:val="003E2508"/>
    <w:rsid w:val="003F3A02"/>
    <w:rsid w:val="00452F94"/>
    <w:rsid w:val="0045472E"/>
    <w:rsid w:val="00521BAA"/>
    <w:rsid w:val="00525782"/>
    <w:rsid w:val="0053053A"/>
    <w:rsid w:val="005621C1"/>
    <w:rsid w:val="005627B9"/>
    <w:rsid w:val="005D46ED"/>
    <w:rsid w:val="00665D6E"/>
    <w:rsid w:val="00691646"/>
    <w:rsid w:val="006B6AEF"/>
    <w:rsid w:val="006C3A0D"/>
    <w:rsid w:val="006D5E8C"/>
    <w:rsid w:val="0072002E"/>
    <w:rsid w:val="00720EF6"/>
    <w:rsid w:val="00751A9A"/>
    <w:rsid w:val="00772871"/>
    <w:rsid w:val="0078773B"/>
    <w:rsid w:val="007B2106"/>
    <w:rsid w:val="0082441C"/>
    <w:rsid w:val="00844A5B"/>
    <w:rsid w:val="008937D0"/>
    <w:rsid w:val="008A4012"/>
    <w:rsid w:val="00906E52"/>
    <w:rsid w:val="00974019"/>
    <w:rsid w:val="009A2629"/>
    <w:rsid w:val="00A42CFA"/>
    <w:rsid w:val="00A56109"/>
    <w:rsid w:val="00A64095"/>
    <w:rsid w:val="00A9381A"/>
    <w:rsid w:val="00AB0289"/>
    <w:rsid w:val="00B25EA6"/>
    <w:rsid w:val="00B548EB"/>
    <w:rsid w:val="00B64244"/>
    <w:rsid w:val="00B904B7"/>
    <w:rsid w:val="00BC040C"/>
    <w:rsid w:val="00BD4B57"/>
    <w:rsid w:val="00BE037F"/>
    <w:rsid w:val="00C20355"/>
    <w:rsid w:val="00C411FC"/>
    <w:rsid w:val="00CF4192"/>
    <w:rsid w:val="00CF63B2"/>
    <w:rsid w:val="00D735C8"/>
    <w:rsid w:val="00D96B86"/>
    <w:rsid w:val="00DB43D7"/>
    <w:rsid w:val="00DC620A"/>
    <w:rsid w:val="00E12C0C"/>
    <w:rsid w:val="00E20801"/>
    <w:rsid w:val="00E76811"/>
    <w:rsid w:val="00EF4CCE"/>
    <w:rsid w:val="00F11295"/>
    <w:rsid w:val="00F55FFA"/>
    <w:rsid w:val="00FF5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3E344"/>
  <w15:docId w15:val="{ABADB35A-08B4-4213-813A-EA87BE177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844A5B"/>
    <w:pPr>
      <w:keepNext/>
      <w:spacing w:after="0" w:line="240" w:lineRule="auto"/>
      <w:jc w:val="center"/>
      <w:outlineLvl w:val="1"/>
    </w:pPr>
    <w:rPr>
      <w:rFonts w:ascii="Arial" w:eastAsia="Times New Roman" w:hAnsi="Arial" w:cs="Arial"/>
      <w:b/>
      <w:i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02F7"/>
    <w:pPr>
      <w:spacing w:after="0" w:line="240" w:lineRule="auto"/>
    </w:pPr>
  </w:style>
  <w:style w:type="paragraph" w:styleId="ListParagraph">
    <w:name w:val="List Paragraph"/>
    <w:basedOn w:val="Normal"/>
    <w:uiPriority w:val="34"/>
    <w:qFormat/>
    <w:rsid w:val="00B904B7"/>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04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4B7"/>
    <w:rPr>
      <w:rFonts w:ascii="Tahoma" w:hAnsi="Tahoma" w:cs="Tahoma"/>
      <w:sz w:val="16"/>
      <w:szCs w:val="16"/>
    </w:rPr>
  </w:style>
  <w:style w:type="paragraph" w:styleId="BodyText3">
    <w:name w:val="Body Text 3"/>
    <w:basedOn w:val="Normal"/>
    <w:link w:val="BodyText3Char"/>
    <w:unhideWhenUsed/>
    <w:rsid w:val="005627B9"/>
    <w:pPr>
      <w:spacing w:after="0" w:line="240" w:lineRule="auto"/>
      <w:jc w:val="center"/>
    </w:pPr>
    <w:rPr>
      <w:rFonts w:ascii="Arial" w:eastAsia="Times New Roman" w:hAnsi="Arial" w:cs="Arial"/>
      <w:bCs/>
      <w:iCs/>
      <w:szCs w:val="24"/>
    </w:rPr>
  </w:style>
  <w:style w:type="character" w:customStyle="1" w:styleId="BodyText3Char">
    <w:name w:val="Body Text 3 Char"/>
    <w:basedOn w:val="DefaultParagraphFont"/>
    <w:link w:val="BodyText3"/>
    <w:rsid w:val="005627B9"/>
    <w:rPr>
      <w:rFonts w:ascii="Arial" w:eastAsia="Times New Roman" w:hAnsi="Arial" w:cs="Arial"/>
      <w:bCs/>
      <w:iCs/>
      <w:szCs w:val="24"/>
    </w:rPr>
  </w:style>
  <w:style w:type="paragraph" w:styleId="BodyText2">
    <w:name w:val="Body Text 2"/>
    <w:basedOn w:val="Normal"/>
    <w:link w:val="BodyText2Char"/>
    <w:uiPriority w:val="99"/>
    <w:semiHidden/>
    <w:unhideWhenUsed/>
    <w:rsid w:val="00844A5B"/>
    <w:pPr>
      <w:spacing w:after="120" w:line="480" w:lineRule="auto"/>
    </w:pPr>
  </w:style>
  <w:style w:type="character" w:customStyle="1" w:styleId="BodyText2Char">
    <w:name w:val="Body Text 2 Char"/>
    <w:basedOn w:val="DefaultParagraphFont"/>
    <w:link w:val="BodyText2"/>
    <w:uiPriority w:val="99"/>
    <w:semiHidden/>
    <w:rsid w:val="00844A5B"/>
  </w:style>
  <w:style w:type="character" w:customStyle="1" w:styleId="Heading2Char">
    <w:name w:val="Heading 2 Char"/>
    <w:basedOn w:val="DefaultParagraphFont"/>
    <w:link w:val="Heading2"/>
    <w:rsid w:val="00844A5B"/>
    <w:rPr>
      <w:rFonts w:ascii="Arial" w:eastAsia="Times New Roman" w:hAnsi="Arial" w:cs="Arial"/>
      <w:b/>
      <w:iCs/>
      <w:szCs w:val="24"/>
      <w:u w:val="single"/>
    </w:rPr>
  </w:style>
  <w:style w:type="paragraph" w:styleId="Header">
    <w:name w:val="header"/>
    <w:basedOn w:val="Normal"/>
    <w:link w:val="HeaderChar"/>
    <w:uiPriority w:val="99"/>
    <w:unhideWhenUsed/>
    <w:rsid w:val="006916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646"/>
  </w:style>
  <w:style w:type="paragraph" w:styleId="Footer">
    <w:name w:val="footer"/>
    <w:basedOn w:val="Normal"/>
    <w:link w:val="FooterChar"/>
    <w:uiPriority w:val="99"/>
    <w:unhideWhenUsed/>
    <w:rsid w:val="006916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646"/>
  </w:style>
  <w:style w:type="character" w:styleId="Hyperlink">
    <w:name w:val="Hyperlink"/>
    <w:basedOn w:val="DefaultParagraphFont"/>
    <w:uiPriority w:val="99"/>
    <w:unhideWhenUsed/>
    <w:rsid w:val="00B548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90366">
      <w:bodyDiv w:val="1"/>
      <w:marLeft w:val="0"/>
      <w:marRight w:val="0"/>
      <w:marTop w:val="0"/>
      <w:marBottom w:val="0"/>
      <w:divBdr>
        <w:top w:val="none" w:sz="0" w:space="0" w:color="auto"/>
        <w:left w:val="none" w:sz="0" w:space="0" w:color="auto"/>
        <w:bottom w:val="none" w:sz="0" w:space="0" w:color="auto"/>
        <w:right w:val="none" w:sz="0" w:space="0" w:color="auto"/>
      </w:divBdr>
    </w:div>
    <w:div w:id="142043458">
      <w:bodyDiv w:val="1"/>
      <w:marLeft w:val="0"/>
      <w:marRight w:val="0"/>
      <w:marTop w:val="0"/>
      <w:marBottom w:val="0"/>
      <w:divBdr>
        <w:top w:val="none" w:sz="0" w:space="0" w:color="auto"/>
        <w:left w:val="none" w:sz="0" w:space="0" w:color="auto"/>
        <w:bottom w:val="none" w:sz="0" w:space="0" w:color="auto"/>
        <w:right w:val="none" w:sz="0" w:space="0" w:color="auto"/>
      </w:divBdr>
    </w:div>
    <w:div w:id="278948978">
      <w:bodyDiv w:val="1"/>
      <w:marLeft w:val="0"/>
      <w:marRight w:val="0"/>
      <w:marTop w:val="0"/>
      <w:marBottom w:val="0"/>
      <w:divBdr>
        <w:top w:val="none" w:sz="0" w:space="0" w:color="auto"/>
        <w:left w:val="none" w:sz="0" w:space="0" w:color="auto"/>
        <w:bottom w:val="none" w:sz="0" w:space="0" w:color="auto"/>
        <w:right w:val="none" w:sz="0" w:space="0" w:color="auto"/>
      </w:divBdr>
    </w:div>
    <w:div w:id="898785996">
      <w:bodyDiv w:val="1"/>
      <w:marLeft w:val="0"/>
      <w:marRight w:val="0"/>
      <w:marTop w:val="0"/>
      <w:marBottom w:val="0"/>
      <w:divBdr>
        <w:top w:val="none" w:sz="0" w:space="0" w:color="auto"/>
        <w:left w:val="none" w:sz="0" w:space="0" w:color="auto"/>
        <w:bottom w:val="none" w:sz="0" w:space="0" w:color="auto"/>
        <w:right w:val="none" w:sz="0" w:space="0" w:color="auto"/>
      </w:divBdr>
    </w:div>
    <w:div w:id="902908650">
      <w:bodyDiv w:val="1"/>
      <w:marLeft w:val="0"/>
      <w:marRight w:val="0"/>
      <w:marTop w:val="0"/>
      <w:marBottom w:val="0"/>
      <w:divBdr>
        <w:top w:val="none" w:sz="0" w:space="0" w:color="auto"/>
        <w:left w:val="none" w:sz="0" w:space="0" w:color="auto"/>
        <w:bottom w:val="none" w:sz="0" w:space="0" w:color="auto"/>
        <w:right w:val="none" w:sz="0" w:space="0" w:color="auto"/>
      </w:divBdr>
    </w:div>
    <w:div w:id="1281450921">
      <w:bodyDiv w:val="1"/>
      <w:marLeft w:val="0"/>
      <w:marRight w:val="0"/>
      <w:marTop w:val="0"/>
      <w:marBottom w:val="0"/>
      <w:divBdr>
        <w:top w:val="none" w:sz="0" w:space="0" w:color="auto"/>
        <w:left w:val="none" w:sz="0" w:space="0" w:color="auto"/>
        <w:bottom w:val="none" w:sz="0" w:space="0" w:color="auto"/>
        <w:right w:val="none" w:sz="0" w:space="0" w:color="auto"/>
      </w:divBdr>
    </w:div>
    <w:div w:id="1708136948">
      <w:bodyDiv w:val="1"/>
      <w:marLeft w:val="0"/>
      <w:marRight w:val="0"/>
      <w:marTop w:val="0"/>
      <w:marBottom w:val="0"/>
      <w:divBdr>
        <w:top w:val="none" w:sz="0" w:space="0" w:color="auto"/>
        <w:left w:val="none" w:sz="0" w:space="0" w:color="auto"/>
        <w:bottom w:val="none" w:sz="0" w:space="0" w:color="auto"/>
        <w:right w:val="none" w:sz="0" w:space="0" w:color="auto"/>
      </w:divBdr>
    </w:div>
    <w:div w:id="211990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ngineering.purdue.edu/CAI/SBRITE/Facili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1785</Words>
  <Characters>10179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ncarbo</dc:creator>
  <cp:lastModifiedBy>Connor, Robert J</cp:lastModifiedBy>
  <cp:revision>3</cp:revision>
  <dcterms:created xsi:type="dcterms:W3CDTF">2021-06-15T18:18:00Z</dcterms:created>
  <dcterms:modified xsi:type="dcterms:W3CDTF">2021-06-15T18:18:00Z</dcterms:modified>
</cp:coreProperties>
</file>