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6476C7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2F7756" w:rsidRDefault="002F7756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F775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2F775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="00E51A89" w:rsidRPr="002F77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F40C47" w:rsidRDefault="00F40C47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40C4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F40C4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F40C47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F40C47">
              <w:rPr>
                <w:rFonts w:ascii="Arial" w:hAnsi="Arial" w:cs="Arial"/>
                <w:sz w:val="20"/>
                <w:szCs w:val="20"/>
              </w:rPr>
              <w:t>2</w:t>
            </w:r>
            <w:r w:rsid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F40C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71170E" w:rsidRDefault="0071170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170E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170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71170E">
              <w:rPr>
                <w:rFonts w:ascii="Arial" w:hAnsi="Arial" w:cs="Arial"/>
                <w:sz w:val="20"/>
                <w:szCs w:val="20"/>
              </w:rPr>
              <w:t>2</w:t>
            </w:r>
            <w:r w:rsid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2F7756" w:rsidRDefault="002F7756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F775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F77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2F7756">
              <w:rPr>
                <w:rFonts w:ascii="Arial" w:hAnsi="Arial" w:cs="Arial"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6476C7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921F6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F67" w:rsidRPr="006476C7"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6476C7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6476C7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921F6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No.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>
              <w:rPr>
                <w:rFonts w:ascii="Arial" w:hAnsi="Arial" w:cs="Arial"/>
                <w:sz w:val="20"/>
                <w:szCs w:val="20"/>
              </w:rPr>
              <w:t>21-8438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6476C7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6476C7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6476C7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4F10AD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F10AD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4F10A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F10AD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6476C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8A0" w:rsidRPr="006476C7" w:rsidRDefault="001D456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30, 2021 (2</w:t>
            </w:r>
            <w:r w:rsidRPr="001D456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EC4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EF3EC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6476C7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3EC4" w:rsidRPr="006476C7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EF3EC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contract: no mods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155E64">
              <w:rPr>
                <w:rFonts w:ascii="Arial" w:hAnsi="Arial" w:cs="Arial"/>
                <w:sz w:val="20"/>
                <w:szCs w:val="20"/>
              </w:rPr>
              <w:t>51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4</w:t>
            </w:r>
            <w:r w:rsidR="00155E64">
              <w:rPr>
                <w:rFonts w:ascii="Arial" w:hAnsi="Arial" w:cs="Arial"/>
                <w:sz w:val="20"/>
                <w:szCs w:val="20"/>
              </w:rPr>
              <w:t>70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5458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647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6476C7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6476C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333,141.33</w:t>
            </w:r>
          </w:p>
          <w:p w:rsidR="00921F67" w:rsidRPr="006476C7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5458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>
              <w:rPr>
                <w:rFonts w:ascii="Arial" w:hAnsi="Arial" w:cs="Arial"/>
                <w:sz w:val="20"/>
                <w:szCs w:val="20"/>
              </w:rPr>
              <w:t>urrent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contract amount = </w:t>
            </w:r>
            <w:r w:rsidR="00921F67" w:rsidRPr="00921F67">
              <w:rPr>
                <w:rFonts w:ascii="Arial" w:hAnsi="Arial" w:cs="Arial"/>
                <w:sz w:val="20"/>
                <w:szCs w:val="20"/>
              </w:rPr>
              <w:t>$93,281.57</w:t>
            </w:r>
          </w:p>
          <w:p w:rsidR="00097B59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$</w:t>
            </w:r>
            <w:r w:rsidR="00750767" w:rsidRPr="00750767">
              <w:rPr>
                <w:rFonts w:ascii="Arial" w:hAnsi="Arial" w:cs="Arial"/>
                <w:sz w:val="20"/>
                <w:szCs w:val="20"/>
              </w:rPr>
              <w:t>97,913.32</w:t>
            </w:r>
          </w:p>
        </w:tc>
        <w:tc>
          <w:tcPr>
            <w:tcW w:w="3330" w:type="dxa"/>
            <w:vAlign w:val="center"/>
          </w:tcPr>
          <w:p w:rsidR="000400FA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E0C6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DE0C63" w:rsidRPr="006476C7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</w:t>
            </w:r>
            <w:r w:rsidR="00D42B40" w:rsidRPr="00D42B40">
              <w:rPr>
                <w:rFonts w:ascii="Arial" w:hAnsi="Arial" w:cs="Arial"/>
                <w:sz w:val="20"/>
                <w:szCs w:val="20"/>
              </w:rPr>
              <w:t>9,263.91</w:t>
            </w:r>
            <w:r>
              <w:rPr>
                <w:rFonts w:ascii="Arial" w:hAnsi="Arial" w:cs="Arial"/>
                <w:sz w:val="20"/>
                <w:szCs w:val="20"/>
              </w:rPr>
              <w:t xml:space="preserve"> (from 2</w:t>
            </w:r>
            <w:r w:rsidRPr="00DE0C6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2F6C13" w:rsidRPr="006476C7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$5,242.85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6476C7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287724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F66FD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8772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287724" w:rsidRPr="00D42B40">
              <w:rPr>
                <w:rFonts w:ascii="Arial" w:hAnsi="Arial" w:cs="Arial"/>
                <w:sz w:val="20"/>
                <w:szCs w:val="20"/>
              </w:rPr>
              <w:t>9,263.91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(</w:t>
            </w:r>
            <w:r w:rsidR="00287724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28772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420" w:type="dxa"/>
          </w:tcPr>
          <w:p w:rsidR="000C209F" w:rsidRPr="006476C7" w:rsidRDefault="0028772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a new TPF study number in 2021. See </w:t>
            </w:r>
            <w:r w:rsidR="0073406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11731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1731" w:rsidRDefault="00E659E1" w:rsidP="00BE6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preparation for the Spring Board Meeting:</w:t>
            </w:r>
          </w:p>
          <w:p w:rsidR="00F738E3" w:rsidRDefault="00F738E3" w:rsidP="00BE61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AASHTO Standards were revised for review: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310, R 076, R 060, T 176, R 047, and T 355.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update to the Administration Manual was drafted.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update to the Strategic Plan was drafted.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idea of remotely proctored exams using a third-party for testing was investigated relative to funding and contracting.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Sampling location for air content of concrete was discussed as a result of Tyler Ley’s findings and reporting.</w:t>
            </w:r>
          </w:p>
          <w:p w:rsidR="007D73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new pooled fund, </w:t>
            </w:r>
            <w:r w:rsidRPr="00E659E1">
              <w:rPr>
                <w:rFonts w:ascii="Arial" w:hAnsi="Arial" w:cs="Arial"/>
                <w:sz w:val="20"/>
                <w:szCs w:val="20"/>
              </w:rPr>
              <w:t>TPF-5(476)</w:t>
            </w:r>
            <w:r>
              <w:rPr>
                <w:rFonts w:ascii="Arial" w:hAnsi="Arial" w:cs="Arial"/>
                <w:sz w:val="20"/>
                <w:szCs w:val="20"/>
              </w:rPr>
              <w:t>, was arranged and set up and preliminary efforts for funding transfers coordinated.</w:t>
            </w:r>
            <w:r w:rsidRPr="00611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38E3" w:rsidRPr="00611731" w:rsidRDefault="00F738E3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11731" w:rsidTr="003B3781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11731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117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11731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1731" w:rsidRPr="00611731" w:rsidRDefault="00E659E1" w:rsidP="00611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Executive Board meeting will meet on April 15 to discuss the recommendation from the QAC and provide further direction.  Initial funding transfers and the establishment of </w:t>
            </w:r>
            <w:r w:rsidRPr="00E659E1">
              <w:rPr>
                <w:rFonts w:ascii="Arial" w:hAnsi="Arial" w:cs="Arial"/>
                <w:sz w:val="20"/>
                <w:szCs w:val="20"/>
              </w:rPr>
              <w:t>TPF-5(476)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completed.  A task force will investigate the use of Prometric for remotely-proctored exams.</w:t>
            </w:r>
          </w:p>
          <w:p w:rsidR="00611731" w:rsidRPr="00611731" w:rsidRDefault="00611731" w:rsidP="006117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738E3" w:rsidRPr="00611731" w:rsidRDefault="00F738E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11731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7DC6" w:rsidRDefault="00E659E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Updates were drafted for the following documents: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AASTHO T 310, R 076, R 060, T 176, R 047, and T 355.</w:t>
            </w:r>
          </w:p>
          <w:p w:rsidR="00E659E1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Administration Manual.</w:t>
            </w:r>
          </w:p>
          <w:p w:rsidR="00450D59" w:rsidRDefault="00E659E1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Strategic Plan.</w:t>
            </w:r>
          </w:p>
          <w:p w:rsidR="00E659E1" w:rsidRDefault="00E659E1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 to a new pooled fund study, TPF-5(476), was authorized.</w:t>
            </w:r>
          </w:p>
          <w:p w:rsidR="00A66413" w:rsidRPr="006476C7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821B5C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25191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pandemic </w:t>
            </w:r>
            <w:r w:rsidR="00525191">
              <w:rPr>
                <w:rFonts w:ascii="Arial" w:hAnsi="Arial" w:cs="Arial"/>
                <w:sz w:val="20"/>
                <w:szCs w:val="20"/>
              </w:rPr>
              <w:t>red</w:t>
            </w:r>
            <w:r>
              <w:rPr>
                <w:rFonts w:ascii="Arial" w:hAnsi="Arial" w:cs="Arial"/>
                <w:sz w:val="20"/>
                <w:szCs w:val="20"/>
              </w:rPr>
              <w:t>uced ability to travel and meet in-person.</w:t>
            </w:r>
          </w:p>
          <w:p w:rsidR="001C55FF" w:rsidRPr="006476C7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</w:t>
            </w:r>
            <w:r w:rsidR="004A03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CA" w:rsidRDefault="005F00CA" w:rsidP="00106C83">
      <w:pPr>
        <w:spacing w:after="0" w:line="240" w:lineRule="auto"/>
      </w:pPr>
      <w:r>
        <w:separator/>
      </w:r>
    </w:p>
  </w:endnote>
  <w:endnote w:type="continuationSeparator" w:id="0">
    <w:p w:rsidR="005F00CA" w:rsidRDefault="005F00CA" w:rsidP="00106C83">
      <w:pPr>
        <w:spacing w:after="0" w:line="240" w:lineRule="auto"/>
      </w:pPr>
      <w:r>
        <w:continuationSeparator/>
      </w:r>
    </w:p>
  </w:endnote>
  <w:endnote w:type="continuationNotice" w:id="1">
    <w:p w:rsidR="005F00CA" w:rsidRDefault="005F0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CA" w:rsidRDefault="005F00CA" w:rsidP="00106C83">
      <w:pPr>
        <w:spacing w:after="0" w:line="240" w:lineRule="auto"/>
      </w:pPr>
      <w:r>
        <w:separator/>
      </w:r>
    </w:p>
  </w:footnote>
  <w:footnote w:type="continuationSeparator" w:id="0">
    <w:p w:rsidR="005F00CA" w:rsidRDefault="005F00CA" w:rsidP="00106C83">
      <w:pPr>
        <w:spacing w:after="0" w:line="240" w:lineRule="auto"/>
      </w:pPr>
      <w:r>
        <w:continuationSeparator/>
      </w:r>
    </w:p>
  </w:footnote>
  <w:footnote w:type="continuationNotice" w:id="1">
    <w:p w:rsidR="005F00CA" w:rsidRDefault="005F0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D3D42"/>
  <w15:docId w15:val="{8E73FBE2-683C-4FF7-9476-0F9DC02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931B-FCD9-425D-AA60-9E1DCA31B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2956C-0848-4A75-BC34-C970E621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4</cp:revision>
  <cp:lastPrinted>2011-06-21T20:32:00Z</cp:lastPrinted>
  <dcterms:created xsi:type="dcterms:W3CDTF">2021-05-10T22:12:00Z</dcterms:created>
  <dcterms:modified xsi:type="dcterms:W3CDTF">2021-05-14T20:40:00Z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