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38E5B593" w:rsidR="00551D8A" w:rsidRDefault="00844FC2"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5EDE6375" w:rsidR="00551D8A" w:rsidRDefault="0006647C" w:rsidP="00037FBC">
            <w:pPr>
              <w:ind w:right="-720"/>
              <w:rPr>
                <w:rFonts w:ascii="Arial" w:hAnsi="Arial" w:cs="Arial"/>
                <w:sz w:val="20"/>
                <w:szCs w:val="20"/>
              </w:rPr>
            </w:pPr>
            <w:r w:rsidRPr="0021352F">
              <w:rPr>
                <w:rFonts w:ascii="Arial" w:hAnsi="Arial" w:cs="Arial"/>
                <w:sz w:val="24"/>
                <w:szCs w:val="24"/>
              </w:rPr>
              <w:t>O</w:t>
            </w:r>
            <w:r>
              <w:rPr>
                <w:rFonts w:ascii="Arial" w:hAnsi="Arial" w:cs="Arial"/>
                <w:sz w:val="20"/>
                <w:szCs w:val="20"/>
              </w:rPr>
              <w:t xml:space="preserve"> </w:t>
            </w:r>
            <w:r w:rsidR="00551D8A">
              <w:rPr>
                <w:rFonts w:ascii="Arial" w:hAnsi="Arial" w:cs="Arial"/>
                <w:sz w:val="20"/>
                <w:szCs w:val="20"/>
              </w:rPr>
              <w:t>Quarter 2 (April 1 – June 30)</w:t>
            </w:r>
          </w:p>
          <w:p w14:paraId="112432BE" w14:textId="5542DD0F" w:rsidR="00551D8A" w:rsidRDefault="0006647C" w:rsidP="00037FBC">
            <w:pPr>
              <w:ind w:right="-720"/>
              <w:rPr>
                <w:rFonts w:ascii="Arial" w:hAnsi="Arial" w:cs="Arial"/>
                <w:sz w:val="20"/>
                <w:szCs w:val="20"/>
              </w:rPr>
            </w:pPr>
            <w:r w:rsidRPr="0021352F">
              <w:rPr>
                <w:rFonts w:ascii="Arial" w:hAnsi="Arial" w:cs="Arial"/>
                <w:sz w:val="24"/>
                <w:szCs w:val="24"/>
              </w:rPr>
              <w:t>O</w:t>
            </w:r>
            <w:r>
              <w:rPr>
                <w:rFonts w:ascii="Arial" w:hAnsi="Arial" w:cs="Arial"/>
                <w:sz w:val="20"/>
                <w:szCs w:val="20"/>
              </w:rPr>
              <w:t xml:space="preserve"> </w:t>
            </w:r>
            <w:r w:rsidR="00551D8A">
              <w:rPr>
                <w:rFonts w:ascii="Arial" w:hAnsi="Arial" w:cs="Arial"/>
                <w:sz w:val="20"/>
                <w:szCs w:val="20"/>
              </w:rPr>
              <w:t>Quarter 3 (July 1 – September 30)</w:t>
            </w:r>
          </w:p>
          <w:p w14:paraId="34BB6C01" w14:textId="37B0CFD9" w:rsidR="00551D8A" w:rsidRDefault="0006647C" w:rsidP="00037FBC">
            <w:pPr>
              <w:ind w:right="-720"/>
              <w:rPr>
                <w:rFonts w:ascii="Arial" w:hAnsi="Arial" w:cs="Arial"/>
                <w:sz w:val="20"/>
                <w:szCs w:val="20"/>
              </w:rPr>
            </w:pPr>
            <w:r>
              <w:rPr>
                <w:rFonts w:ascii="Arial" w:hAnsi="Arial" w:cs="Arial"/>
                <w:sz w:val="24"/>
                <w:szCs w:val="24"/>
              </w:rPr>
              <w:t>X</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Integrating Construction Practices and Weather Into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commentRangeStart w:id="0"/>
            <w:r w:rsidR="00844FC2">
              <w:rPr>
                <w:rFonts w:ascii="Arial" w:hAnsi="Arial" w:cs="Arial"/>
                <w:b/>
                <w:sz w:val="20"/>
                <w:szCs w:val="20"/>
              </w:rPr>
              <w:t>448</w:t>
            </w:r>
            <w:commentRangeEnd w:id="0"/>
            <w:r w:rsidR="00761DC5">
              <w:rPr>
                <w:rStyle w:val="CommentReference"/>
              </w:rPr>
              <w:commentReference w:id="0"/>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7A40AF4E" w:rsidR="002E65AE" w:rsidRPr="00C13753" w:rsidRDefault="00844FC2" w:rsidP="00E52DB4">
            <w:pPr>
              <w:ind w:right="-720"/>
              <w:rPr>
                <w:rFonts w:ascii="Arial" w:hAnsi="Arial" w:cs="Arial"/>
                <w:b/>
                <w:sz w:val="20"/>
                <w:szCs w:val="20"/>
              </w:rPr>
            </w:pPr>
            <w:r>
              <w:rPr>
                <w:rFonts w:ascii="Arial" w:hAnsi="Arial" w:cs="Arial"/>
                <w:b/>
                <w:sz w:val="20"/>
                <w:szCs w:val="20"/>
              </w:rPr>
              <w:t>August 30,2023</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87B81D0" w:rsidR="00535598" w:rsidRDefault="00844FC2" w:rsidP="000A3454">
            <w:pPr>
              <w:ind w:right="-720"/>
              <w:rPr>
                <w:rFonts w:ascii="Arial" w:hAnsi="Arial" w:cs="Arial"/>
                <w:sz w:val="20"/>
                <w:szCs w:val="20"/>
              </w:rPr>
            </w:pPr>
            <w:r>
              <w:rPr>
                <w:rFonts w:ascii="Arial" w:hAnsi="Arial" w:cs="Arial"/>
                <w:sz w:val="20"/>
                <w:szCs w:val="20"/>
              </w:rPr>
              <w:t>0</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111582DD"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844FC2">
              <w:rPr>
                <w:rFonts w:ascii="Arial" w:hAnsi="Arial" w:cs="Arial"/>
                <w:sz w:val="20"/>
                <w:szCs w:val="20"/>
              </w:rPr>
              <w:t>660,000</w:t>
            </w:r>
          </w:p>
        </w:tc>
        <w:tc>
          <w:tcPr>
            <w:tcW w:w="3330" w:type="dxa"/>
          </w:tcPr>
          <w:p w14:paraId="1EFFCB2D" w14:textId="6ADC9EF3" w:rsidR="00874EF7" w:rsidRPr="00B66A21" w:rsidRDefault="00E619C5" w:rsidP="00B22EC9">
            <w:pPr>
              <w:ind w:right="-720"/>
              <w:jc w:val="center"/>
              <w:rPr>
                <w:rFonts w:ascii="Arial" w:hAnsi="Arial" w:cs="Arial"/>
                <w:sz w:val="20"/>
                <w:szCs w:val="20"/>
              </w:rPr>
            </w:pPr>
            <w:r>
              <w:rPr>
                <w:rFonts w:ascii="Arial" w:hAnsi="Arial" w:cs="Arial"/>
                <w:sz w:val="20"/>
                <w:szCs w:val="20"/>
              </w:rPr>
              <w:t>$</w:t>
            </w:r>
            <w:r w:rsidR="0006647C">
              <w:rPr>
                <w:rFonts w:ascii="Arial" w:hAnsi="Arial" w:cs="Arial"/>
                <w:sz w:val="20"/>
                <w:szCs w:val="20"/>
              </w:rPr>
              <w:t>2,500</w:t>
            </w:r>
          </w:p>
        </w:tc>
        <w:tc>
          <w:tcPr>
            <w:tcW w:w="3420" w:type="dxa"/>
          </w:tcPr>
          <w:p w14:paraId="56223D56" w14:textId="04A3D118" w:rsidR="00874EF7" w:rsidRPr="00B66A21" w:rsidRDefault="0006647C" w:rsidP="00155CE2">
            <w:pPr>
              <w:ind w:right="-720"/>
              <w:jc w:val="center"/>
              <w:rPr>
                <w:rFonts w:ascii="Arial" w:hAnsi="Arial" w:cs="Arial"/>
                <w:sz w:val="20"/>
                <w:szCs w:val="20"/>
              </w:rPr>
            </w:pPr>
            <w:r>
              <w:rPr>
                <w:rFonts w:ascii="Arial" w:hAnsi="Arial" w:cs="Arial"/>
                <w:sz w:val="20"/>
                <w:szCs w:val="20"/>
              </w:rPr>
              <w:t>8</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4FA98E5E" w:rsidR="00B66A21" w:rsidRPr="00B66A21" w:rsidRDefault="00155CE2" w:rsidP="004C7212">
            <w:pPr>
              <w:ind w:right="-720"/>
              <w:jc w:val="center"/>
              <w:rPr>
                <w:rFonts w:ascii="Arial" w:hAnsi="Arial" w:cs="Arial"/>
                <w:sz w:val="20"/>
                <w:szCs w:val="20"/>
              </w:rPr>
            </w:pPr>
            <w:r>
              <w:rPr>
                <w:rFonts w:ascii="Arial" w:hAnsi="Arial" w:cs="Arial"/>
                <w:sz w:val="20"/>
                <w:szCs w:val="20"/>
              </w:rPr>
              <w:t>$</w:t>
            </w:r>
            <w:r w:rsidR="0006647C">
              <w:rPr>
                <w:rFonts w:ascii="Arial" w:hAnsi="Arial" w:cs="Arial"/>
                <w:sz w:val="20"/>
                <w:szCs w:val="20"/>
              </w:rPr>
              <w:t>40</w:t>
            </w:r>
            <w:r w:rsidR="00844FC2">
              <w:rPr>
                <w:rFonts w:ascii="Arial" w:hAnsi="Arial" w:cs="Arial"/>
                <w:sz w:val="20"/>
                <w:szCs w:val="20"/>
              </w:rPr>
              <w:t>,</w:t>
            </w:r>
            <w:r w:rsidR="004C7212">
              <w:rPr>
                <w:rFonts w:ascii="Arial" w:hAnsi="Arial" w:cs="Arial"/>
                <w:sz w:val="20"/>
                <w:szCs w:val="20"/>
              </w:rPr>
              <w:t>500</w:t>
            </w:r>
          </w:p>
        </w:tc>
        <w:tc>
          <w:tcPr>
            <w:tcW w:w="3330" w:type="dxa"/>
          </w:tcPr>
          <w:p w14:paraId="0C51559D" w14:textId="052AA391" w:rsidR="00B66A21" w:rsidRPr="00B66A21" w:rsidRDefault="00551420" w:rsidP="004C7212">
            <w:pPr>
              <w:ind w:right="-720"/>
              <w:jc w:val="center"/>
              <w:rPr>
                <w:rFonts w:ascii="Arial" w:hAnsi="Arial" w:cs="Arial"/>
                <w:sz w:val="20"/>
                <w:szCs w:val="20"/>
              </w:rPr>
            </w:pPr>
            <w:r>
              <w:rPr>
                <w:rFonts w:ascii="Arial" w:hAnsi="Arial" w:cs="Arial"/>
                <w:sz w:val="20"/>
                <w:szCs w:val="20"/>
              </w:rPr>
              <w:t>$</w:t>
            </w:r>
            <w:r w:rsidR="0006647C">
              <w:rPr>
                <w:rFonts w:ascii="Arial" w:hAnsi="Arial" w:cs="Arial"/>
                <w:sz w:val="20"/>
                <w:szCs w:val="20"/>
              </w:rPr>
              <w:t>40,500</w:t>
            </w:r>
          </w:p>
        </w:tc>
        <w:tc>
          <w:tcPr>
            <w:tcW w:w="3420" w:type="dxa"/>
          </w:tcPr>
          <w:p w14:paraId="274E0E40" w14:textId="6C046F69" w:rsidR="00B66A21" w:rsidRPr="00B66A21" w:rsidRDefault="0006647C" w:rsidP="00155CE2">
            <w:pPr>
              <w:ind w:right="-720"/>
              <w:jc w:val="center"/>
              <w:rPr>
                <w:rFonts w:ascii="Arial" w:hAnsi="Arial" w:cs="Arial"/>
                <w:sz w:val="20"/>
                <w:szCs w:val="20"/>
              </w:rPr>
            </w:pPr>
            <w:r>
              <w:rPr>
                <w:rFonts w:ascii="Arial" w:hAnsi="Arial" w:cs="Arial"/>
                <w:sz w:val="20"/>
                <w:szCs w:val="20"/>
              </w:rPr>
              <w:t>10</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22B0B799" w14:textId="4FEC9BB8" w:rsidR="006C35E2" w:rsidRDefault="006C35E2" w:rsidP="006C35E2">
            <w:pPr>
              <w:jc w:val="both"/>
              <w:rPr>
                <w:rFonts w:cs="Arial"/>
              </w:rPr>
            </w:pPr>
            <w:r w:rsidRPr="006C35E2">
              <w:rPr>
                <w:rFonts w:cs="Arial"/>
              </w:rPr>
              <w:t xml:space="preserve">Concrete can be damaged when it is 1) sufficiently wet (has </w:t>
            </w:r>
            <w:r w:rsidR="00D26703">
              <w:rPr>
                <w:rFonts w:cs="Arial"/>
              </w:rPr>
              <w:t>reached a critical</w:t>
            </w:r>
            <w:r w:rsidRPr="006C35E2">
              <w:rPr>
                <w:rFonts w:cs="Arial"/>
              </w:rPr>
              <w:t xml:space="preserve"> degree of saturation) and 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temperature cycles that enable freezing and thawing.  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(Kleiger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77777777" w:rsidR="00761DC5" w:rsidRDefault="00761DC5" w:rsidP="00761DC5">
            <w:pPr>
              <w:ind w:firstLine="720"/>
            </w:pPr>
            <w:r>
              <w:t>The ultimate goal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Determine how construction methods such as pumping, mixing time, paving vibration, and hand held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7777777"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C7E321A" w14:textId="1BE8FD26" w:rsidR="0006647C" w:rsidRPr="0006647C" w:rsidRDefault="0006647C" w:rsidP="0006647C">
            <w:pPr>
              <w:rPr>
                <w:color w:val="000000" w:themeColor="text1"/>
              </w:rPr>
            </w:pPr>
            <w:r w:rsidRPr="0006647C">
              <w:rPr>
                <w:color w:val="000000" w:themeColor="text1"/>
              </w:rPr>
              <w:t xml:space="preserve">Sending </w:t>
            </w:r>
            <w:r>
              <w:rPr>
                <w:color w:val="000000" w:themeColor="text1"/>
              </w:rPr>
              <w:t xml:space="preserve">wather boxes </w:t>
            </w:r>
            <w:r w:rsidRPr="0006647C">
              <w:rPr>
                <w:color w:val="000000" w:themeColor="text1"/>
              </w:rPr>
              <w:t xml:space="preserve">to Missouri.  </w:t>
            </w:r>
            <w:r>
              <w:rPr>
                <w:color w:val="000000" w:themeColor="text1"/>
              </w:rPr>
              <w:t>Data is continuing to be collected and analyzed.</w:t>
            </w:r>
          </w:p>
          <w:p w14:paraId="5054F619" w14:textId="1CCDF9CD" w:rsidR="0006647C" w:rsidRPr="0006647C" w:rsidRDefault="0006647C" w:rsidP="0006647C">
            <w:pPr>
              <w:rPr>
                <w:color w:val="000000" w:themeColor="text1"/>
              </w:rPr>
            </w:pPr>
          </w:p>
          <w:p w14:paraId="6671F113" w14:textId="77777777" w:rsidR="0006647C" w:rsidRPr="0006647C" w:rsidRDefault="0006647C"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7292FE64" w14:textId="5436BBBB" w:rsidR="0006647C" w:rsidRPr="0006647C" w:rsidRDefault="0006647C" w:rsidP="0006647C">
            <w:pPr>
              <w:jc w:val="both"/>
              <w:rPr>
                <w:color w:val="000000" w:themeColor="text1"/>
              </w:rPr>
            </w:pPr>
            <w:r>
              <w:rPr>
                <w:color w:val="000000" w:themeColor="text1"/>
              </w:rPr>
              <w:t xml:space="preserve">Samples have been provided from Iowa for this.  This will start later in the project.  </w:t>
            </w:r>
          </w:p>
          <w:p w14:paraId="0C363A97" w14:textId="77777777" w:rsidR="0006647C" w:rsidRPr="0006647C" w:rsidRDefault="0006647C"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1DE0391E" w14:textId="77777777"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3DFBFCA7" w14:textId="77777777" w:rsidR="0006647C" w:rsidRPr="0006647C" w:rsidRDefault="0006647C" w:rsidP="0006647C">
            <w:pPr>
              <w:jc w:val="both"/>
              <w:rPr>
                <w:color w:val="000000" w:themeColor="text1"/>
              </w:rPr>
            </w:pPr>
            <w:r w:rsidRPr="0006647C">
              <w:rPr>
                <w:color w:val="000000" w:themeColor="text1"/>
              </w:rPr>
              <w:t xml:space="preserve">The probability of failure increases with an increase of DOS in the sample. For example, all the samples with DOS higher than 88% develop FT damage.  The failure region starts at DOS of ≈77.5% for the samples with a SAM number ≤0.20 compared to the DOS of ≈72.5% for the samples with a SAM number between 0.20 and 0.60. In addition, when the DOS of the sample is around the critical level of saturation (72.5% &lt;DOS&lt;88%), the probability of failure tends to be higher for samples with high SAM number (SAM &gt; 0.20) compared to samples with a low SAM number (≤0.20). Ley et al. </w:t>
            </w:r>
            <w:r w:rsidRPr="0006647C">
              <w:rPr>
                <w:color w:val="000000" w:themeColor="text1"/>
                <w:lang w:val="en-GB"/>
              </w:rPr>
              <w:fldChar w:fldCharType="begin"/>
            </w:r>
            <w:r w:rsidRPr="0006647C">
              <w:rPr>
                <w:color w:val="000000" w:themeColor="text1"/>
                <w:lang w:val="en-GB"/>
              </w:rPr>
              <w:instrText xml:space="preserve"> ADDIN EN.CITE &lt;EndNote&gt;&lt;Cite&gt;&lt;Author&gt;Ley&lt;/Author&gt;&lt;Year&gt;2017&lt;/Year&gt;&lt;RecNum&gt;736&lt;/RecNum&gt;&lt;DisplayText&gt;[1]&lt;/DisplayText&gt;&lt;record&gt;&lt;rec-number&gt;736&lt;/rec-number&gt;&lt;foreign-keys&gt;&lt;key app="EN" db-id="rzww0daf89vrz0eeaevpxp2u2wx9255z5z2d" timestamp="1531341050"&gt;736&lt;/key&gt;&lt;/foreign-keys&gt;&lt;ref-type name="Journal Article"&gt;17&lt;/ref-type&gt;&lt;contributors&gt;&lt;authors&gt;&lt;author&gt;Ley, M. Tyler&lt;/author&gt;&lt;author&gt;Welchel, David&lt;/author&gt;&lt;author&gt;Peery, Jacob&lt;/author&gt;&lt;author&gt;Khatibmasjedi, Seyedmorteza&lt;/author&gt;&lt;author&gt;LeFlore, Jake&lt;/author&gt;&lt;/authors&gt;&lt;/contributors&gt;&lt;titles&gt;&lt;title&gt;Determining the air-void distribution in fresh concrete with the Sequential Air Method&lt;/title&gt;&lt;secondary-title&gt;Construction and Building Materials&lt;/secondary-title&gt;&lt;/titles&gt;&lt;periodical&gt;&lt;full-title&gt;Construction and Building Materials&lt;/full-title&gt;&lt;/periodical&gt;&lt;pages&gt;723-737&lt;/pages&gt;&lt;volume&gt;150&lt;/volume&gt;&lt;keywords&gt;&lt;keyword&gt;Durability&lt;/keyword&gt;&lt;keyword&gt;Freeze thaw&lt;/keyword&gt;&lt;keyword&gt;Air entrainment&lt;/keyword&gt;&lt;keyword&gt;Spacing factor&lt;/keyword&gt;&lt;keyword&gt;SAM Number&lt;/keyword&gt;&lt;keyword&gt;Durability Factor&lt;/keyword&gt;&lt;keyword&gt;Pressure meter&lt;/keyword&gt;&lt;/keywords&gt;&lt;dates&gt;&lt;year&gt;2017&lt;/year&gt;&lt;pub-dates&gt;&lt;date&gt;2017/09/30/&lt;/date&gt;&lt;/pub-dates&gt;&lt;/dates&gt;&lt;isbn&gt;0950-0618&lt;/isbn&gt;&lt;urls&gt;&lt;related-urls&gt;&lt;url&gt;&lt;style face="underline" font="default" size="100%"&gt;http://www.sciencedirect.com/science/article/pii/S0950061817311777&lt;/style&gt;&lt;/url&gt;&lt;/related-urls&gt;&lt;/urls&gt;&lt;electronic-resource-num&gt;&lt;style face="underline" font="default" size="100%"&gt;https://doi.org/10.1016/j.conbuildmat.2017.06.037&lt;/style&gt;&lt;/electronic-resource-num&gt;&lt;/record&gt;&lt;/Cite&gt;&lt;/EndNote&gt;</w:instrText>
            </w:r>
            <w:r w:rsidRPr="0006647C">
              <w:rPr>
                <w:color w:val="000000" w:themeColor="text1"/>
                <w:lang w:val="en-GB"/>
              </w:rPr>
              <w:fldChar w:fldCharType="separate"/>
            </w:r>
            <w:r w:rsidRPr="0006647C">
              <w:rPr>
                <w:noProof/>
                <w:color w:val="000000" w:themeColor="text1"/>
                <w:lang w:val="en-GB"/>
              </w:rPr>
              <w:t>[1]</w:t>
            </w:r>
            <w:r w:rsidRPr="0006647C">
              <w:rPr>
                <w:color w:val="000000" w:themeColor="text1"/>
                <w:lang w:val="en-GB"/>
              </w:rPr>
              <w:fldChar w:fldCharType="end"/>
            </w:r>
            <w:r w:rsidRPr="0006647C">
              <w:rPr>
                <w:color w:val="000000" w:themeColor="text1"/>
                <w:lang w:val="en-GB"/>
              </w:rPr>
              <w:t xml:space="preserve"> </w:t>
            </w:r>
            <w:r w:rsidRPr="0006647C">
              <w:rPr>
                <w:color w:val="000000" w:themeColor="text1"/>
              </w:rPr>
              <w:t xml:space="preserve">showed that a SAM Number of 0.20 best correlates with the recommended spacing factor of 200 </w:t>
            </w:r>
            <w:r w:rsidRPr="0006647C">
              <w:rPr>
                <w:rFonts w:cstheme="minorHAnsi"/>
                <w:color w:val="000000" w:themeColor="text1"/>
              </w:rPr>
              <w:t>μ</w:t>
            </w:r>
            <w:r w:rsidRPr="0006647C">
              <w:rPr>
                <w:color w:val="000000" w:themeColor="text1"/>
              </w:rPr>
              <w:t xml:space="preserve">m for FT durability (ACI 201.2R limit). The reduced quality of air void distribution explains the higher probability of failure in samples with a SAM number &gt; 0.20. This is in accordance with the data collected in </w:t>
            </w:r>
            <w:r w:rsidRPr="0006647C">
              <w:rPr>
                <w:color w:val="000000" w:themeColor="text1"/>
                <w:lang w:val="en-GB"/>
              </w:rPr>
              <w:t xml:space="preserve"> </w:t>
            </w:r>
            <w:r w:rsidRPr="0006647C">
              <w:rPr>
                <w:color w:val="000000" w:themeColor="text1"/>
                <w:lang w:val="en-GB"/>
              </w:rPr>
              <w:fldChar w:fldCharType="begin"/>
            </w:r>
            <w:r w:rsidRPr="0006647C">
              <w:rPr>
                <w:color w:val="000000" w:themeColor="text1"/>
                <w:lang w:val="en-GB"/>
              </w:rPr>
              <w:instrText xml:space="preserve"> ADDIN EN.CITE &lt;EndNote&gt;&lt;Cite&gt;&lt;Author&gt;Todak&lt;/Author&gt;&lt;Year&gt;2015&lt;/Year&gt;&lt;RecNum&gt;2003&lt;/RecNum&gt;&lt;DisplayText&gt;[2]&lt;/DisplayText&gt;&lt;record&gt;&lt;rec-number&gt;2003&lt;/rec-number&gt;&lt;foreign-keys&gt;&lt;key app="EN" db-id="rzww0daf89vrz0eeaevpxp2u2wx9255z5z2d" timestamp="1572373420"&gt;2003&lt;/key&gt;&lt;key app="ENWeb" db-id=""&gt;0&lt;/key&gt;&lt;/foreign-keys&gt;&lt;ref-type name="Thesis"&gt;32&lt;/ref-type&gt;&lt;contributors&gt;&lt;authors&gt;&lt;author&gt;Todak, Heather N.&lt;/author&gt;&lt;/authors&gt;&lt;tertiary-authors&gt;&lt;author&gt;Weiss, W. Jason&lt;/author&gt;&lt;/tertiary-authors&gt;&lt;/contributors&gt;&lt;titles&gt;&lt;title&gt;Durability assessments of concrete using electrical properties and acoustic emission testing&lt;/title&gt;&lt;secondary-title&gt;School of Civil Engineering&lt;/secondary-title&gt;&lt;/titles&gt;&lt;pages&gt;143&lt;/pages&gt;&lt;volume&gt;Master of Science&lt;/volume&gt;&lt;dates&gt;&lt;year&gt;2015&lt;/year&gt;&lt;/dates&gt;&lt;pub-location&gt;West Lafayette&lt;/pub-location&gt;&lt;publisher&gt;Purdue University&lt;/publisher&gt;&lt;urls&gt;&lt;/urls&gt;&lt;/record&gt;&lt;/Cite&gt;&lt;/EndNote&gt;</w:instrText>
            </w:r>
            <w:r w:rsidRPr="0006647C">
              <w:rPr>
                <w:color w:val="000000" w:themeColor="text1"/>
                <w:lang w:val="en-GB"/>
              </w:rPr>
              <w:fldChar w:fldCharType="separate"/>
            </w:r>
            <w:r w:rsidRPr="0006647C">
              <w:rPr>
                <w:noProof/>
                <w:color w:val="000000" w:themeColor="text1"/>
                <w:lang w:val="en-GB"/>
              </w:rPr>
              <w:t>[2]</w:t>
            </w:r>
            <w:r w:rsidRPr="0006647C">
              <w:rPr>
                <w:color w:val="000000" w:themeColor="text1"/>
                <w:lang w:val="en-GB"/>
              </w:rPr>
              <w:fldChar w:fldCharType="end"/>
            </w:r>
            <w:r w:rsidRPr="0006647C">
              <w:rPr>
                <w:color w:val="000000" w:themeColor="text1"/>
              </w:rPr>
              <w:t>, where it was concluded that higher quality air-void systems, quantified by lower SAM numbers, may resist freeze-thaw damage at higher levels of saturation than those with poorly distributed air void systems.</w:t>
            </w:r>
          </w:p>
          <w:p w14:paraId="07187AD2" w14:textId="77777777" w:rsidR="0006647C" w:rsidRPr="0006647C" w:rsidRDefault="0006647C" w:rsidP="0006647C">
            <w:pPr>
              <w:jc w:val="both"/>
              <w:rPr>
                <w:noProof/>
                <w:color w:val="000000" w:themeColor="text1"/>
              </w:rPr>
            </w:pPr>
            <w:r w:rsidRPr="0006647C">
              <w:rPr>
                <w:color w:val="000000" w:themeColor="text1"/>
              </w:rPr>
              <w:t xml:space="preserve">This correlation 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was collected on 134 mortar samples prepared with cement type I/II and with different air void content and air void quality. Only 9 different mixtures were tested to obtain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512C9032" w14:textId="5D283AC6" w:rsidR="0006647C" w:rsidRPr="0006647C" w:rsidRDefault="0006647C" w:rsidP="0006647C">
            <w:pPr>
              <w:keepNext/>
              <w:jc w:val="center"/>
              <w:rPr>
                <w:color w:val="000000" w:themeColor="text1"/>
              </w:rPr>
            </w:pPr>
            <w:r w:rsidRPr="0006647C">
              <w:rPr>
                <w:noProof/>
                <w:color w:val="000000" w:themeColor="text1"/>
              </w:rPr>
              <w:drawing>
                <wp:inline distT="0" distB="0" distL="0" distR="0" wp14:anchorId="1AFF81FE" wp14:editId="65AA9BCF">
                  <wp:extent cx="4126230" cy="315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6230" cy="3158490"/>
                          </a:xfrm>
                          <a:prstGeom prst="rect">
                            <a:avLst/>
                          </a:prstGeom>
                          <a:noFill/>
                          <a:ln>
                            <a:noFill/>
                          </a:ln>
                        </pic:spPr>
                      </pic:pic>
                    </a:graphicData>
                  </a:graphic>
                </wp:inline>
              </w:drawing>
            </w:r>
          </w:p>
          <w:p w14:paraId="35A4BA10" w14:textId="77777777" w:rsidR="0006647C" w:rsidRPr="0006647C" w:rsidRDefault="0006647C" w:rsidP="0006647C">
            <w:pPr>
              <w:pStyle w:val="Caption"/>
              <w:rPr>
                <w:color w:val="000000" w:themeColor="text1"/>
              </w:rPr>
            </w:pPr>
            <w:bookmarkStart w:id="1" w:name="_Ref56544980"/>
            <w:r w:rsidRPr="0006647C">
              <w:rPr>
                <w:color w:val="000000" w:themeColor="text1"/>
              </w:rPr>
              <w:t xml:space="preserve">Figure </w:t>
            </w:r>
            <w:r w:rsidRPr="0006647C">
              <w:rPr>
                <w:color w:val="000000" w:themeColor="text1"/>
              </w:rPr>
              <w:fldChar w:fldCharType="begin"/>
            </w:r>
            <w:r w:rsidRPr="0006647C">
              <w:rPr>
                <w:color w:val="000000" w:themeColor="text1"/>
              </w:rPr>
              <w:instrText xml:space="preserve"> SEQ Figure \* ARABIC </w:instrText>
            </w:r>
            <w:r w:rsidRPr="0006647C">
              <w:rPr>
                <w:color w:val="000000" w:themeColor="text1"/>
              </w:rPr>
              <w:fldChar w:fldCharType="separate"/>
            </w:r>
            <w:r w:rsidRPr="0006647C">
              <w:rPr>
                <w:noProof/>
                <w:color w:val="000000" w:themeColor="text1"/>
              </w:rPr>
              <w:t>1</w:t>
            </w:r>
            <w:r w:rsidRPr="0006647C">
              <w:rPr>
                <w:color w:val="000000" w:themeColor="text1"/>
              </w:rPr>
              <w:fldChar w:fldCharType="end"/>
            </w:r>
            <w:bookmarkEnd w:id="1"/>
            <w:r w:rsidRPr="0006647C">
              <w:rPr>
                <w:color w:val="000000" w:themeColor="text1"/>
              </w:rPr>
              <w:t xml:space="preserve">. Probability of failure with respect to the degree of saturation </w:t>
            </w:r>
            <w:r w:rsidRPr="0006647C">
              <w:rPr>
                <w:color w:val="000000" w:themeColor="text1"/>
              </w:rPr>
              <w:fldChar w:fldCharType="begin"/>
            </w:r>
            <w:r w:rsidRPr="0006647C">
              <w:rPr>
                <w:color w:val="000000" w:themeColor="text1"/>
              </w:rPr>
              <w:instrText xml:space="preserve"> ADDIN EN.CITE &lt;EndNote&gt;&lt;Cite&gt;&lt;Author&gt;Ghantous&lt;/Author&gt;&lt;Year&gt;2020&lt;/Year&gt;&lt;RecNum&gt;3378&lt;/RecNum&gt;&lt;DisplayText&gt;[3]&lt;/DisplayText&gt;&lt;record&gt;&lt;rec-number&gt;3378&lt;/rec-number&gt;&lt;foreign-keys&gt;&lt;key app="EN" db-id="pf2s5asa4a5xwgetv9j5fferwsfasdd2fz92" timestamp="1605211489"&gt;3378&lt;/key&gt;&lt;/foreign-keys&gt;&lt;ref-type name="Journal Article"&gt;17&lt;/ref-type&gt;&lt;contributors&gt;&lt;authors&gt;&lt;author&gt;Ghantous, R. M.&lt;/author&gt;&lt;author&gt;Khanzadeh Moradllo, Mehdi&lt;/author&gt;&lt;author&gt;becker, Hope Hall &lt;/author&gt;&lt;author&gt;Ley, M Tyler&lt;/author&gt;&lt;author&gt;Weiss, J&lt;/author&gt;&lt;/authors&gt;&lt;/contributors&gt;&lt;titles&gt;&lt;title&gt;Determining the freeze-thaw performance of mortar samples using length change measurements during freezing&lt;/title&gt;&lt;secondary-title&gt;accepted in cement and concrete composite &lt;/secondary-title&gt;&lt;/titles&gt;&lt;periodical&gt;&lt;full-title&gt;accepted in cement and concrete composite&lt;/full-title&gt;&lt;/periodical&gt;&lt;dates&gt;&lt;year&gt;2020&lt;/year&gt;&lt;/dates&gt;&lt;urls&gt;&lt;/urls&gt;&lt;/record&gt;&lt;/Cite&gt;&lt;/EndNote&gt;</w:instrText>
            </w:r>
            <w:r w:rsidRPr="0006647C">
              <w:rPr>
                <w:color w:val="000000" w:themeColor="text1"/>
              </w:rPr>
              <w:fldChar w:fldCharType="separate"/>
            </w:r>
            <w:r w:rsidRPr="0006647C">
              <w:rPr>
                <w:noProof/>
                <w:color w:val="000000" w:themeColor="text1"/>
              </w:rPr>
              <w:t>[3]</w:t>
            </w:r>
            <w:r w:rsidRPr="0006647C">
              <w:rPr>
                <w:color w:val="000000" w:themeColor="text1"/>
              </w:rPr>
              <w:fldChar w:fldCharType="end"/>
            </w:r>
          </w:p>
          <w:p w14:paraId="0B82C0DF" w14:textId="77777777" w:rsidR="0006647C" w:rsidRPr="0006647C" w:rsidRDefault="0006647C" w:rsidP="0006647C">
            <w:pPr>
              <w:jc w:val="both"/>
              <w:rPr>
                <w:color w:val="000000" w:themeColor="text1"/>
              </w:rPr>
            </w:pPr>
            <w:r w:rsidRPr="0006647C">
              <w:rPr>
                <w:color w:val="000000" w:themeColor="text1"/>
              </w:rPr>
              <w:t xml:space="preserve">This research will expand the measurements of FT damage to a larger numbers of mixtures and calculate the probability of failure for samples conditioned around the critical DOS (72.5-88%). </w:t>
            </w:r>
          </w:p>
          <w:p w14:paraId="322DE24F" w14:textId="77777777" w:rsidR="0006647C" w:rsidRPr="0006647C" w:rsidRDefault="0006647C" w:rsidP="0006647C">
            <w:pPr>
              <w:jc w:val="both"/>
              <w:rPr>
                <w:color w:val="000000" w:themeColor="text1"/>
              </w:rPr>
            </w:pPr>
            <w:r w:rsidRPr="0006647C">
              <w:rPr>
                <w:color w:val="000000" w:themeColor="text1"/>
              </w:rPr>
              <w:t xml:space="preserve">Several samples with varying mixtures proportions were prepared. 22 different mixtures with different air void content, air void quality and fly ash content were prepared. Cores from each mixtures were prepared and start being preconditioned for the FT damage measurements. </w:t>
            </w:r>
          </w:p>
          <w:p w14:paraId="254FCC7D" w14:textId="77777777" w:rsidR="0006647C" w:rsidRPr="0006647C" w:rsidRDefault="0006647C" w:rsidP="0006647C">
            <w:pPr>
              <w:jc w:val="both"/>
              <w:rPr>
                <w:color w:val="000000" w:themeColor="text1"/>
              </w:rPr>
            </w:pPr>
            <w:r w:rsidRPr="0006647C">
              <w:rPr>
                <w:color w:val="000000" w:themeColor="text1"/>
              </w:rPr>
              <w:t xml:space="preserve">From now until the end of March 2021, the researchers will be testing the freeze thaw damage of these mortar samples preconditioned and different DOS and will calculate the probability of failure and complete </w:t>
            </w:r>
            <w:r w:rsidRPr="0006647C">
              <w:rPr>
                <w:color w:val="000000" w:themeColor="text1"/>
              </w:rPr>
              <w:fldChar w:fldCharType="begin"/>
            </w:r>
            <w:r w:rsidRPr="0006647C">
              <w:rPr>
                <w:color w:val="000000" w:themeColor="text1"/>
              </w:rPr>
              <w:instrText xml:space="preserve"> REF _Ref56544980 \h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with additional data points. The bin size for the statistical analysis in </w:t>
            </w:r>
            <w:r w:rsidRPr="0006647C">
              <w:rPr>
                <w:color w:val="000000" w:themeColor="text1"/>
              </w:rPr>
              <w:fldChar w:fldCharType="begin"/>
            </w:r>
            <w:r w:rsidRPr="0006647C">
              <w:rPr>
                <w:color w:val="000000" w:themeColor="text1"/>
              </w:rPr>
              <w:instrText xml:space="preserve"> REF _Ref56544980 \h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is 5%. These additional measurements will allow decreasing the bin size to 2% which will give more confidence in the correlation and conclusion drawn out of this graph. </w:t>
            </w:r>
          </w:p>
          <w:p w14:paraId="01649E72"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0C1F3663" w14:textId="77777777" w:rsidR="0006647C" w:rsidRPr="0006647C" w:rsidRDefault="0006647C" w:rsidP="0006647C">
            <w:pPr>
              <w:jc w:val="both"/>
              <w:rPr>
                <w:rFonts w:cs="Times New Roman"/>
                <w:color w:val="000000" w:themeColor="text1"/>
              </w:rPr>
            </w:pP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638C1A75"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has been established between the apparent formation factor and the initial and secondary sorptivity coefficient of plain concrete samples </w:t>
            </w:r>
            <w:r w:rsidRPr="0006647C">
              <w:rPr>
                <w:rFonts w:cs="Times New Roman"/>
                <w:color w:val="000000" w:themeColor="text1"/>
              </w:rPr>
              <w:fldChar w:fldCharType="begin"/>
            </w:r>
            <w:r w:rsidRPr="0006647C">
              <w:rPr>
                <w:rFonts w:cs="Times New Roman"/>
                <w:color w:val="000000" w:themeColor="text1"/>
              </w:rPr>
              <w:instrText xml:space="preserve"> ADDIN EN.CITE &lt;EndNote&gt;&lt;Cite&gt;&lt;Author&gt;Khanzadeh Moradllo&lt;/Author&gt;&lt;Year&gt;2019&lt;/Year&gt;&lt;RecNum&gt;3201&lt;/RecNum&gt;&lt;DisplayText&gt;[4, 5]&lt;/DisplayText&gt;&lt;record&gt;&lt;rec-number&gt;3201&lt;/rec-number&gt;&lt;foreign-keys&gt;&lt;key app="EN" db-id="pf2s5asa4a5xwgetv9j5fferwsfasdd2fz92" timestamp="1588253789"&gt;3201&lt;/key&gt;&lt;key app="ENWeb" db-id=""&gt;0&lt;/key&gt;&lt;/foreign-keys&gt;&lt;ref-type name="Journal Article"&gt;17&lt;/ref-type&gt;&lt;contributors&gt;&lt;authors&gt;&lt;author&gt;Khanzadeh Moradllo, Mehdi&lt;/author&gt;&lt;author&gt;Qiao, Chunyu&lt;/author&gt;&lt;author&gt;Hall, Hope&lt;/author&gt;&lt;author&gt;Ley, M. Tyler&lt;/author&gt;&lt;author&gt;Reese, Steven R.&lt;/author&gt;&lt;author&gt;Weiss, W. Jason&lt;/author&gt;&lt;/authors&gt;&lt;/contributors&gt;&lt;titles&gt;&lt;title&gt;Quantifying fluid filling of the air voids in air entrained concrete using neutron radiography&lt;/title&gt;&lt;secondary-title&gt;Cement and Concrete Composites&lt;/secondary-title&gt;&lt;/titles&gt;&lt;periodical&gt;&lt;full-title&gt;Cement and Concrete Composites&lt;/full-title&gt;&lt;/periodical&gt;&lt;volume&gt;104&lt;/volume&gt;&lt;dates&gt;&lt;year&gt;2019&lt;/year&gt;&lt;/dates&gt;&lt;isbn&gt;09589465&lt;/isbn&gt;&lt;urls&gt;&lt;/urls&gt;&lt;electronic-resource-num&gt;10.1016/j.cemconcomp.2019.103407&lt;/electronic-resource-num&gt;&lt;/record&gt;&lt;/Cite&gt;&lt;Cite&gt;&lt;Author&gt;Moradllo&lt;/Author&gt;&lt;Year&gt;2018&lt;/Year&gt;&lt;RecNum&gt;1754&lt;/RecNum&gt;&lt;record&gt;&lt;rec-number&gt;1754&lt;/rec-number&gt;&lt;foreign-keys&gt;&lt;key app="EN" db-id="pf2s5asa4a5xwgetv9j5fferwsfasdd2fz92" timestamp="1519309181"&gt;1754&lt;/key&gt;&lt;/foreign-keys&gt;&lt;ref-type name="Journal Article"&gt;17&lt;/ref-type&gt;&lt;contributors&gt;&lt;authors&gt;&lt;author&gt;Moradllo, Mehdi Khanzadeh&lt;/author&gt;&lt;author&gt;Qiao, Chunyu&lt;/author&gt;&lt;author&gt;Isgor, Burkan&lt;/author&gt;&lt;author&gt;Reese, Steven&lt;/author&gt;&lt;author&gt;Weiss, W. Jason&lt;/author&gt;&lt;/authors&gt;&lt;/contributors&gt;&lt;titles&gt;&lt;title&gt;Relating the formation factor of concrete to water absorption&lt;/title&gt;&lt;secondary-title&gt;ACI Mater. J.&lt;/secondary-title&gt;&lt;/titles&gt;&lt;periodical&gt;&lt;full-title&gt;ACI Mater. J.&lt;/full-title&gt;&lt;/periodical&gt;&lt;volume&gt;Submitted&lt;/volume&gt;&lt;dates&gt;&lt;year&gt;2018&lt;/year&gt;&lt;/dates&gt;&lt;urls&gt;&lt;/urls&gt;&lt;/record&gt;&lt;/Cite&gt;&lt;/EndNote&gt;</w:instrText>
            </w:r>
            <w:r w:rsidRPr="0006647C">
              <w:rPr>
                <w:rFonts w:cs="Times New Roman"/>
                <w:color w:val="000000" w:themeColor="text1"/>
              </w:rPr>
              <w:fldChar w:fldCharType="separate"/>
            </w:r>
            <w:r w:rsidRPr="0006647C">
              <w:rPr>
                <w:rFonts w:cs="Times New Roman"/>
                <w:noProof/>
                <w:color w:val="000000" w:themeColor="text1"/>
              </w:rPr>
              <w:t>[4, 5]</w:t>
            </w:r>
            <w:r w:rsidRPr="0006647C">
              <w:rPr>
                <w:rFonts w:cs="Times New Roman"/>
                <w:color w:val="000000" w:themeColor="text1"/>
              </w:rPr>
              <w:fldChar w:fldCharType="end"/>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sorptivity of concrete samples with varying fly ash content will be tested in the second part or the project </w:t>
            </w:r>
            <w:r w:rsidRPr="0006647C">
              <w:rPr>
                <w:rFonts w:cs="Times New Roman"/>
                <w:color w:val="000000" w:themeColor="text1"/>
              </w:rPr>
              <w:fldChar w:fldCharType="begin"/>
            </w:r>
            <w:r w:rsidRPr="0006647C">
              <w:rPr>
                <w:rFonts w:cs="Times New Roman"/>
                <w:color w:val="000000" w:themeColor="text1"/>
              </w:rPr>
              <w:instrText xml:space="preserve"> ADDIN EN.CITE &lt;EndNote&gt;&lt;Cite&gt;&lt;Year&gt;2013&lt;/Year&gt;&lt;RecNum&gt;2578&lt;/RecNum&gt;&lt;DisplayText&gt;[6]&lt;/DisplayText&gt;&lt;record&gt;&lt;rec-number&gt;2578&lt;/rec-number&gt;&lt;foreign-keys&gt;&lt;key app="EN" db-id="pf2s5asa4a5xwgetv9j5fferwsfasdd2fz92" timestamp="1557618173"&gt;2578&lt;/key&gt;&lt;key app="ENWeb" db-id=""&gt;0&lt;/key&gt;&lt;/foreign-keys&gt;&lt;ref-type name="Standard"&gt;58&lt;/ref-type&gt;&lt;contributors&gt;&lt;/contributors&gt;&lt;titles&gt;&lt;title&gt;ASTM C1585-13 Standard Test Method for Measurement of Rate of Absorption of Water by Hydraulic-Cement Concretes&lt;/title&gt;&lt;/titles&gt;&lt;dates&gt;&lt;year&gt;2013&lt;/year&gt;&lt;/dates&gt;&lt;pub-location&gt;West Conshohocken, PA&lt;/pub-location&gt;&lt;publisher&gt;ASTM International&lt;/publisher&gt;&lt;urls&gt;&lt;/urls&gt;&lt;electronic-resource-num&gt;&lt;style face="underline" font="default" size="100%"&gt;https://doi.org/10.1520/C1585-13&lt;/style&gt;&lt;/electronic-resource-num&gt;&lt;/record&gt;&lt;/Cite&gt;&lt;/EndNote&gt;</w:instrText>
            </w:r>
            <w:r w:rsidRPr="0006647C">
              <w:rPr>
                <w:rFonts w:cs="Times New Roman"/>
                <w:color w:val="000000" w:themeColor="text1"/>
              </w:rPr>
              <w:fldChar w:fldCharType="separate"/>
            </w:r>
            <w:r w:rsidRPr="0006647C">
              <w:rPr>
                <w:rFonts w:cs="Times New Roman"/>
                <w:noProof/>
                <w:color w:val="000000" w:themeColor="text1"/>
              </w:rPr>
              <w:t>[6]</w:t>
            </w:r>
            <w:r w:rsidRPr="0006647C">
              <w:rPr>
                <w:rFonts w:cs="Times New Roman"/>
                <w:color w:val="000000" w:themeColor="text1"/>
              </w:rPr>
              <w:fldChar w:fldCharType="end"/>
            </w:r>
            <w:r w:rsidRPr="0006647C">
              <w:rPr>
                <w:rFonts w:cs="Times New Roman"/>
                <w:color w:val="000000" w:themeColor="text1"/>
              </w:rPr>
              <w:t xml:space="preserve">. The correlation will be determined for samples with fly ash and compared with the correlation obtained on plain concrete samples. </w:t>
            </w:r>
            <w:r w:rsidRPr="0006647C">
              <w:rPr>
                <w:rFonts w:hAnsi="Calibri"/>
                <w:color w:val="000000" w:themeColor="text1"/>
                <w:kern w:val="24"/>
              </w:rPr>
              <w:t xml:space="preserve">This relationship provides a powerful tool in quality control to obtain </w:t>
            </w:r>
            <w:r w:rsidRPr="0006647C">
              <w:rPr>
                <w:rFonts w:hAnsi="Calibri"/>
                <w:i/>
                <w:iCs/>
                <w:color w:val="000000" w:themeColor="text1"/>
                <w:kern w:val="24"/>
              </w:rPr>
              <w:t xml:space="preserve">FAP </w:t>
            </w:r>
            <w:r w:rsidRPr="0006647C">
              <w:rPr>
                <w:rFonts w:hAnsi="Calibri"/>
                <w:color w:val="000000" w:themeColor="text1"/>
                <w:kern w:val="24"/>
              </w:rPr>
              <w:t>that relates to absorption properties by using a simple immersion test. The fluid absorption properties are key parameters in service life prediction of concrete structures subjected to freezing-and-thawing cycles.</w:t>
            </w:r>
            <w:r w:rsidRPr="0006647C">
              <w:rPr>
                <w:rFonts w:cs="Times New Roman"/>
                <w:color w:val="000000" w:themeColor="text1"/>
              </w:rPr>
              <w:t xml:space="preserve"> These measurements will be finalized by the end of March 2021.</w:t>
            </w: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67C4C453" w14:textId="51147027" w:rsidR="0006647C" w:rsidRDefault="0006647C" w:rsidP="0006647C">
            <w:pPr>
              <w:jc w:val="both"/>
              <w:rPr>
                <w:rFonts w:cs="Times New Roman"/>
                <w:color w:val="000000" w:themeColor="text1"/>
              </w:rPr>
            </w:pPr>
            <w:r w:rsidRPr="0006647C">
              <w:rPr>
                <w:rFonts w:cs="Times New Roman"/>
                <w:color w:val="000000" w:themeColor="text1"/>
              </w:rPr>
              <w:t>X-ray computed tomography will be used to measure the FT damage in mortar samples with varying degrees of saturation. These results will be correlated with the probability of failure obtained on mortar samples with different DOS (</w:t>
            </w:r>
            <w:r w:rsidRPr="0006647C">
              <w:rPr>
                <w:rFonts w:cs="Times New Roman"/>
                <w:color w:val="000000" w:themeColor="text1"/>
              </w:rPr>
              <w:fldChar w:fldCharType="begin"/>
            </w:r>
            <w:r w:rsidRPr="0006647C">
              <w:rPr>
                <w:rFonts w:cs="Times New Roman"/>
                <w:color w:val="000000" w:themeColor="text1"/>
              </w:rPr>
              <w:instrText xml:space="preserve"> REF _Ref56544980 \h </w:instrText>
            </w:r>
            <w:r w:rsidRPr="0006647C">
              <w:rPr>
                <w:rFonts w:cs="Times New Roman"/>
                <w:color w:val="000000" w:themeColor="text1"/>
              </w:rPr>
            </w:r>
            <w:r w:rsidRPr="0006647C">
              <w:rPr>
                <w:rFonts w:cs="Times New Roman"/>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rFonts w:cs="Times New Roman"/>
                <w:color w:val="000000" w:themeColor="text1"/>
              </w:rPr>
              <w:fldChar w:fldCharType="end"/>
            </w:r>
            <w:r w:rsidRPr="0006647C">
              <w:rPr>
                <w:rFonts w:cs="Times New Roman"/>
                <w:color w:val="000000" w:themeColor="text1"/>
              </w:rPr>
              <w:t xml:space="preserve">). </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(CaOXY) develops in the pores of the mortar samples. During the heating period, CaOXY melts. CaOXY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CaOXY is smaller than the reactants. Consequently, during the cooling period, due to the volume shrinkage induced by CaOXY formation, 20% CaCl2 solution can diffuse and refill the pores of the cementitious materials. During the heating process, CaOXY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34BA4869" w14:textId="77777777" w:rsidR="0006647C" w:rsidRPr="0006647C" w:rsidRDefault="0006647C" w:rsidP="0006647C">
            <w:pPr>
              <w:jc w:val="both"/>
              <w:rPr>
                <w:color w:val="000000" w:themeColor="text1"/>
              </w:rPr>
            </w:pPr>
            <w:r w:rsidRPr="0006647C">
              <w:rPr>
                <w:color w:val="000000" w:themeColor="text1"/>
              </w:rPr>
              <w:fldChar w:fldCharType="begin"/>
            </w:r>
            <w:r w:rsidRPr="0006647C">
              <w:rPr>
                <w:color w:val="000000" w:themeColor="text1"/>
              </w:rPr>
              <w:instrText xml:space="preserve"> REF _Ref56709262 \h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2</w:t>
            </w:r>
            <w:r w:rsidRPr="0006647C">
              <w:rPr>
                <w:color w:val="000000" w:themeColor="text1"/>
              </w:rPr>
              <w:fldChar w:fldCharType="end"/>
            </w:r>
            <w:r w:rsidRPr="0006647C">
              <w:rPr>
                <w:color w:val="000000" w:themeColor="text1"/>
              </w:rPr>
              <w:t xml:space="preserve"> shows the preliminary data obtained. It can be seen that the samples with 40% fly ash content did not develop salt damage while samples without fly ash and with 20% fly ash did exhibit salt damage (i.e. positive residual strain). Samples with 0% fly ash and a higher air content resisted the temperature cycles (i.e. salt damage) for longer duration than samples with a lower air content. Samples containing fly ash contain lower amounts of calcium hydroxide. They will thus develop lower amounts of CaOXY </w:t>
            </w:r>
            <w:r w:rsidRPr="0006647C">
              <w:rPr>
                <w:color w:val="000000" w:themeColor="text1"/>
              </w:rPr>
              <w:fldChar w:fldCharType="begin">
                <w:fldData xml:space="preserve">PEVuZE5vdGU+PENpdGU+PEF1dGhvcj5TdXJhbmVuaTwvQXV0aG9yPjxZZWFyPjIwMTc8L1llYXI+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</w:fldData>
              </w:fldChar>
            </w:r>
            <w:r w:rsidRPr="0006647C">
              <w:rPr>
                <w:color w:val="000000" w:themeColor="text1"/>
              </w:rPr>
              <w:instrText xml:space="preserve"> ADDIN EN.CITE </w:instrText>
            </w:r>
            <w:r w:rsidRPr="0006647C">
              <w:rPr>
                <w:color w:val="000000" w:themeColor="text1"/>
              </w:rPr>
              <w:fldChar w:fldCharType="begin">
                <w:fldData xml:space="preserve">PEVuZE5vdGU+PENpdGU+PEF1dGhvcj5TdXJhbmVuaTwvQXV0aG9yPjxZZWFyPjIwMTc8L1llYXI+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</w:fldData>
              </w:fldChar>
            </w:r>
            <w:r w:rsidRPr="0006647C">
              <w:rPr>
                <w:color w:val="000000" w:themeColor="text1"/>
              </w:rPr>
              <w:instrText xml:space="preserve"> ADDIN EN.CITE.DATA </w:instrText>
            </w:r>
            <w:r w:rsidRPr="0006647C">
              <w:rPr>
                <w:color w:val="000000" w:themeColor="text1"/>
              </w:rPr>
            </w:r>
            <w:r w:rsidRPr="0006647C">
              <w:rPr>
                <w:color w:val="000000" w:themeColor="text1"/>
              </w:rPr>
              <w:fldChar w:fldCharType="end"/>
            </w:r>
            <w:r w:rsidRPr="0006647C">
              <w:rPr>
                <w:color w:val="000000" w:themeColor="text1"/>
              </w:rPr>
            </w:r>
            <w:r w:rsidRPr="0006647C">
              <w:rPr>
                <w:color w:val="000000" w:themeColor="text1"/>
              </w:rPr>
              <w:fldChar w:fldCharType="separate"/>
            </w:r>
            <w:r w:rsidRPr="0006647C">
              <w:rPr>
                <w:noProof/>
                <w:color w:val="000000" w:themeColor="text1"/>
              </w:rPr>
              <w:t>[7-9]</w:t>
            </w:r>
            <w:r w:rsidRPr="0006647C">
              <w:rPr>
                <w:color w:val="000000" w:themeColor="text1"/>
              </w:rPr>
              <w:fldChar w:fldCharType="end"/>
            </w:r>
            <w:r w:rsidRPr="0006647C">
              <w:rPr>
                <w:color w:val="000000" w:themeColor="text1"/>
              </w:rPr>
              <w:t xml:space="preserve">. This explains the reduction in salt damage with the increase in fly ash content </w:t>
            </w:r>
          </w:p>
          <w:p w14:paraId="6978ADCC" w14:textId="77777777" w:rsidR="0006647C" w:rsidRPr="0006647C" w:rsidRDefault="0006647C" w:rsidP="0006647C">
            <w:pPr>
              <w:jc w:val="both"/>
              <w:rPr>
                <w:color w:val="000000" w:themeColor="text1"/>
              </w:rPr>
            </w:pPr>
          </w:p>
          <w:p w14:paraId="55B05A27" w14:textId="0D726B28" w:rsidR="0006647C" w:rsidRPr="0006647C" w:rsidRDefault="0006647C" w:rsidP="0006647C">
            <w:pPr>
              <w:pStyle w:val="ListParagraph"/>
              <w:keepNext/>
              <w:ind w:left="0"/>
              <w:jc w:val="center"/>
              <w:rPr>
                <w:color w:val="000000" w:themeColor="text1"/>
              </w:rPr>
            </w:pPr>
            <w:r w:rsidRPr="0006647C">
              <w:rPr>
                <w:noProof/>
                <w:color w:val="000000" w:themeColor="text1"/>
              </w:rPr>
              <w:drawing>
                <wp:inline distT="0" distB="0" distL="0" distR="0" wp14:anchorId="572AB4FB" wp14:editId="31C5D468">
                  <wp:extent cx="3661410"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61410" cy="2495550"/>
                          </a:xfrm>
                          <a:prstGeom prst="rect">
                            <a:avLst/>
                          </a:prstGeom>
                          <a:noFill/>
                          <a:ln>
                            <a:noFill/>
                          </a:ln>
                        </pic:spPr>
                      </pic:pic>
                    </a:graphicData>
                  </a:graphic>
                </wp:inline>
              </w:drawing>
            </w:r>
          </w:p>
          <w:p w14:paraId="697F6B59" w14:textId="77777777" w:rsidR="0006647C" w:rsidRPr="0006647C" w:rsidRDefault="0006647C" w:rsidP="0006647C">
            <w:pPr>
              <w:pStyle w:val="Caption"/>
              <w:rPr>
                <w:color w:val="000000" w:themeColor="text1"/>
              </w:rPr>
            </w:pPr>
            <w:bookmarkStart w:id="2" w:name="_Ref56709262"/>
            <w:r w:rsidRPr="0006647C">
              <w:rPr>
                <w:color w:val="000000" w:themeColor="text1"/>
              </w:rPr>
              <w:t xml:space="preserve">Figure </w:t>
            </w:r>
            <w:r w:rsidRPr="0006647C">
              <w:rPr>
                <w:color w:val="000000" w:themeColor="text1"/>
              </w:rPr>
              <w:fldChar w:fldCharType="begin"/>
            </w:r>
            <w:r w:rsidRPr="0006647C">
              <w:rPr>
                <w:color w:val="000000" w:themeColor="text1"/>
              </w:rPr>
              <w:instrText xml:space="preserve"> SEQ Figure \* ARABIC </w:instrText>
            </w:r>
            <w:r w:rsidRPr="0006647C">
              <w:rPr>
                <w:color w:val="000000" w:themeColor="text1"/>
              </w:rPr>
              <w:fldChar w:fldCharType="separate"/>
            </w:r>
            <w:r w:rsidRPr="0006647C">
              <w:rPr>
                <w:noProof/>
                <w:color w:val="000000" w:themeColor="text1"/>
              </w:rPr>
              <w:t>2</w:t>
            </w:r>
            <w:r w:rsidRPr="0006647C">
              <w:rPr>
                <w:color w:val="000000" w:themeColor="text1"/>
              </w:rPr>
              <w:fldChar w:fldCharType="end"/>
            </w:r>
            <w:bookmarkEnd w:id="2"/>
            <w:r w:rsidRPr="0006647C">
              <w:rPr>
                <w:color w:val="000000" w:themeColor="text1"/>
              </w:rPr>
              <w:t>. Salt damage evolution in mortar samples with varying fly ash content and varying air content.</w:t>
            </w:r>
          </w:p>
          <w:p w14:paraId="584625B9" w14:textId="77777777" w:rsidR="0006647C" w:rsidRPr="0006647C" w:rsidRDefault="0006647C" w:rsidP="0006647C">
            <w:pPr>
              <w:rPr>
                <w:color w:val="000000" w:themeColor="text1"/>
              </w:rPr>
            </w:pPr>
            <w:r w:rsidRPr="0006647C">
              <w:rPr>
                <w:color w:val="000000" w:themeColor="text1"/>
              </w:rPr>
              <w:t xml:space="preserve">Researchers are interested in completing </w:t>
            </w:r>
            <w:r w:rsidRPr="0006647C">
              <w:rPr>
                <w:color w:val="000000" w:themeColor="text1"/>
              </w:rPr>
              <w:fldChar w:fldCharType="begin"/>
            </w:r>
            <w:r w:rsidRPr="0006647C">
              <w:rPr>
                <w:color w:val="000000" w:themeColor="text1"/>
              </w:rPr>
              <w:instrText xml:space="preserve"> REF _Ref56709262 \h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2</w:t>
            </w:r>
            <w:r w:rsidRPr="0006647C">
              <w:rPr>
                <w:color w:val="000000" w:themeColor="text1"/>
              </w:rPr>
              <w:fldChar w:fldCharType="end"/>
            </w:r>
            <w:r w:rsidRPr="0006647C">
              <w:rPr>
                <w:color w:val="000000" w:themeColor="text1"/>
              </w:rPr>
              <w:t xml:space="preserve"> with samples containing intermediate fly ash content: 25%, 30% and 35%. They did prepare the samples and start preconditioning them for this purpose. The experiments will be finished by the end of April 2021. </w:t>
            </w:r>
          </w:p>
          <w:p w14:paraId="162215BB" w14:textId="77777777"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3D64347E"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483E9FB0" w14:textId="77777777" w:rsidR="0006647C" w:rsidRPr="0006647C" w:rsidRDefault="0006647C" w:rsidP="0006647C">
            <w:pPr>
              <w:jc w:val="both"/>
              <w:rPr>
                <w:rFonts w:cs="Times New Roman"/>
                <w:color w:val="000000" w:themeColor="text1"/>
              </w:rPr>
            </w:pPr>
            <w:r w:rsidRPr="0006647C">
              <w:rPr>
                <w:rFonts w:cs="Times New Roman"/>
                <w:color w:val="000000" w:themeColor="text1"/>
              </w:rPr>
              <w:t>Differential scanning calorimetry (DSC) is an experimental technique in which the difference in the amount of heat required to increase the temperature of a sample compared to a reference is measured as a function of the temperature. This technique can be used to determine the phase change in the sample as well as quantity of material undergoing the phase change. A powder will be prepared from each mix design tested in task 6 (salt damage) and will be mixed with 20% CaCl</w:t>
            </w:r>
            <w:r w:rsidRPr="0006647C">
              <w:rPr>
                <w:rFonts w:cs="Times New Roman"/>
                <w:color w:val="000000" w:themeColor="text1"/>
                <w:vertAlign w:val="subscript"/>
              </w:rPr>
              <w:t>2</w:t>
            </w:r>
            <w:r w:rsidRPr="0006647C">
              <w:rPr>
                <w:rFonts w:cs="Times New Roman"/>
                <w:color w:val="000000" w:themeColor="text1"/>
              </w:rPr>
              <w:t xml:space="preserve"> solution at a ratio of 4:1 </w:t>
            </w:r>
            <w:r w:rsidRPr="0006647C">
              <w:rPr>
                <w:rFonts w:cs="Times New Roman"/>
                <w:color w:val="000000" w:themeColor="text1"/>
              </w:rPr>
              <w:fldChar w:fldCharType="begin"/>
            </w:r>
            <w:r w:rsidRPr="0006647C">
              <w:rPr>
                <w:rFonts w:cs="Times New Roman"/>
                <w:color w:val="000000" w:themeColor="text1"/>
              </w:rPr>
              <w:instrText xml:space="preserve"> ADDIN EN.CITE &lt;EndNote&gt;&lt;Cite&gt;&lt;Author&gt;Suraneni&lt;/Author&gt;&lt;Year&gt;2018&lt;/Year&gt;&lt;RecNum&gt;1829&lt;/RecNum&gt;&lt;DisplayText&gt;[10]&lt;/DisplayText&gt;&lt;record&gt;&lt;rec-number&gt;1829&lt;/rec-number&gt;&lt;foreign-keys&gt;&lt;key app="EN" db-id="pf2s5asa4a5xwgetv9j5fferwsfasdd2fz92" timestamp="1524286542"&gt;1829&lt;/key&gt;&lt;/foreign-keys&gt;&lt;ref-type name="Journal Article"&gt;17&lt;/ref-type&gt;&lt;contributors&gt;&lt;authors&gt;&lt;author&gt;Suraneni, P.&lt;/author&gt;&lt;author&gt;Weiss, J.&lt;/author&gt;&lt;/authors&gt;&lt;/contributors&gt;&lt;titles&gt;&lt;title&gt;Extending Low-Temperature Differential Scanning Calorimetry from Paste to Mortar and Concrete to Quantify the Potential for Calcium Oxychloride Formation&lt;/title&gt;&lt;secondary-title&gt;Advances in Civil Engineering Materials&lt;/secondary-title&gt;&lt;/titles&gt;&lt;periodical&gt;&lt;full-title&gt;Advances in Civil Engineering Materials&lt;/full-title&gt;&lt;/periodical&gt;&lt;pages&gt;1-16&lt;/pages&gt;&lt;volume&gt;7&lt;/volume&gt;&lt;number&gt;1&lt;/number&gt;&lt;dates&gt;&lt;year&gt;2018&lt;/year&gt;&lt;/dates&gt;&lt;isbn&gt;2379-1357&lt;/isbn&gt;&lt;urls&gt;&lt;/urls&gt;&lt;electronic-resource-num&gt;&lt;style face="underline" font="default" size="100%"&gt;https://doi.org/10.1520/ACEM20170113&lt;/style&gt;&lt;/electronic-resource-num&gt;&lt;/record&gt;&lt;/Cite&gt;&lt;/EndNote&gt;</w:instrText>
            </w:r>
            <w:r w:rsidRPr="0006647C">
              <w:rPr>
                <w:rFonts w:cs="Times New Roman"/>
                <w:color w:val="000000" w:themeColor="text1"/>
              </w:rPr>
              <w:fldChar w:fldCharType="separate"/>
            </w:r>
            <w:r w:rsidRPr="0006647C">
              <w:rPr>
                <w:rFonts w:cs="Times New Roman"/>
                <w:noProof/>
                <w:color w:val="000000" w:themeColor="text1"/>
              </w:rPr>
              <w:t>[10]</w:t>
            </w:r>
            <w:r w:rsidRPr="0006647C">
              <w:rPr>
                <w:rFonts w:cs="Times New Roman"/>
                <w:color w:val="000000" w:themeColor="text1"/>
              </w:rPr>
              <w:fldChar w:fldCharType="end"/>
            </w:r>
            <w:r w:rsidRPr="0006647C">
              <w:rPr>
                <w:rFonts w:cs="Times New Roman"/>
                <w:color w:val="000000" w:themeColor="text1"/>
              </w:rPr>
              <w:t>. The CaOXY that develops will be quantified. The volume of calcium oxychloride will then be concluded.</w:t>
            </w:r>
          </w:p>
          <w:p w14:paraId="2580FB94"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CaOXY (formation and melting). The measurements obtained from X-ray CT will be compared with the volume of calcium oxychloride measurements using the LT-DSC </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0E3E0620" w:rsidR="0006647C" w:rsidRPr="0006647C" w:rsidRDefault="0006647C" w:rsidP="0006647C">
            <w:pPr>
              <w:jc w:val="both"/>
              <w:rPr>
                <w:color w:val="000000" w:themeColor="text1"/>
              </w:rPr>
            </w:pPr>
            <w:r w:rsidRPr="0006647C">
              <w:rPr>
                <w:color w:val="000000" w:themeColor="text1"/>
              </w:rPr>
              <w:t xml:space="preserve">This </w:t>
            </w:r>
            <w:r w:rsidR="00A84DBF">
              <w:rPr>
                <w:color w:val="000000" w:themeColor="text1"/>
              </w:rPr>
              <w:t xml:space="preserve">will be done at the end of the project.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Determine how construction methods such as pumping, mixing time, paving vibration, and hand held vibrators impact the air void spacing within concrete</w:t>
            </w:r>
          </w:p>
          <w:p w14:paraId="126E4D5D" w14:textId="77777777" w:rsidR="0006647C" w:rsidRPr="0006647C" w:rsidRDefault="0006647C" w:rsidP="0006647C">
            <w:pPr>
              <w:jc w:val="both"/>
              <w:rPr>
                <w:color w:val="000000" w:themeColor="text1"/>
              </w:rPr>
            </w:pPr>
            <w:r w:rsidRPr="0006647C">
              <w:rPr>
                <w:color w:val="000000" w:themeColor="text1"/>
              </w:rPr>
              <w:t>OK state is looking at vibration and how it impacts the air void system in concrete.  Some of this is to improve the SAM and the accuracy with low slump concrete.  Some of this is with field concrete and with different vibration.  We are also going to do some field mixing time measurements.</w:t>
            </w:r>
          </w:p>
          <w:p w14:paraId="1AC076CF" w14:textId="77777777" w:rsidR="0006647C" w:rsidRPr="0006647C" w:rsidRDefault="0006647C" w:rsidP="0006647C">
            <w:pPr>
              <w:jc w:val="both"/>
              <w:rPr>
                <w:color w:val="000000" w:themeColor="text1"/>
              </w:rPr>
            </w:pPr>
          </w:p>
          <w:p w14:paraId="649AB04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1D6A504B" w14:textId="0A4E83D7" w:rsidR="0006647C" w:rsidRPr="0006647C" w:rsidRDefault="0006647C" w:rsidP="0006647C">
            <w:pPr>
              <w:jc w:val="both"/>
              <w:rPr>
                <w:color w:val="000000" w:themeColor="text1"/>
              </w:rPr>
            </w:pPr>
            <w:r w:rsidRPr="0006647C">
              <w:rPr>
                <w:color w:val="000000" w:themeColor="text1"/>
              </w:rPr>
              <w:t xml:space="preserve">There is a new gauge that will be released as part of the project.  We are also working on the </w:t>
            </w:r>
            <w:r w:rsidR="00A84DBF">
              <w:rPr>
                <w:color w:val="000000" w:themeColor="text1"/>
              </w:rPr>
              <w:t xml:space="preserve">error </w:t>
            </w:r>
            <w:r w:rsidRPr="0006647C">
              <w:rPr>
                <w:color w:val="000000" w:themeColor="text1"/>
              </w:rPr>
              <w:t>algorithm to improve it.  We have done some work to automate different parts of the SAM test but more work is needed.</w:t>
            </w:r>
            <w:r w:rsidR="00A84DBF">
              <w:rPr>
                <w:color w:val="000000" w:themeColor="text1"/>
              </w:rPr>
              <w:t xml:space="preserve">  The states should be provided new gauges soon.</w:t>
            </w: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77777777" w:rsidR="0006647C" w:rsidRPr="0006647C" w:rsidRDefault="0006647C" w:rsidP="0006647C">
            <w:pPr>
              <w:jc w:val="both"/>
              <w:rPr>
                <w:color w:val="000000" w:themeColor="text1"/>
              </w:rPr>
            </w:pPr>
            <w:r w:rsidRPr="0006647C">
              <w:rPr>
                <w:color w:val="000000" w:themeColor="text1"/>
              </w:rPr>
              <w:t xml:space="preserve">In this research study, the authors have been determining the critical degree of saturation for different mixtures. In addition for some of these mixtures they will be measuring the formation factor and correlating it with the sorptivity coefficient. Consequently, they will work on finding a correlation between the second sorptivity coefficient value and the critical degree of saturation </w:t>
            </w: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03A57E16"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fldChar w:fldCharType="begin"/>
            </w:r>
            <w:r w:rsidRPr="0006647C">
              <w:rPr>
                <w:color w:val="000000" w:themeColor="text1"/>
              </w:rPr>
              <w:instrText xml:space="preserve"> ADDIN EN.REFLIST </w:instrText>
            </w:r>
            <w:r w:rsidRPr="0006647C">
              <w:rPr>
                <w:color w:val="000000" w:themeColor="text1"/>
              </w:rPr>
              <w:fldChar w:fldCharType="separate"/>
            </w:r>
            <w:r w:rsidRPr="0006647C">
              <w:rPr>
                <w:color w:val="000000" w:themeColor="text1"/>
              </w:rPr>
              <w:t>1.</w:t>
            </w:r>
            <w:r w:rsidRPr="0006647C">
              <w:rPr>
                <w:color w:val="000000" w:themeColor="text1"/>
              </w:rPr>
              <w:tab/>
              <w:t xml:space="preserve">Ley, M.T., et al., </w:t>
            </w:r>
            <w:r w:rsidRPr="0006647C">
              <w:rPr>
                <w:i w:val="0"/>
                <w:color w:val="000000" w:themeColor="text1"/>
              </w:rPr>
              <w:t>Determining the air-void distribution in fresh concrete with the Sequential Air Method.</w:t>
            </w:r>
            <w:r w:rsidRPr="0006647C">
              <w:rPr>
                <w:color w:val="000000" w:themeColor="text1"/>
              </w:rPr>
              <w:t xml:space="preserve"> Construction and Building Materials, 2017. </w:t>
            </w:r>
            <w:r w:rsidRPr="0006647C">
              <w:rPr>
                <w:b/>
                <w:color w:val="000000" w:themeColor="text1"/>
              </w:rPr>
              <w:t>150</w:t>
            </w:r>
            <w:r w:rsidRPr="0006647C">
              <w:rPr>
                <w:color w:val="000000" w:themeColor="text1"/>
              </w:rPr>
              <w:t>: p. 723-737.</w:t>
            </w:r>
          </w:p>
          <w:p w14:paraId="7EE2C9BC"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2.</w:t>
            </w:r>
            <w:r w:rsidRPr="0006647C">
              <w:rPr>
                <w:color w:val="000000" w:themeColor="text1"/>
              </w:rPr>
              <w:tab/>
              <w:t xml:space="preserve">Todak, H.N., </w:t>
            </w:r>
            <w:r w:rsidRPr="0006647C">
              <w:rPr>
                <w:i w:val="0"/>
                <w:color w:val="000000" w:themeColor="text1"/>
              </w:rPr>
              <w:t>Durability assessments of concrete using electrical properties and acoustic emission testing</w:t>
            </w:r>
            <w:r w:rsidRPr="0006647C">
              <w:rPr>
                <w:color w:val="000000" w:themeColor="text1"/>
              </w:rPr>
              <w:t xml:space="preserve">, in </w:t>
            </w:r>
            <w:r w:rsidRPr="0006647C">
              <w:rPr>
                <w:i w:val="0"/>
                <w:color w:val="000000" w:themeColor="text1"/>
              </w:rPr>
              <w:t>School of Civil Engineering</w:t>
            </w:r>
            <w:r w:rsidRPr="0006647C">
              <w:rPr>
                <w:color w:val="000000" w:themeColor="text1"/>
              </w:rPr>
              <w:t>. 2015, Purdue University: West Lafayette. p. 143.</w:t>
            </w:r>
          </w:p>
          <w:p w14:paraId="5D6236E4"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3.</w:t>
            </w:r>
            <w:r w:rsidRPr="0006647C">
              <w:rPr>
                <w:color w:val="000000" w:themeColor="text1"/>
              </w:rPr>
              <w:tab/>
              <w:t xml:space="preserve">Ghantous, R.M., et al., </w:t>
            </w:r>
            <w:r w:rsidRPr="0006647C">
              <w:rPr>
                <w:i w:val="0"/>
                <w:color w:val="000000" w:themeColor="text1"/>
              </w:rPr>
              <w:t>Determining the freeze-thaw performance of mortar samples using length change measurements during freezing.</w:t>
            </w:r>
            <w:r w:rsidRPr="0006647C">
              <w:rPr>
                <w:color w:val="000000" w:themeColor="text1"/>
              </w:rPr>
              <w:t xml:space="preserve"> accepted in cement and concrete composite 2020.</w:t>
            </w:r>
          </w:p>
          <w:p w14:paraId="1BE0C3F0"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4.</w:t>
            </w:r>
            <w:r w:rsidRPr="0006647C">
              <w:rPr>
                <w:color w:val="000000" w:themeColor="text1"/>
              </w:rPr>
              <w:tab/>
              <w:t xml:space="preserve">Khanzadeh Moradllo, M., et al., </w:t>
            </w:r>
            <w:r w:rsidRPr="0006647C">
              <w:rPr>
                <w:i w:val="0"/>
                <w:color w:val="000000" w:themeColor="text1"/>
              </w:rPr>
              <w:t>Quantifying fluid filling of the air voids in air entrained concrete using neutron radiography.</w:t>
            </w:r>
            <w:r w:rsidRPr="0006647C">
              <w:rPr>
                <w:color w:val="000000" w:themeColor="text1"/>
              </w:rPr>
              <w:t xml:space="preserve"> Cement and Concrete Composites, 2019. </w:t>
            </w:r>
            <w:r w:rsidRPr="0006647C">
              <w:rPr>
                <w:b/>
                <w:color w:val="000000" w:themeColor="text1"/>
              </w:rPr>
              <w:t>104</w:t>
            </w:r>
            <w:r w:rsidRPr="0006647C">
              <w:rPr>
                <w:color w:val="000000" w:themeColor="text1"/>
              </w:rPr>
              <w:t>.</w:t>
            </w:r>
          </w:p>
          <w:p w14:paraId="18C99260"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5.</w:t>
            </w:r>
            <w:r w:rsidRPr="0006647C">
              <w:rPr>
                <w:color w:val="000000" w:themeColor="text1"/>
              </w:rPr>
              <w:tab/>
              <w:t xml:space="preserve">Moradllo, M.K., et al., </w:t>
            </w:r>
            <w:r w:rsidRPr="0006647C">
              <w:rPr>
                <w:i w:val="0"/>
                <w:color w:val="000000" w:themeColor="text1"/>
              </w:rPr>
              <w:t>Relating the formation factor of concrete to water absorption.</w:t>
            </w:r>
            <w:r w:rsidRPr="0006647C">
              <w:rPr>
                <w:color w:val="000000" w:themeColor="text1"/>
              </w:rPr>
              <w:t xml:space="preserve"> ACI Mater. J., 2018. </w:t>
            </w:r>
            <w:r w:rsidRPr="0006647C">
              <w:rPr>
                <w:b/>
                <w:color w:val="000000" w:themeColor="text1"/>
              </w:rPr>
              <w:t>Submitted</w:t>
            </w:r>
            <w:r w:rsidRPr="0006647C">
              <w:rPr>
                <w:color w:val="000000" w:themeColor="text1"/>
              </w:rPr>
              <w:t>.</w:t>
            </w:r>
          </w:p>
          <w:p w14:paraId="08012B98"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6.</w:t>
            </w:r>
            <w:r w:rsidRPr="0006647C">
              <w:rPr>
                <w:color w:val="000000" w:themeColor="text1"/>
              </w:rPr>
              <w:tab/>
            </w:r>
            <w:r w:rsidRPr="0006647C">
              <w:rPr>
                <w:i w:val="0"/>
                <w:color w:val="000000" w:themeColor="text1"/>
              </w:rPr>
              <w:t>ASTM C1585-13 Standard Test Method for Measurement of Rate of Absorption of Water by Hydraulic-Cement Concretes</w:t>
            </w:r>
            <w:r w:rsidRPr="0006647C">
              <w:rPr>
                <w:color w:val="000000" w:themeColor="text1"/>
              </w:rPr>
              <w:t>. 2013, ASTM International: West Conshohocken, PA.</w:t>
            </w:r>
          </w:p>
          <w:p w14:paraId="2FF21AF8"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7.</w:t>
            </w:r>
            <w:r w:rsidRPr="0006647C">
              <w:rPr>
                <w:color w:val="000000" w:themeColor="text1"/>
              </w:rPr>
              <w:tab/>
              <w:t xml:space="preserve">Suraneni, P., et al., </w:t>
            </w:r>
            <w:r w:rsidRPr="0006647C">
              <w:rPr>
                <w:i w:val="0"/>
                <w:color w:val="000000" w:themeColor="text1"/>
              </w:rPr>
              <w:t>Use of fly ash to minimize deicing salt damage in concrete pavements.</w:t>
            </w:r>
            <w:r w:rsidRPr="0006647C">
              <w:rPr>
                <w:color w:val="000000" w:themeColor="text1"/>
              </w:rPr>
              <w:t xml:space="preserve"> Journal of the Transportation Research Board, 2017. </w:t>
            </w:r>
            <w:r w:rsidRPr="0006647C">
              <w:rPr>
                <w:b/>
                <w:color w:val="000000" w:themeColor="text1"/>
              </w:rPr>
              <w:t>2629</w:t>
            </w:r>
            <w:r w:rsidRPr="0006647C">
              <w:rPr>
                <w:color w:val="000000" w:themeColor="text1"/>
              </w:rPr>
              <w:t>: p. 24-32.</w:t>
            </w:r>
          </w:p>
          <w:p w14:paraId="76017122"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8.</w:t>
            </w:r>
            <w:r w:rsidRPr="0006647C">
              <w:rPr>
                <w:color w:val="000000" w:themeColor="text1"/>
              </w:rPr>
              <w:tab/>
              <w:t xml:space="preserve">Suraneni, P., et al., </w:t>
            </w:r>
            <w:r w:rsidRPr="0006647C">
              <w:rPr>
                <w:i w:val="0"/>
                <w:color w:val="000000" w:themeColor="text1"/>
              </w:rPr>
              <w:t>Role of supplementary cementitious material type in the mitigation of calcium oxychloride formation in cementitious pastes.</w:t>
            </w:r>
            <w:r w:rsidRPr="0006647C">
              <w:rPr>
                <w:color w:val="000000" w:themeColor="text1"/>
              </w:rPr>
              <w:t xml:space="preserve"> Journal of Materials in Civil Engineering, 2018. </w:t>
            </w:r>
            <w:r w:rsidRPr="0006647C">
              <w:rPr>
                <w:b/>
                <w:color w:val="000000" w:themeColor="text1"/>
              </w:rPr>
              <w:t>30</w:t>
            </w:r>
            <w:r w:rsidRPr="0006647C">
              <w:rPr>
                <w:color w:val="000000" w:themeColor="text1"/>
              </w:rPr>
              <w:t>: p. 1-10.</w:t>
            </w:r>
          </w:p>
          <w:p w14:paraId="305E2BC6" w14:textId="77777777" w:rsidR="0006647C" w:rsidRPr="0006647C" w:rsidRDefault="0006647C" w:rsidP="0006647C">
            <w:pPr>
              <w:pStyle w:val="EndNoteBibliography"/>
              <w:spacing w:after="0"/>
              <w:ind w:left="720" w:hanging="720"/>
              <w:rPr>
                <w:color w:val="000000" w:themeColor="text1"/>
              </w:rPr>
            </w:pPr>
            <w:r w:rsidRPr="0006647C">
              <w:rPr>
                <w:color w:val="000000" w:themeColor="text1"/>
              </w:rPr>
              <w:t>9.</w:t>
            </w:r>
            <w:r w:rsidRPr="0006647C">
              <w:rPr>
                <w:color w:val="000000" w:themeColor="text1"/>
              </w:rPr>
              <w:tab/>
              <w:t xml:space="preserve">Suraneni, P., et al., </w:t>
            </w:r>
            <w:r w:rsidRPr="0006647C">
              <w:rPr>
                <w:i w:val="0"/>
                <w:color w:val="000000" w:themeColor="text1"/>
              </w:rPr>
              <w:t>Calcium oxychloride formation potential in cementitious pastes exposed to blends of deicing salt.</w:t>
            </w:r>
            <w:r w:rsidRPr="0006647C">
              <w:rPr>
                <w:color w:val="000000" w:themeColor="text1"/>
              </w:rPr>
              <w:t xml:space="preserve"> ACI Materials Journal, 2017. </w:t>
            </w:r>
            <w:r w:rsidRPr="0006647C">
              <w:rPr>
                <w:b/>
                <w:color w:val="000000" w:themeColor="text1"/>
              </w:rPr>
              <w:t>114</w:t>
            </w:r>
            <w:r w:rsidRPr="0006647C">
              <w:rPr>
                <w:color w:val="000000" w:themeColor="text1"/>
              </w:rPr>
              <w:t>(4): p. 631-641.</w:t>
            </w:r>
          </w:p>
          <w:p w14:paraId="27C21FAD" w14:textId="77777777" w:rsidR="0006647C" w:rsidRPr="0006647C" w:rsidRDefault="0006647C" w:rsidP="0006647C">
            <w:pPr>
              <w:pStyle w:val="EndNoteBibliography"/>
              <w:ind w:left="720" w:hanging="720"/>
              <w:rPr>
                <w:color w:val="000000" w:themeColor="text1"/>
              </w:rPr>
            </w:pPr>
            <w:r w:rsidRPr="0006647C">
              <w:rPr>
                <w:color w:val="000000" w:themeColor="text1"/>
              </w:rPr>
              <w:t>10.</w:t>
            </w:r>
            <w:r w:rsidRPr="0006647C">
              <w:rPr>
                <w:color w:val="000000" w:themeColor="text1"/>
              </w:rPr>
              <w:tab/>
              <w:t xml:space="preserve">Suraneni, P. and J. Weiss, </w:t>
            </w:r>
            <w:r w:rsidRPr="0006647C">
              <w:rPr>
                <w:i w:val="0"/>
                <w:color w:val="000000" w:themeColor="text1"/>
              </w:rPr>
              <w:t>Extending Low-Temperature Differential Scanning Calorimetry from Paste to Mortar and Concrete to Quantify the Potential for Calcium Oxychloride Formation.</w:t>
            </w:r>
            <w:r w:rsidRPr="0006647C">
              <w:rPr>
                <w:color w:val="000000" w:themeColor="text1"/>
              </w:rPr>
              <w:t xml:space="preserve"> Advances in Civil Engineering Materials, 2018. </w:t>
            </w:r>
            <w:r w:rsidRPr="0006647C">
              <w:rPr>
                <w:b/>
                <w:color w:val="000000" w:themeColor="text1"/>
              </w:rPr>
              <w:t>7</w:t>
            </w:r>
            <w:r w:rsidRPr="0006647C">
              <w:rPr>
                <w:color w:val="000000" w:themeColor="text1"/>
              </w:rPr>
              <w:t>(1): p. 1-16.</w:t>
            </w:r>
          </w:p>
          <w:p w14:paraId="5D45F408" w14:textId="77777777" w:rsidR="0006647C" w:rsidRPr="0006647C" w:rsidRDefault="0006647C" w:rsidP="0006647C">
            <w:pPr>
              <w:rPr>
                <w:rFonts w:ascii="Times New Roman" w:hAnsi="Times New Roman" w:cs="Times New Roman"/>
                <w:color w:val="000000" w:themeColor="text1"/>
                <w:sz w:val="24"/>
                <w:szCs w:val="24"/>
              </w:rPr>
            </w:pPr>
            <w:r w:rsidRPr="0006647C">
              <w:rPr>
                <w:color w:val="000000" w:themeColor="text1"/>
              </w:rPr>
              <w:fldChar w:fldCharType="end"/>
            </w: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3D938DA6" w:rsidR="00911B57" w:rsidRPr="004C58D2" w:rsidRDefault="00A84DBF" w:rsidP="004C58D2">
            <w:pPr>
              <w:rPr>
                <w:rFonts w:ascii="Arial" w:hAnsi="Arial" w:cs="Arial"/>
                <w:sz w:val="20"/>
                <w:szCs w:val="20"/>
              </w:rPr>
            </w:pPr>
            <w:r>
              <w:rPr>
                <w:rFonts w:ascii="Arial" w:hAnsi="Arial" w:cs="Arial"/>
                <w:sz w:val="20"/>
                <w:szCs w:val="20"/>
              </w:rPr>
              <w:t>Continue to work on each task and hold biweekly meetings.</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C5EDC28" w14:textId="77777777" w:rsidTr="00CC09EF">
        <w:tc>
          <w:tcPr>
            <w:tcW w:w="10908" w:type="dxa"/>
          </w:tcPr>
          <w:p w14:paraId="4E2DD3D8" w14:textId="77777777" w:rsidR="00E35E0F" w:rsidRDefault="00E35E0F" w:rsidP="00551D8A">
            <w:pPr>
              <w:ind w:right="-720"/>
              <w:rPr>
                <w:rFonts w:ascii="Arial" w:hAnsi="Arial" w:cs="Arial"/>
                <w:b/>
                <w:sz w:val="20"/>
                <w:szCs w:val="20"/>
              </w:rPr>
            </w:pPr>
          </w:p>
          <w:p w14:paraId="4F24F0B1"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7328D5E" w14:textId="77777777" w:rsidR="00601EBD" w:rsidRDefault="00601EBD" w:rsidP="00551D8A">
            <w:pPr>
              <w:ind w:right="-720"/>
              <w:rPr>
                <w:rFonts w:ascii="Arial" w:hAnsi="Arial" w:cs="Arial"/>
                <w:b/>
                <w:sz w:val="20"/>
                <w:szCs w:val="20"/>
              </w:rPr>
            </w:pPr>
          </w:p>
          <w:p w14:paraId="117D0EFC" w14:textId="77777777" w:rsidR="00556305" w:rsidRDefault="00556305" w:rsidP="00551D8A">
            <w:pPr>
              <w:ind w:right="-720"/>
              <w:rPr>
                <w:rFonts w:ascii="Arial" w:hAnsi="Arial" w:cs="Arial"/>
                <w:b/>
                <w:sz w:val="20"/>
                <w:szCs w:val="20"/>
              </w:rPr>
            </w:pPr>
          </w:p>
          <w:p w14:paraId="05B49904" w14:textId="77777777" w:rsidR="00601EBD" w:rsidRDefault="00601EBD" w:rsidP="00B33335">
            <w:pPr>
              <w:ind w:right="-720"/>
              <w:rPr>
                <w:rFonts w:ascii="Arial" w:hAnsi="Arial" w:cs="Arial"/>
                <w:b/>
                <w:sz w:val="20"/>
                <w:szCs w:val="20"/>
              </w:rPr>
            </w:pPr>
          </w:p>
        </w:tc>
      </w:tr>
      <w:tr w:rsidR="00601EBD" w14:paraId="5D6BC152" w14:textId="77777777" w:rsidTr="00CC09EF">
        <w:tc>
          <w:tcPr>
            <w:tcW w:w="10908" w:type="dxa"/>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4"/>
      <w:pgSz w:w="12240" w:h="15840"/>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y, Tyler" w:date="2021-02-27T23:37:00Z" w:initials="LT">
    <w:p w14:paraId="4075C71B" w14:textId="237D0A7C" w:rsidR="00761DC5" w:rsidRDefault="00761DC5">
      <w:pPr>
        <w:pStyle w:val="CommentText"/>
      </w:pPr>
      <w:r>
        <w:rPr>
          <w:rStyle w:val="CommentReference"/>
        </w:rPr>
        <w:annotationRef/>
      </w:r>
      <w:r>
        <w:t>Gary – I am not sure what is supposed to go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75C7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55623" w16cex:dateUtc="2021-02-28T0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75C71B" w16cid:durableId="23E556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AF40F" w14:textId="77777777" w:rsidR="0005120B" w:rsidRDefault="0005120B" w:rsidP="00106C83">
      <w:pPr>
        <w:spacing w:after="0" w:line="240" w:lineRule="auto"/>
      </w:pPr>
      <w:r>
        <w:separator/>
      </w:r>
    </w:p>
  </w:endnote>
  <w:endnote w:type="continuationSeparator" w:id="0">
    <w:p w14:paraId="103B9799" w14:textId="77777777" w:rsidR="0005120B" w:rsidRDefault="0005120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4C8A9" w14:textId="77777777" w:rsidR="00B22EC9" w:rsidRDefault="00B22EC9" w:rsidP="00E371D1">
    <w:pPr>
      <w:pStyle w:val="Footer"/>
      <w:ind w:left="-810"/>
    </w:pPr>
    <w:r>
      <w:t>TPF Program Standard Quarterly Reporting Format – 7/2011</w:t>
    </w:r>
  </w:p>
  <w:p w14:paraId="1412D503" w14:textId="77777777" w:rsidR="00B22EC9" w:rsidRDefault="00B22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FE7E4" w14:textId="77777777" w:rsidR="0005120B" w:rsidRDefault="0005120B" w:rsidP="00106C83">
      <w:pPr>
        <w:spacing w:after="0" w:line="240" w:lineRule="auto"/>
      </w:pPr>
      <w:r>
        <w:separator/>
      </w:r>
    </w:p>
  </w:footnote>
  <w:footnote w:type="continuationSeparator" w:id="0">
    <w:p w14:paraId="3C1FC265" w14:textId="77777777" w:rsidR="0005120B" w:rsidRDefault="0005120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rwUAlTFLrywAAAA="/>
  </w:docVars>
  <w:rsids>
    <w:rsidRoot w:val="00551D8A"/>
    <w:rsid w:val="0002001F"/>
    <w:rsid w:val="00037FBC"/>
    <w:rsid w:val="00050209"/>
    <w:rsid w:val="0005120B"/>
    <w:rsid w:val="000561FA"/>
    <w:rsid w:val="00060363"/>
    <w:rsid w:val="0006647C"/>
    <w:rsid w:val="000736BB"/>
    <w:rsid w:val="0007539D"/>
    <w:rsid w:val="00077FAD"/>
    <w:rsid w:val="000868BE"/>
    <w:rsid w:val="000A3454"/>
    <w:rsid w:val="000B3735"/>
    <w:rsid w:val="000B665A"/>
    <w:rsid w:val="000C0E8A"/>
    <w:rsid w:val="000C67ED"/>
    <w:rsid w:val="000F4D62"/>
    <w:rsid w:val="0010067B"/>
    <w:rsid w:val="00106C83"/>
    <w:rsid w:val="0011696C"/>
    <w:rsid w:val="00123D2A"/>
    <w:rsid w:val="0012799D"/>
    <w:rsid w:val="00132230"/>
    <w:rsid w:val="00144EB5"/>
    <w:rsid w:val="001547D0"/>
    <w:rsid w:val="00155CE2"/>
    <w:rsid w:val="00161031"/>
    <w:rsid w:val="00161153"/>
    <w:rsid w:val="00161AB9"/>
    <w:rsid w:val="00163B27"/>
    <w:rsid w:val="001A261E"/>
    <w:rsid w:val="001D18C9"/>
    <w:rsid w:val="001F0173"/>
    <w:rsid w:val="001F0DCE"/>
    <w:rsid w:val="001F6903"/>
    <w:rsid w:val="00203A45"/>
    <w:rsid w:val="00211F5F"/>
    <w:rsid w:val="0021352F"/>
    <w:rsid w:val="0021446D"/>
    <w:rsid w:val="00227820"/>
    <w:rsid w:val="00233C13"/>
    <w:rsid w:val="00241521"/>
    <w:rsid w:val="0025739A"/>
    <w:rsid w:val="0026486A"/>
    <w:rsid w:val="002672C3"/>
    <w:rsid w:val="002722AF"/>
    <w:rsid w:val="0028623B"/>
    <w:rsid w:val="0029389E"/>
    <w:rsid w:val="00293FD8"/>
    <w:rsid w:val="00294EB4"/>
    <w:rsid w:val="002A79C8"/>
    <w:rsid w:val="002B2CC2"/>
    <w:rsid w:val="002B7BF4"/>
    <w:rsid w:val="002C4D77"/>
    <w:rsid w:val="002D3B4B"/>
    <w:rsid w:val="002D76A8"/>
    <w:rsid w:val="002D7EF7"/>
    <w:rsid w:val="002E06AA"/>
    <w:rsid w:val="002E65AE"/>
    <w:rsid w:val="00325293"/>
    <w:rsid w:val="00343DF1"/>
    <w:rsid w:val="003540F1"/>
    <w:rsid w:val="003567B1"/>
    <w:rsid w:val="00370BF4"/>
    <w:rsid w:val="003800C0"/>
    <w:rsid w:val="0038705A"/>
    <w:rsid w:val="0038709C"/>
    <w:rsid w:val="003A2AF2"/>
    <w:rsid w:val="003B082A"/>
    <w:rsid w:val="003F7BB4"/>
    <w:rsid w:val="00413CB7"/>
    <w:rsid w:val="004144E6"/>
    <w:rsid w:val="004156B2"/>
    <w:rsid w:val="004311D4"/>
    <w:rsid w:val="00433A77"/>
    <w:rsid w:val="00435281"/>
    <w:rsid w:val="00436EF1"/>
    <w:rsid w:val="00437734"/>
    <w:rsid w:val="0044635E"/>
    <w:rsid w:val="00457FA1"/>
    <w:rsid w:val="00484F0D"/>
    <w:rsid w:val="004956BF"/>
    <w:rsid w:val="004A26BE"/>
    <w:rsid w:val="004C079C"/>
    <w:rsid w:val="004C1726"/>
    <w:rsid w:val="004C57EC"/>
    <w:rsid w:val="004C58D2"/>
    <w:rsid w:val="004C7212"/>
    <w:rsid w:val="004E141E"/>
    <w:rsid w:val="004E14DC"/>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7022"/>
    <w:rsid w:val="005B4B63"/>
    <w:rsid w:val="005C6A5C"/>
    <w:rsid w:val="005D7C81"/>
    <w:rsid w:val="005F3250"/>
    <w:rsid w:val="005F6BDC"/>
    <w:rsid w:val="006003B5"/>
    <w:rsid w:val="00601EBD"/>
    <w:rsid w:val="00604C53"/>
    <w:rsid w:val="0061031C"/>
    <w:rsid w:val="00614CD0"/>
    <w:rsid w:val="00614D48"/>
    <w:rsid w:val="00632824"/>
    <w:rsid w:val="0064790A"/>
    <w:rsid w:val="00653549"/>
    <w:rsid w:val="00672473"/>
    <w:rsid w:val="0067255D"/>
    <w:rsid w:val="00682C5E"/>
    <w:rsid w:val="006832D9"/>
    <w:rsid w:val="00687641"/>
    <w:rsid w:val="006C347E"/>
    <w:rsid w:val="006C35E2"/>
    <w:rsid w:val="006C744F"/>
    <w:rsid w:val="006E26E5"/>
    <w:rsid w:val="006E7CD9"/>
    <w:rsid w:val="007049B2"/>
    <w:rsid w:val="0072498B"/>
    <w:rsid w:val="00735081"/>
    <w:rsid w:val="00735EC1"/>
    <w:rsid w:val="007406B1"/>
    <w:rsid w:val="00743C01"/>
    <w:rsid w:val="00744379"/>
    <w:rsid w:val="00746F5F"/>
    <w:rsid w:val="00761DC5"/>
    <w:rsid w:val="00762C42"/>
    <w:rsid w:val="007726FD"/>
    <w:rsid w:val="00776A86"/>
    <w:rsid w:val="0078462C"/>
    <w:rsid w:val="00790C4A"/>
    <w:rsid w:val="007A6F1E"/>
    <w:rsid w:val="007C4E79"/>
    <w:rsid w:val="007C781A"/>
    <w:rsid w:val="007E5BD2"/>
    <w:rsid w:val="007F4A99"/>
    <w:rsid w:val="008223A6"/>
    <w:rsid w:val="00843E30"/>
    <w:rsid w:val="00844FC2"/>
    <w:rsid w:val="00871D85"/>
    <w:rsid w:val="00872F18"/>
    <w:rsid w:val="00874EF7"/>
    <w:rsid w:val="00876C80"/>
    <w:rsid w:val="008A0E8F"/>
    <w:rsid w:val="008B6E61"/>
    <w:rsid w:val="008F12C9"/>
    <w:rsid w:val="008F19E1"/>
    <w:rsid w:val="0090172C"/>
    <w:rsid w:val="00911B57"/>
    <w:rsid w:val="00911E47"/>
    <w:rsid w:val="00923D8F"/>
    <w:rsid w:val="009A325A"/>
    <w:rsid w:val="009A3721"/>
    <w:rsid w:val="009D016D"/>
    <w:rsid w:val="009F2F2F"/>
    <w:rsid w:val="009F3BC9"/>
    <w:rsid w:val="009F5682"/>
    <w:rsid w:val="009F60C9"/>
    <w:rsid w:val="00A11A07"/>
    <w:rsid w:val="00A17FB4"/>
    <w:rsid w:val="00A21B58"/>
    <w:rsid w:val="00A31318"/>
    <w:rsid w:val="00A428C7"/>
    <w:rsid w:val="00A42C14"/>
    <w:rsid w:val="00A43875"/>
    <w:rsid w:val="00A530F2"/>
    <w:rsid w:val="00A54F17"/>
    <w:rsid w:val="00A578EB"/>
    <w:rsid w:val="00A63677"/>
    <w:rsid w:val="00A804A9"/>
    <w:rsid w:val="00A84DBF"/>
    <w:rsid w:val="00A91B56"/>
    <w:rsid w:val="00AA058C"/>
    <w:rsid w:val="00AA6318"/>
    <w:rsid w:val="00AB4E3F"/>
    <w:rsid w:val="00AD051B"/>
    <w:rsid w:val="00AD1A8C"/>
    <w:rsid w:val="00AD1B14"/>
    <w:rsid w:val="00AE46B0"/>
    <w:rsid w:val="00AE79B1"/>
    <w:rsid w:val="00AF2953"/>
    <w:rsid w:val="00B2185C"/>
    <w:rsid w:val="00B220ED"/>
    <w:rsid w:val="00B22EC9"/>
    <w:rsid w:val="00B235D3"/>
    <w:rsid w:val="00B242E2"/>
    <w:rsid w:val="00B25C28"/>
    <w:rsid w:val="00B33335"/>
    <w:rsid w:val="00B359FB"/>
    <w:rsid w:val="00B35DB5"/>
    <w:rsid w:val="00B42FDC"/>
    <w:rsid w:val="00B53567"/>
    <w:rsid w:val="00B6636F"/>
    <w:rsid w:val="00B66A21"/>
    <w:rsid w:val="00B7633E"/>
    <w:rsid w:val="00B764D0"/>
    <w:rsid w:val="00B85A89"/>
    <w:rsid w:val="00B973B7"/>
    <w:rsid w:val="00BC19BD"/>
    <w:rsid w:val="00C05C9F"/>
    <w:rsid w:val="00C06309"/>
    <w:rsid w:val="00C13753"/>
    <w:rsid w:val="00C22025"/>
    <w:rsid w:val="00C52EB1"/>
    <w:rsid w:val="00C83851"/>
    <w:rsid w:val="00C935A9"/>
    <w:rsid w:val="00CA240A"/>
    <w:rsid w:val="00CA75E4"/>
    <w:rsid w:val="00CB3307"/>
    <w:rsid w:val="00CB3970"/>
    <w:rsid w:val="00CB3B6B"/>
    <w:rsid w:val="00CC09EF"/>
    <w:rsid w:val="00CC1D71"/>
    <w:rsid w:val="00CC1E5B"/>
    <w:rsid w:val="00CC422D"/>
    <w:rsid w:val="00CE138E"/>
    <w:rsid w:val="00CF4134"/>
    <w:rsid w:val="00CF48D6"/>
    <w:rsid w:val="00D05DC0"/>
    <w:rsid w:val="00D15EBA"/>
    <w:rsid w:val="00D21DD3"/>
    <w:rsid w:val="00D26703"/>
    <w:rsid w:val="00D34B09"/>
    <w:rsid w:val="00D42578"/>
    <w:rsid w:val="00D60252"/>
    <w:rsid w:val="00D83753"/>
    <w:rsid w:val="00D90A57"/>
    <w:rsid w:val="00D91958"/>
    <w:rsid w:val="00DA4404"/>
    <w:rsid w:val="00DB6D17"/>
    <w:rsid w:val="00DC2136"/>
    <w:rsid w:val="00DC2620"/>
    <w:rsid w:val="00DD391D"/>
    <w:rsid w:val="00E02334"/>
    <w:rsid w:val="00E03483"/>
    <w:rsid w:val="00E333EA"/>
    <w:rsid w:val="00E336A8"/>
    <w:rsid w:val="00E35E0F"/>
    <w:rsid w:val="00E371D1"/>
    <w:rsid w:val="00E42E06"/>
    <w:rsid w:val="00E52DB4"/>
    <w:rsid w:val="00E53738"/>
    <w:rsid w:val="00E619C5"/>
    <w:rsid w:val="00E8092A"/>
    <w:rsid w:val="00E90E8C"/>
    <w:rsid w:val="00E93A76"/>
    <w:rsid w:val="00E97184"/>
    <w:rsid w:val="00EC3C5F"/>
    <w:rsid w:val="00EC5DA5"/>
    <w:rsid w:val="00ED5F67"/>
    <w:rsid w:val="00EF0557"/>
    <w:rsid w:val="00EF08AE"/>
    <w:rsid w:val="00EF2E46"/>
    <w:rsid w:val="00EF5790"/>
    <w:rsid w:val="00F02E55"/>
    <w:rsid w:val="00F056C4"/>
    <w:rsid w:val="00F21699"/>
    <w:rsid w:val="00F32A06"/>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DF7C0-3BB5-46A8-9D18-07E0B7B4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3699</Words>
  <Characters>21086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Gary Hook</cp:lastModifiedBy>
  <cp:revision>2</cp:revision>
  <cp:lastPrinted>2017-11-28T19:16:00Z</cp:lastPrinted>
  <dcterms:created xsi:type="dcterms:W3CDTF">2021-05-07T16:42:00Z</dcterms:created>
  <dcterms:modified xsi:type="dcterms:W3CDTF">2021-05-07T16:42:00Z</dcterms:modified>
</cp:coreProperties>
</file>