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77777777" w:rsidR="000C209F" w:rsidRPr="00CA7354"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CA7354" w:rsidRPr="00CA7354">
              <w:rPr>
                <w:rFonts w:ascii="Arial" w:hAnsi="Arial" w:cs="Arial"/>
                <w:b/>
                <w:sz w:val="36"/>
                <w:szCs w:val="36"/>
                <w:u w:val="single"/>
              </w:rPr>
              <w:t>x</w:t>
            </w:r>
            <w:r w:rsidR="00B91D4F" w:rsidRPr="00CA7354">
              <w:rPr>
                <w:rFonts w:ascii="Arial" w:hAnsi="Arial" w:cs="Arial"/>
                <w:b/>
                <w:sz w:val="36"/>
                <w:szCs w:val="36"/>
              </w:rPr>
              <w:t xml:space="preserve"> </w:t>
            </w:r>
            <w:r w:rsidR="00B91D4F" w:rsidRPr="00CA7354">
              <w:rPr>
                <w:rFonts w:ascii="Arial" w:hAnsi="Arial" w:cs="Arial"/>
                <w:b/>
                <w:sz w:val="20"/>
                <w:szCs w:val="20"/>
              </w:rPr>
              <w:t>Quarter 1 (January 1 – March 31, 20</w:t>
            </w:r>
            <w:r w:rsidR="00CA7354" w:rsidRPr="00CA7354">
              <w:rPr>
                <w:rFonts w:ascii="Arial" w:hAnsi="Arial" w:cs="Arial"/>
                <w:b/>
                <w:sz w:val="20"/>
                <w:szCs w:val="20"/>
              </w:rPr>
              <w:t>20</w:t>
            </w:r>
            <w:r w:rsidR="00B91D4F" w:rsidRPr="00CA7354">
              <w:rPr>
                <w:rFonts w:ascii="Arial" w:hAnsi="Arial" w:cs="Arial"/>
                <w:b/>
                <w:sz w:val="20"/>
                <w:szCs w:val="20"/>
              </w:rPr>
              <w:t>)</w:t>
            </w:r>
          </w:p>
          <w:p w14:paraId="0827102A" w14:textId="77777777" w:rsidR="000C209F" w:rsidRPr="009C4907" w:rsidRDefault="000C209F" w:rsidP="00360664">
            <w:pPr>
              <w:spacing w:after="0" w:line="240" w:lineRule="auto"/>
              <w:ind w:left="-108" w:right="-108"/>
              <w:rPr>
                <w:rFonts w:ascii="Arial" w:hAnsi="Arial" w:cs="Arial"/>
                <w:sz w:val="20"/>
                <w:szCs w:val="20"/>
              </w:rPr>
            </w:pPr>
            <w:r w:rsidRPr="009C4907">
              <w:rPr>
                <w:rFonts w:ascii="Arial" w:hAnsi="Arial" w:cs="Arial"/>
                <w:sz w:val="36"/>
                <w:szCs w:val="36"/>
              </w:rPr>
              <w:t xml:space="preserve"> </w:t>
            </w:r>
            <w:r w:rsidR="009C4907" w:rsidRPr="009C4907">
              <w:rPr>
                <w:rFonts w:ascii="Arial" w:hAnsi="Arial" w:cs="Arial"/>
                <w:sz w:val="36"/>
                <w:szCs w:val="36"/>
              </w:rPr>
              <w:t>_</w:t>
            </w:r>
            <w:r w:rsidR="00FE4167" w:rsidRPr="009C4907">
              <w:rPr>
                <w:rFonts w:ascii="Arial" w:hAnsi="Arial" w:cs="Arial"/>
                <w:sz w:val="36"/>
                <w:szCs w:val="36"/>
              </w:rPr>
              <w:t xml:space="preserve"> </w:t>
            </w:r>
            <w:r w:rsidRPr="009C4907">
              <w:rPr>
                <w:rFonts w:ascii="Arial" w:hAnsi="Arial" w:cs="Arial"/>
                <w:sz w:val="20"/>
                <w:szCs w:val="20"/>
              </w:rPr>
              <w:t>Quarter 2 (April 1 – June 30</w:t>
            </w:r>
            <w:r w:rsidR="0020693E" w:rsidRPr="009C4907">
              <w:rPr>
                <w:rFonts w:ascii="Arial" w:hAnsi="Arial" w:cs="Arial"/>
                <w:sz w:val="20"/>
                <w:szCs w:val="20"/>
              </w:rPr>
              <w:t>, 20</w:t>
            </w:r>
            <w:r w:rsidR="00CA7354">
              <w:rPr>
                <w:rFonts w:ascii="Arial" w:hAnsi="Arial" w:cs="Arial"/>
                <w:sz w:val="20"/>
                <w:szCs w:val="20"/>
              </w:rPr>
              <w:t>20</w:t>
            </w:r>
            <w:r w:rsidRPr="009C4907">
              <w:rPr>
                <w:rFonts w:ascii="Arial" w:hAnsi="Arial" w:cs="Arial"/>
                <w:sz w:val="20"/>
                <w:szCs w:val="20"/>
              </w:rPr>
              <w:t>)</w:t>
            </w:r>
          </w:p>
          <w:p w14:paraId="5DA3D5ED" w14:textId="77777777" w:rsidR="009B2A2C" w:rsidRPr="00A53B69" w:rsidRDefault="00CA7354" w:rsidP="009B2A2C">
            <w:pPr>
              <w:spacing w:after="0" w:line="240" w:lineRule="auto"/>
              <w:ind w:right="-720"/>
              <w:rPr>
                <w:rFonts w:ascii="Arial" w:hAnsi="Arial" w:cs="Arial"/>
                <w:sz w:val="20"/>
                <w:szCs w:val="20"/>
              </w:rPr>
            </w:pPr>
            <w:r w:rsidRPr="009C4907">
              <w:rPr>
                <w:rFonts w:ascii="Arial" w:hAnsi="Arial" w:cs="Arial"/>
                <w:sz w:val="36"/>
                <w:szCs w:val="36"/>
              </w:rPr>
              <w:t>_</w:t>
            </w:r>
            <w:r w:rsidR="009B2A2C" w:rsidRPr="00A53B69">
              <w:rPr>
                <w:rFonts w:ascii="Arial" w:hAnsi="Arial" w:cs="Arial"/>
                <w:sz w:val="36"/>
                <w:szCs w:val="36"/>
              </w:rPr>
              <w:t xml:space="preserve"> </w:t>
            </w:r>
            <w:r w:rsidR="009B2A2C" w:rsidRPr="00A53B69">
              <w:rPr>
                <w:rFonts w:ascii="Arial" w:hAnsi="Arial" w:cs="Arial"/>
                <w:sz w:val="20"/>
                <w:szCs w:val="20"/>
              </w:rPr>
              <w:t>Quarter 3 (July 1 – September 30, 20</w:t>
            </w:r>
            <w:r>
              <w:rPr>
                <w:rFonts w:ascii="Arial" w:hAnsi="Arial" w:cs="Arial"/>
                <w:sz w:val="20"/>
                <w:szCs w:val="20"/>
              </w:rPr>
              <w:t>20</w:t>
            </w:r>
            <w:r w:rsidR="009B2A2C" w:rsidRPr="00A53B69">
              <w:rPr>
                <w:rFonts w:ascii="Arial" w:hAnsi="Arial" w:cs="Arial"/>
                <w:sz w:val="20"/>
                <w:szCs w:val="20"/>
              </w:rPr>
              <w:t>)</w:t>
            </w:r>
          </w:p>
          <w:p w14:paraId="7152C78D" w14:textId="77777777" w:rsidR="000C209F" w:rsidRPr="00CA7354" w:rsidRDefault="00CA7354" w:rsidP="00991B07">
            <w:pPr>
              <w:spacing w:after="0" w:line="240" w:lineRule="auto"/>
              <w:ind w:right="-720"/>
              <w:rPr>
                <w:rFonts w:ascii="Arial" w:hAnsi="Arial" w:cs="Arial"/>
                <w:sz w:val="20"/>
                <w:szCs w:val="20"/>
              </w:rPr>
            </w:pPr>
            <w:r w:rsidRPr="00CA7354">
              <w:rPr>
                <w:rFonts w:ascii="Arial" w:hAnsi="Arial" w:cs="Arial"/>
                <w:sz w:val="36"/>
                <w:szCs w:val="36"/>
              </w:rPr>
              <w:t>_</w:t>
            </w:r>
            <w:r w:rsidR="00B91D4F" w:rsidRPr="00CA7354">
              <w:rPr>
                <w:rFonts w:ascii="Arial" w:hAnsi="Arial" w:cs="Arial"/>
                <w:sz w:val="36"/>
                <w:szCs w:val="36"/>
              </w:rPr>
              <w:t xml:space="preserve"> </w:t>
            </w:r>
            <w:r w:rsidR="00B91D4F" w:rsidRPr="00CA7354">
              <w:rPr>
                <w:rFonts w:ascii="Arial" w:hAnsi="Arial" w:cs="Arial"/>
                <w:sz w:val="20"/>
                <w:szCs w:val="20"/>
              </w:rPr>
              <w:t>Quarter 4 (October 1 – December 31, 20</w:t>
            </w:r>
            <w:r w:rsidRPr="00CA7354">
              <w:rPr>
                <w:rFonts w:ascii="Arial" w:hAnsi="Arial" w:cs="Arial"/>
                <w:sz w:val="20"/>
                <w:szCs w:val="20"/>
              </w:rPr>
              <w:t>20</w:t>
            </w:r>
            <w:r w:rsidR="00B91D4F" w:rsidRPr="00CA7354">
              <w:rPr>
                <w:rFonts w:ascii="Arial" w:hAnsi="Arial" w:cs="Arial"/>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77777777"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CE67FB">
              <w:rPr>
                <w:rFonts w:ascii="Arial" w:hAnsi="Arial" w:cs="Arial"/>
                <w:sz w:val="20"/>
                <w:szCs w:val="20"/>
              </w:rPr>
              <w:t>May 31, 2020</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77777777"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E67FB">
              <w:rPr>
                <w:rFonts w:ascii="Arial" w:hAnsi="Arial" w:cs="Arial"/>
                <w:sz w:val="20"/>
                <w:szCs w:val="20"/>
              </w:rPr>
              <w:t>7</w:t>
            </w:r>
            <w:r w:rsidR="002F63DA">
              <w:rPr>
                <w:rFonts w:ascii="Arial" w:hAnsi="Arial" w:cs="Arial"/>
                <w:sz w:val="20"/>
                <w:szCs w:val="20"/>
              </w:rPr>
              <w:t xml:space="preserve"> </w:t>
            </w:r>
            <w:r w:rsidR="006F4DE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77777777"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812B04">
              <w:rPr>
                <w:rFonts w:ascii="Arial" w:hAnsi="Arial" w:cs="Arial"/>
                <w:sz w:val="20"/>
                <w:szCs w:val="20"/>
              </w:rPr>
              <w:t>8</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77777777" w:rsidR="000C209F" w:rsidRPr="00360664" w:rsidRDefault="00AF4142" w:rsidP="006A3166">
            <w:pPr>
              <w:spacing w:after="0" w:line="240" w:lineRule="auto"/>
              <w:ind w:left="-108" w:right="-108"/>
              <w:jc w:val="center"/>
              <w:rPr>
                <w:rFonts w:ascii="Arial" w:hAnsi="Arial" w:cs="Arial"/>
                <w:sz w:val="20"/>
                <w:szCs w:val="20"/>
              </w:rPr>
            </w:pPr>
            <w:r>
              <w:rPr>
                <w:rFonts w:ascii="Arial" w:hAnsi="Arial" w:cs="Arial"/>
                <w:sz w:val="20"/>
                <w:szCs w:val="20"/>
              </w:rPr>
              <w:t>85</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77777777" w:rsidR="000C209F" w:rsidRPr="00360664" w:rsidRDefault="00812B04"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14:paraId="4DDCBB11" w14:textId="77777777"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812B04">
              <w:rPr>
                <w:rFonts w:ascii="Arial" w:hAnsi="Arial" w:cs="Arial"/>
                <w:sz w:val="20"/>
                <w:szCs w:val="20"/>
              </w:rPr>
              <w:t>0</w:t>
            </w:r>
            <w:r w:rsidR="00C11275">
              <w:rPr>
                <w:rFonts w:ascii="Arial" w:hAnsi="Arial" w:cs="Arial"/>
                <w:sz w:val="20"/>
                <w:szCs w:val="20"/>
              </w:rPr>
              <w:t>.00</w:t>
            </w:r>
          </w:p>
        </w:tc>
        <w:tc>
          <w:tcPr>
            <w:tcW w:w="3420" w:type="dxa"/>
          </w:tcPr>
          <w:p w14:paraId="2801650D" w14:textId="77777777"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4E0C34">
              <w:rPr>
                <w:rFonts w:ascii="Arial" w:hAnsi="Arial" w:cs="Arial"/>
                <w:sz w:val="20"/>
                <w:szCs w:val="20"/>
              </w:rPr>
              <w:t>7</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FC0BC9">
              <w:rPr>
                <w:rFonts w:ascii="Arial" w:hAnsi="Arial" w:cs="Arial"/>
                <w:b/>
                <w:bCs/>
                <w:sz w:val="20"/>
                <w:szCs w:val="20"/>
              </w:rPr>
              <w:t>Progress this Quarter (includes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14:paraId="76B057D2" w14:textId="77777777"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475808">
              <w:rPr>
                <w:rFonts w:ascii="Arial" w:hAnsi="Arial" w:cs="Arial"/>
                <w:sz w:val="20"/>
                <w:szCs w:val="20"/>
              </w:rPr>
              <w:t>8</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14:paraId="6625FFEF"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14:paraId="5AD85C59"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14:paraId="395BAB15"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0CBF1BEC" w14:textId="77777777"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1A9EF7AA"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5F9000CF" w14:textId="77777777"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327BED0D" w14:textId="77777777"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and shared with TAC for review</w:t>
            </w:r>
          </w:p>
          <w:p w14:paraId="5741DC1F" w14:textId="77777777"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14:paraId="14A6674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14:paraId="4ED4FCB6" w14:textId="77777777"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14:paraId="5BEFBDD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14:paraId="1753A8C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14:paraId="2B60DFD9" w14:textId="7777777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14:paraId="2918A454" w14:textId="77777777"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14:paraId="3165028F" w14:textId="77777777"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14:paraId="0B1FEBD6"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14:paraId="62A739F2"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14:paraId="4466E48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14:paraId="3A59492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77777777"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BA6029">
              <w:rPr>
                <w:rFonts w:ascii="Arial" w:hAnsi="Arial" w:cs="Arial"/>
                <w:sz w:val="20"/>
                <w:szCs w:val="20"/>
              </w:rPr>
              <w:t>No changes were made.</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FC0BC9">
              <w:rPr>
                <w:rFonts w:ascii="Arial" w:hAnsi="Arial" w:cs="Arial"/>
                <w:b/>
                <w:sz w:val="20"/>
                <w:szCs w:val="20"/>
              </w:rPr>
              <w:t>Anticipated work next quarter:</w:t>
            </w:r>
          </w:p>
          <w:p w14:paraId="4889F584" w14:textId="77777777" w:rsidR="004B1C83" w:rsidRDefault="004B1C83" w:rsidP="00360664">
            <w:pPr>
              <w:spacing w:after="0" w:line="240" w:lineRule="auto"/>
              <w:rPr>
                <w:rFonts w:ascii="Arial" w:hAnsi="Arial" w:cs="Arial"/>
                <w:sz w:val="20"/>
                <w:szCs w:val="20"/>
              </w:rPr>
            </w:pPr>
          </w:p>
          <w:p w14:paraId="6F9CB599" w14:textId="77777777"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14:paraId="31325149"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14:paraId="7265227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14:paraId="2CE79A2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14:paraId="4C1288B0"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14:paraId="7E12A7B1"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14:paraId="2CB836C0" w14:textId="77777777"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14:paraId="32192A8F" w14:textId="77777777"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14:paraId="1A86D40D" w14:textId="77777777"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14:paraId="4181A840"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14:paraId="26207B90" w14:textId="77777777"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14:paraId="473114C2" w14:textId="77777777"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14:paraId="40F64153"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r w:rsidR="00AF1D34">
              <w:rPr>
                <w:rFonts w:ascii="Arial" w:hAnsi="Arial" w:cs="Arial"/>
                <w:sz w:val="20"/>
                <w:szCs w:val="20"/>
              </w:rPr>
              <w:t>.</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77777777"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14:paraId="62015097" w14:textId="77777777"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FC0BC9">
              <w:rPr>
                <w:rFonts w:ascii="Arial" w:hAnsi="Arial" w:cs="Arial"/>
                <w:b/>
                <w:sz w:val="20"/>
                <w:szCs w:val="20"/>
              </w:rPr>
              <w:t>Significant Results</w:t>
            </w:r>
            <w:r w:rsidR="008650FA" w:rsidRPr="00FC0BC9">
              <w:rPr>
                <w:rFonts w:ascii="Arial" w:hAnsi="Arial" w:cs="Arial"/>
                <w:b/>
                <w:sz w:val="20"/>
                <w:szCs w:val="20"/>
              </w:rPr>
              <w:t>:</w:t>
            </w:r>
          </w:p>
          <w:p w14:paraId="26226AA4" w14:textId="77777777" w:rsidR="00F46848" w:rsidRDefault="00F46848" w:rsidP="00F46848">
            <w:pPr>
              <w:spacing w:after="0" w:line="240" w:lineRule="auto"/>
              <w:rPr>
                <w:rFonts w:ascii="Arial" w:hAnsi="Arial" w:cs="Arial"/>
                <w:sz w:val="20"/>
                <w:szCs w:val="20"/>
              </w:rPr>
            </w:pPr>
          </w:p>
          <w:p w14:paraId="1161CCA7" w14:textId="7FAF5C3C" w:rsidR="00194C87" w:rsidRPr="00FC0BC9" w:rsidRDefault="002836D5" w:rsidP="00F46848">
            <w:pPr>
              <w:spacing w:after="0" w:line="240" w:lineRule="auto"/>
              <w:rPr>
                <w:rFonts w:ascii="Arial" w:hAnsi="Arial" w:cs="Arial"/>
                <w:sz w:val="20"/>
                <w:szCs w:val="20"/>
              </w:rPr>
            </w:pPr>
            <w:r w:rsidRPr="00FC0BC9">
              <w:rPr>
                <w:rFonts w:ascii="Arial" w:hAnsi="Arial" w:cs="Arial"/>
                <w:sz w:val="20"/>
                <w:szCs w:val="20"/>
              </w:rPr>
              <w:t>During this quarter</w:t>
            </w:r>
            <w:r w:rsidR="00FC0BC9">
              <w:rPr>
                <w:rFonts w:ascii="Arial" w:hAnsi="Arial" w:cs="Arial"/>
                <w:sz w:val="20"/>
                <w:szCs w:val="20"/>
              </w:rPr>
              <w:t xml:space="preserve"> progress was slowed due to the COVID-19 pandemic which impeded interactions with graduate students and support staff.  However, some additional work has been completed related to summary plots of normalized passive pressure as a function of normalized displacement.  In previous work normalized curves were computed for each test and plotted together</w:t>
            </w:r>
            <w:r w:rsidR="00EE0B8D">
              <w:rPr>
                <w:rFonts w:ascii="Arial" w:hAnsi="Arial" w:cs="Arial"/>
                <w:sz w:val="20"/>
                <w:szCs w:val="20"/>
              </w:rPr>
              <w:t>.  Then a generic curve shape was developed to provide a shape typical of the average curve based on a simple visual assessment.  While the curve appeared to provide reasonable agreement with the measured curves, no statistical assessment was possible.  To alleviate this problem</w:t>
            </w:r>
            <w:r w:rsidR="004325B7">
              <w:rPr>
                <w:rFonts w:ascii="Arial" w:hAnsi="Arial" w:cs="Arial"/>
                <w:sz w:val="20"/>
                <w:szCs w:val="20"/>
              </w:rPr>
              <w:t xml:space="preserve">, the individual data points from each of the 14 individual curves were separated out and sorted by displacement.  Then mean and standard deviation bounds were </w:t>
            </w:r>
            <w:r w:rsidR="00DD3A79">
              <w:rPr>
                <w:rFonts w:ascii="Arial" w:hAnsi="Arial" w:cs="Arial"/>
                <w:sz w:val="20"/>
                <w:szCs w:val="20"/>
              </w:rPr>
              <w:t>computed</w:t>
            </w:r>
            <w:r w:rsidR="004325B7">
              <w:rPr>
                <w:rFonts w:ascii="Arial" w:hAnsi="Arial" w:cs="Arial"/>
                <w:sz w:val="20"/>
                <w:szCs w:val="20"/>
              </w:rPr>
              <w:t xml:space="preserve"> for a significant number of displacement intervals to produce a mean normalized force vs. normalized displacement curve along with mean ± one standard deviation curves. </w:t>
            </w:r>
            <w:r w:rsidR="0004276B" w:rsidRPr="00FC0BC9">
              <w:rPr>
                <w:rFonts w:ascii="Arial" w:hAnsi="Arial" w:cs="Arial"/>
                <w:sz w:val="20"/>
                <w:szCs w:val="20"/>
              </w:rPr>
              <w:t xml:space="preserve">To develop </w:t>
            </w:r>
            <w:r w:rsidR="005C4113" w:rsidRPr="00FC0BC9">
              <w:rPr>
                <w:rFonts w:ascii="Arial" w:hAnsi="Arial" w:cs="Arial"/>
                <w:sz w:val="20"/>
                <w:szCs w:val="20"/>
              </w:rPr>
              <w:t>a generic</w:t>
            </w:r>
            <w:r w:rsidR="0004276B" w:rsidRPr="00FC0BC9">
              <w:rPr>
                <w:rFonts w:ascii="Arial" w:hAnsi="Arial" w:cs="Arial"/>
                <w:sz w:val="20"/>
                <w:szCs w:val="20"/>
              </w:rPr>
              <w:t xml:space="preserve"> curve </w:t>
            </w:r>
            <w:r w:rsidR="005C4113" w:rsidRPr="00FC0BC9">
              <w:rPr>
                <w:rFonts w:ascii="Arial" w:hAnsi="Arial" w:cs="Arial"/>
                <w:sz w:val="20"/>
                <w:szCs w:val="20"/>
              </w:rPr>
              <w:t xml:space="preserve">shape </w:t>
            </w:r>
            <w:r w:rsidR="0004276B" w:rsidRPr="00FC0BC9">
              <w:rPr>
                <w:rFonts w:ascii="Arial" w:hAnsi="Arial" w:cs="Arial"/>
                <w:sz w:val="20"/>
                <w:szCs w:val="20"/>
              </w:rPr>
              <w:t xml:space="preserve">for cases where the </w:t>
            </w:r>
            <w:r w:rsidR="002E6557" w:rsidRPr="00FC0BC9">
              <w:rPr>
                <w:rFonts w:ascii="Arial" w:hAnsi="Arial" w:cs="Arial"/>
                <w:sz w:val="20"/>
                <w:szCs w:val="20"/>
              </w:rPr>
              <w:t>abutment</w:t>
            </w:r>
            <w:r w:rsidR="0004276B" w:rsidRPr="00FC0BC9">
              <w:rPr>
                <w:rFonts w:ascii="Arial" w:hAnsi="Arial" w:cs="Arial"/>
                <w:sz w:val="20"/>
                <w:szCs w:val="20"/>
              </w:rPr>
              <w:t xml:space="preserve"> height is </w:t>
            </w:r>
            <w:r w:rsidR="002E6557" w:rsidRPr="00FC0BC9">
              <w:rPr>
                <w:rFonts w:ascii="Arial" w:hAnsi="Arial" w:cs="Arial"/>
                <w:sz w:val="20"/>
                <w:szCs w:val="20"/>
              </w:rPr>
              <w:t>variable</w:t>
            </w:r>
            <w:r w:rsidR="0004276B" w:rsidRPr="00FC0BC9">
              <w:rPr>
                <w:rFonts w:ascii="Arial" w:hAnsi="Arial" w:cs="Arial"/>
                <w:sz w:val="20"/>
                <w:szCs w:val="20"/>
              </w:rPr>
              <w:t xml:space="preserve">, we have normalized the </w:t>
            </w:r>
            <w:r w:rsidR="00777CAF" w:rsidRPr="00FC0BC9">
              <w:rPr>
                <w:rFonts w:ascii="Arial" w:hAnsi="Arial" w:cs="Arial"/>
                <w:sz w:val="20"/>
                <w:szCs w:val="20"/>
              </w:rPr>
              <w:t xml:space="preserve">longitudinal </w:t>
            </w:r>
            <w:r w:rsidR="0004276B" w:rsidRPr="00FC0BC9">
              <w:rPr>
                <w:rFonts w:ascii="Arial" w:hAnsi="Arial" w:cs="Arial"/>
                <w:sz w:val="20"/>
                <w:szCs w:val="20"/>
              </w:rPr>
              <w:t>deflection</w:t>
            </w:r>
            <w:r w:rsidR="00777CAF" w:rsidRPr="00FC0BC9">
              <w:rPr>
                <w:rFonts w:ascii="Arial" w:hAnsi="Arial" w:cs="Arial"/>
                <w:sz w:val="20"/>
                <w:szCs w:val="20"/>
              </w:rPr>
              <w:t xml:space="preserve">, Δ, </w:t>
            </w:r>
            <w:r w:rsidR="0004276B" w:rsidRPr="00FC0BC9">
              <w:rPr>
                <w:rFonts w:ascii="Arial" w:hAnsi="Arial" w:cs="Arial"/>
                <w:sz w:val="20"/>
                <w:szCs w:val="20"/>
              </w:rPr>
              <w:t>by the abutment wall height</w:t>
            </w:r>
            <w:r w:rsidR="007F4210" w:rsidRPr="00FC0BC9">
              <w:rPr>
                <w:rFonts w:ascii="Arial" w:hAnsi="Arial" w:cs="Arial"/>
                <w:sz w:val="20"/>
                <w:szCs w:val="20"/>
              </w:rPr>
              <w:t>, H,</w:t>
            </w:r>
            <w:r w:rsidR="0004276B" w:rsidRPr="00FC0BC9">
              <w:rPr>
                <w:rFonts w:ascii="Arial" w:hAnsi="Arial" w:cs="Arial"/>
                <w:sz w:val="20"/>
                <w:szCs w:val="20"/>
              </w:rPr>
              <w:t xml:space="preserve"> </w:t>
            </w:r>
            <w:r w:rsidR="005C4113" w:rsidRPr="00FC0BC9">
              <w:rPr>
                <w:rFonts w:ascii="Arial" w:hAnsi="Arial" w:cs="Arial"/>
                <w:sz w:val="20"/>
                <w:szCs w:val="20"/>
              </w:rPr>
              <w:t>and we have normalized the passive force, P, by the peak passive force, P</w:t>
            </w:r>
            <w:r w:rsidR="005C4113" w:rsidRPr="00FC0BC9">
              <w:rPr>
                <w:rFonts w:ascii="Arial" w:hAnsi="Arial" w:cs="Arial"/>
                <w:sz w:val="20"/>
                <w:szCs w:val="20"/>
                <w:vertAlign w:val="subscript"/>
              </w:rPr>
              <w:t>max</w:t>
            </w:r>
            <w:r w:rsidR="005C4113" w:rsidRPr="00FC0BC9">
              <w:rPr>
                <w:rFonts w:ascii="Arial" w:hAnsi="Arial" w:cs="Arial"/>
                <w:sz w:val="20"/>
                <w:szCs w:val="20"/>
              </w:rPr>
              <w:t>.</w:t>
            </w:r>
            <w:r w:rsidR="00A26802" w:rsidRPr="00FC0BC9">
              <w:rPr>
                <w:rFonts w:ascii="Arial" w:hAnsi="Arial" w:cs="Arial"/>
                <w:sz w:val="20"/>
                <w:szCs w:val="20"/>
              </w:rPr>
              <w:t xml:space="preserve">  The resulting normalized passive force vs. normalized longitudinal displacement curves for 1</w:t>
            </w:r>
            <w:r w:rsidR="004325B7">
              <w:rPr>
                <w:rFonts w:ascii="Arial" w:hAnsi="Arial" w:cs="Arial"/>
                <w:sz w:val="20"/>
                <w:szCs w:val="20"/>
              </w:rPr>
              <w:t>4</w:t>
            </w:r>
            <w:r w:rsidR="00A26802" w:rsidRPr="00FC0BC9">
              <w:rPr>
                <w:rFonts w:ascii="Arial" w:hAnsi="Arial" w:cs="Arial"/>
                <w:sz w:val="20"/>
                <w:szCs w:val="20"/>
              </w:rPr>
              <w:t xml:space="preserve"> lateral abutment tests at various skew angles </w:t>
            </w:r>
            <w:r w:rsidR="004325B7">
              <w:rPr>
                <w:rFonts w:ascii="Arial" w:hAnsi="Arial" w:cs="Arial"/>
                <w:sz w:val="20"/>
                <w:szCs w:val="20"/>
              </w:rPr>
              <w:t xml:space="preserve">of 0°, 15°, 30° and 45° </w:t>
            </w:r>
            <w:r w:rsidR="00A26802" w:rsidRPr="00FC0BC9">
              <w:rPr>
                <w:rFonts w:ascii="Arial" w:hAnsi="Arial" w:cs="Arial"/>
                <w:sz w:val="20"/>
                <w:szCs w:val="20"/>
              </w:rPr>
              <w:t xml:space="preserve">are plotted in Fig. 1.  Despite the variation in skew angle, the variation in backfill height, and the variation in wingwall </w:t>
            </w:r>
            <w:r w:rsidR="00E52FAC" w:rsidRPr="00FC0BC9">
              <w:rPr>
                <w:rFonts w:ascii="Arial" w:hAnsi="Arial" w:cs="Arial"/>
                <w:sz w:val="20"/>
                <w:szCs w:val="20"/>
              </w:rPr>
              <w:t>geometries</w:t>
            </w:r>
            <w:r w:rsidR="007F4210" w:rsidRPr="00FC0BC9">
              <w:rPr>
                <w:rFonts w:ascii="Arial" w:hAnsi="Arial" w:cs="Arial"/>
                <w:sz w:val="20"/>
                <w:szCs w:val="20"/>
              </w:rPr>
              <w:t xml:space="preserve"> (e.g. parallel, transverse, MSE)</w:t>
            </w:r>
            <w:r w:rsidR="00E52FAC" w:rsidRPr="00FC0BC9">
              <w:rPr>
                <w:rFonts w:ascii="Arial" w:hAnsi="Arial" w:cs="Arial"/>
                <w:sz w:val="20"/>
                <w:szCs w:val="20"/>
              </w:rPr>
              <w:t xml:space="preserve">, </w:t>
            </w:r>
            <w:r w:rsidR="00A26802" w:rsidRPr="00FC0BC9">
              <w:rPr>
                <w:rFonts w:ascii="Arial" w:hAnsi="Arial" w:cs="Arial"/>
                <w:sz w:val="20"/>
                <w:szCs w:val="20"/>
              </w:rPr>
              <w:t>the</w:t>
            </w:r>
            <w:r w:rsidR="00E52FAC" w:rsidRPr="00FC0BC9">
              <w:rPr>
                <w:rFonts w:ascii="Arial" w:hAnsi="Arial" w:cs="Arial"/>
                <w:sz w:val="20"/>
                <w:szCs w:val="20"/>
              </w:rPr>
              <w:t xml:space="preserve"> </w:t>
            </w:r>
            <w:r w:rsidR="004325B7">
              <w:rPr>
                <w:rFonts w:ascii="Arial" w:hAnsi="Arial" w:cs="Arial"/>
                <w:sz w:val="20"/>
                <w:szCs w:val="20"/>
              </w:rPr>
              <w:t>standard deviation bounds</w:t>
            </w:r>
            <w:r w:rsidR="00E52FAC" w:rsidRPr="00FC0BC9">
              <w:rPr>
                <w:rFonts w:ascii="Arial" w:hAnsi="Arial" w:cs="Arial"/>
                <w:sz w:val="20"/>
                <w:szCs w:val="20"/>
              </w:rPr>
              <w:t xml:space="preserve"> form a relative</w:t>
            </w:r>
            <w:r w:rsidR="002E6557" w:rsidRPr="00FC0BC9">
              <w:rPr>
                <w:rFonts w:ascii="Arial" w:hAnsi="Arial" w:cs="Arial"/>
                <w:sz w:val="20"/>
                <w:szCs w:val="20"/>
              </w:rPr>
              <w:t>ly</w:t>
            </w:r>
            <w:r w:rsidR="00E52FAC" w:rsidRPr="00FC0BC9">
              <w:rPr>
                <w:rFonts w:ascii="Arial" w:hAnsi="Arial" w:cs="Arial"/>
                <w:sz w:val="20"/>
                <w:szCs w:val="20"/>
              </w:rPr>
              <w:t xml:space="preserve"> narrow band</w:t>
            </w:r>
            <w:r w:rsidR="004325B7">
              <w:rPr>
                <w:rFonts w:ascii="Arial" w:hAnsi="Arial" w:cs="Arial"/>
                <w:sz w:val="20"/>
                <w:szCs w:val="20"/>
              </w:rPr>
              <w:t xml:space="preserve"> relative to the mean curve.  The </w:t>
            </w:r>
            <w:r w:rsidR="002F62CE">
              <w:rPr>
                <w:rFonts w:ascii="Arial" w:hAnsi="Arial" w:cs="Arial"/>
                <w:sz w:val="20"/>
                <w:szCs w:val="20"/>
              </w:rPr>
              <w:t xml:space="preserve">average </w:t>
            </w:r>
            <w:r w:rsidR="004325B7">
              <w:rPr>
                <w:rFonts w:ascii="Arial" w:hAnsi="Arial" w:cs="Arial"/>
                <w:sz w:val="20"/>
                <w:szCs w:val="20"/>
              </w:rPr>
              <w:t>coefficient of variation (COV)</w:t>
            </w:r>
            <w:r w:rsidR="002F62CE">
              <w:rPr>
                <w:rFonts w:ascii="Arial" w:hAnsi="Arial" w:cs="Arial"/>
                <w:sz w:val="20"/>
                <w:szCs w:val="20"/>
              </w:rPr>
              <w:t>, which is given by the standard deviation divided by the mean, is 0.11.</w:t>
            </w:r>
            <w:r w:rsidR="00E52FAC" w:rsidRPr="00FC0BC9">
              <w:rPr>
                <w:rFonts w:ascii="Arial" w:hAnsi="Arial" w:cs="Arial"/>
                <w:sz w:val="20"/>
                <w:szCs w:val="20"/>
              </w:rPr>
              <w:t xml:space="preserve">  The </w:t>
            </w:r>
            <w:r w:rsidR="002F62CE">
              <w:rPr>
                <w:rFonts w:ascii="Arial" w:hAnsi="Arial" w:cs="Arial"/>
                <w:sz w:val="20"/>
                <w:szCs w:val="20"/>
              </w:rPr>
              <w:t>normalized passive force is between 92% and 98% between normalized displacements of 3% and 5%. This is consistent with the fact that p</w:t>
            </w:r>
            <w:r w:rsidR="002F62CE" w:rsidRPr="00FC0BC9">
              <w:rPr>
                <w:rFonts w:ascii="Arial" w:hAnsi="Arial" w:cs="Arial"/>
                <w:sz w:val="20"/>
                <w:szCs w:val="20"/>
              </w:rPr>
              <w:t>eak passive force typically develops between a normalized displacement of 3</w:t>
            </w:r>
            <w:r w:rsidR="002F62CE">
              <w:rPr>
                <w:rFonts w:ascii="Arial" w:hAnsi="Arial" w:cs="Arial"/>
                <w:sz w:val="20"/>
                <w:szCs w:val="20"/>
              </w:rPr>
              <w:t>%</w:t>
            </w:r>
            <w:r w:rsidR="002F62CE" w:rsidRPr="00FC0BC9">
              <w:rPr>
                <w:rFonts w:ascii="Arial" w:hAnsi="Arial" w:cs="Arial"/>
                <w:sz w:val="20"/>
                <w:szCs w:val="20"/>
              </w:rPr>
              <w:t xml:space="preserve"> and 5%</w:t>
            </w:r>
            <w:r w:rsidR="002F62CE">
              <w:rPr>
                <w:rFonts w:ascii="Arial" w:hAnsi="Arial" w:cs="Arial"/>
                <w:sz w:val="20"/>
                <w:szCs w:val="20"/>
              </w:rPr>
              <w:t>.  The peak passive force tends to decrease somewhat at normalized displacements greater than about 5% with an average reduction of about 20%.  However, it should be recognized that there are much fewer data points defining behavior beyond 5% displacement so these results should be viewed with some caution.  Our experience is that soil compacted to more than 96</w:t>
            </w:r>
            <w:r w:rsidR="001B6F55">
              <w:rPr>
                <w:rFonts w:ascii="Arial" w:hAnsi="Arial" w:cs="Arial"/>
                <w:sz w:val="20"/>
                <w:szCs w:val="20"/>
              </w:rPr>
              <w:t xml:space="preserve"> or 97 </w:t>
            </w:r>
            <w:r w:rsidR="002F62CE">
              <w:rPr>
                <w:rFonts w:ascii="Arial" w:hAnsi="Arial" w:cs="Arial"/>
                <w:sz w:val="20"/>
                <w:szCs w:val="20"/>
              </w:rPr>
              <w:t xml:space="preserve">% of the modified Proctor maximum dry density will experience some decrease in passive force as a result of soil dilation during shearing. </w:t>
            </w:r>
            <w:r w:rsidR="002F62CE" w:rsidRPr="00FC0BC9">
              <w:rPr>
                <w:rFonts w:ascii="Arial" w:hAnsi="Arial" w:cs="Arial"/>
                <w:sz w:val="20"/>
                <w:szCs w:val="20"/>
              </w:rPr>
              <w:t xml:space="preserve"> </w:t>
            </w:r>
          </w:p>
          <w:p w14:paraId="6FF4E98C" w14:textId="77777777" w:rsidR="002836D5" w:rsidRPr="00FC0BC9" w:rsidRDefault="002836D5" w:rsidP="00F46848">
            <w:pPr>
              <w:spacing w:after="0" w:line="240" w:lineRule="auto"/>
              <w:rPr>
                <w:rFonts w:ascii="Arial" w:hAnsi="Arial" w:cs="Arial"/>
                <w:sz w:val="20"/>
                <w:szCs w:val="20"/>
              </w:rPr>
            </w:pPr>
          </w:p>
          <w:p w14:paraId="21B0999F" w14:textId="0794DE34" w:rsidR="002836D5" w:rsidRPr="00FC0BC9" w:rsidRDefault="001B6F55" w:rsidP="002836D5">
            <w:pPr>
              <w:spacing w:after="0" w:line="240" w:lineRule="auto"/>
              <w:rPr>
                <w:rFonts w:ascii="Arial" w:hAnsi="Arial" w:cs="Arial"/>
                <w:sz w:val="20"/>
                <w:szCs w:val="20"/>
              </w:rPr>
            </w:pPr>
            <w:r>
              <w:rPr>
                <w:rFonts w:ascii="Arial" w:hAnsi="Arial" w:cs="Arial"/>
                <w:sz w:val="20"/>
                <w:szCs w:val="20"/>
              </w:rPr>
              <w:t>Two</w:t>
            </w:r>
            <w:r w:rsidR="002836D5" w:rsidRPr="00FC0BC9">
              <w:rPr>
                <w:rFonts w:ascii="Arial" w:hAnsi="Arial" w:cs="Arial"/>
                <w:sz w:val="20"/>
                <w:szCs w:val="20"/>
              </w:rPr>
              <w:t xml:space="preserve"> </w:t>
            </w:r>
            <w:r>
              <w:rPr>
                <w:rFonts w:ascii="Arial" w:hAnsi="Arial" w:cs="Arial"/>
                <w:sz w:val="20"/>
                <w:szCs w:val="20"/>
              </w:rPr>
              <w:t xml:space="preserve">generic curve shapes have been developed to match the measured mean normalized passive force-normalized curve shape as shown in </w:t>
            </w:r>
            <w:r w:rsidR="002836D5" w:rsidRPr="00FC0BC9">
              <w:rPr>
                <w:rFonts w:ascii="Arial" w:hAnsi="Arial" w:cs="Arial"/>
                <w:sz w:val="20"/>
                <w:szCs w:val="20"/>
              </w:rPr>
              <w:t>Fig. 1</w:t>
            </w:r>
            <w:r>
              <w:rPr>
                <w:rFonts w:ascii="Arial" w:hAnsi="Arial" w:cs="Arial"/>
                <w:sz w:val="20"/>
                <w:szCs w:val="20"/>
              </w:rPr>
              <w:t>.</w:t>
            </w:r>
            <w:r w:rsidR="002836D5" w:rsidRPr="00FC0BC9">
              <w:rPr>
                <w:rFonts w:ascii="Arial" w:hAnsi="Arial" w:cs="Arial"/>
                <w:sz w:val="20"/>
                <w:szCs w:val="20"/>
              </w:rPr>
              <w:t xml:space="preserve"> </w:t>
            </w:r>
            <w:r w:rsidR="00B03BF1">
              <w:rPr>
                <w:rFonts w:ascii="Arial" w:hAnsi="Arial" w:cs="Arial"/>
                <w:sz w:val="20"/>
                <w:szCs w:val="20"/>
              </w:rPr>
              <w:t xml:space="preserve">The first curve shape is a hyperbola given by the equation </w:t>
            </w:r>
            <w:r w:rsidR="002836D5" w:rsidRPr="00FC0BC9">
              <w:rPr>
                <w:rFonts w:ascii="Arial" w:hAnsi="Arial" w:cs="Arial"/>
                <w:sz w:val="20"/>
                <w:szCs w:val="20"/>
              </w:rPr>
              <w:t xml:space="preserve"> </w:t>
            </w:r>
          </w:p>
          <w:p w14:paraId="0F0222AF" w14:textId="77777777" w:rsidR="002836D5" w:rsidRPr="00FC0BC9" w:rsidRDefault="002836D5" w:rsidP="002836D5">
            <w:pPr>
              <w:spacing w:after="0" w:line="240" w:lineRule="auto"/>
              <w:rPr>
                <w:rFonts w:ascii="Arial" w:hAnsi="Arial" w:cs="Arial"/>
                <w:sz w:val="20"/>
                <w:szCs w:val="20"/>
              </w:rPr>
            </w:pPr>
          </w:p>
          <w:p w14:paraId="5FF956B5" w14:textId="77777777" w:rsidR="002836D5" w:rsidRPr="00FC0BC9" w:rsidRDefault="00C13D64" w:rsidP="002836D5">
            <w:pPr>
              <w:spacing w:after="0" w:line="240" w:lineRule="auto"/>
              <w:rPr>
                <w:rFonts w:ascii="Arial" w:hAnsi="Arial" w:cs="Arial"/>
                <w:sz w:val="20"/>
                <w:szCs w:val="20"/>
              </w:rPr>
            </w:pPr>
            <m:oMathPara>
              <m:oMathParaPr>
                <m:jc m:val="left"/>
              </m:oMathParaPr>
              <m:oMath>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P</m:t>
                    </m:r>
                  </m:num>
                  <m:den>
                    <m:sSub>
                      <m:sSubPr>
                        <m:ctrlPr>
                          <w:rPr>
                            <w:rFonts w:ascii="Cambria Math" w:hAnsi="Cambria Math" w:cs="Arial"/>
                            <w:b/>
                            <w:i/>
                            <w:sz w:val="20"/>
                            <w:szCs w:val="20"/>
                            <w:vertAlign w:val="superscript"/>
                          </w:rPr>
                        </m:ctrlPr>
                      </m:sSubPr>
                      <m:e>
                        <m:r>
                          <m:rPr>
                            <m:sty m:val="bi"/>
                          </m:rPr>
                          <w:rPr>
                            <w:rFonts w:ascii="Cambria Math" w:hAnsi="Cambria Math" w:cs="Arial"/>
                            <w:sz w:val="20"/>
                            <w:szCs w:val="20"/>
                            <w:vertAlign w:val="superscript"/>
                          </w:rPr>
                          <m:t>P</m:t>
                        </m:r>
                      </m:e>
                      <m:sub>
                        <m:r>
                          <m:rPr>
                            <m:sty m:val="bi"/>
                          </m:rPr>
                          <w:rPr>
                            <w:rFonts w:ascii="Cambria Math" w:hAnsi="Cambria Math" w:cs="Arial"/>
                            <w:sz w:val="20"/>
                            <w:szCs w:val="20"/>
                            <w:vertAlign w:val="superscript"/>
                          </w:rPr>
                          <m:t>max</m:t>
                        </m:r>
                      </m:sub>
                    </m:sSub>
                  </m:den>
                </m:f>
                <m:r>
                  <m:rPr>
                    <m:sty m:val="bi"/>
                  </m:rPr>
                  <w:rPr>
                    <w:rFonts w:ascii="Cambria Math" w:hAnsi="Cambria Math" w:cs="Arial"/>
                    <w:sz w:val="20"/>
                    <w:szCs w:val="20"/>
                    <w:vertAlign w:val="superscript"/>
                  </w:rPr>
                  <m:t xml:space="preserve">=  </m:t>
                </m:r>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110 (∆/H)</m:t>
                    </m:r>
                  </m:num>
                  <m:den>
                    <m:r>
                      <m:rPr>
                        <m:sty m:val="bi"/>
                      </m:rPr>
                      <w:rPr>
                        <w:rFonts w:ascii="Cambria Math" w:hAnsi="Cambria Math" w:cs="Arial"/>
                        <w:sz w:val="20"/>
                        <w:szCs w:val="20"/>
                        <w:vertAlign w:val="superscript"/>
                      </w:rPr>
                      <m:t>[0.6+</m:t>
                    </m:r>
                    <m:d>
                      <m:dPr>
                        <m:ctrlPr>
                          <w:rPr>
                            <w:rFonts w:ascii="Cambria Math" w:hAnsi="Cambria Math" w:cs="Arial"/>
                            <w:b/>
                            <w:i/>
                            <w:sz w:val="20"/>
                            <w:szCs w:val="20"/>
                            <w:vertAlign w:val="superscript"/>
                          </w:rPr>
                        </m:ctrlPr>
                      </m:dPr>
                      <m:e>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m:t>
                            </m:r>
                          </m:num>
                          <m:den>
                            <m:r>
                              <m:rPr>
                                <m:sty m:val="bi"/>
                              </m:rPr>
                              <w:rPr>
                                <w:rFonts w:ascii="Cambria Math" w:hAnsi="Cambria Math" w:cs="Arial"/>
                                <w:sz w:val="20"/>
                                <w:szCs w:val="20"/>
                                <w:vertAlign w:val="superscript"/>
                              </w:rPr>
                              <m:t>H</m:t>
                            </m:r>
                          </m:den>
                        </m:f>
                      </m:e>
                    </m:d>
                    <m:r>
                      <m:rPr>
                        <m:sty m:val="bi"/>
                      </m:rPr>
                      <w:rPr>
                        <w:rFonts w:ascii="Cambria Math" w:hAnsi="Cambria Math" w:cs="Arial"/>
                        <w:sz w:val="20"/>
                        <w:szCs w:val="20"/>
                        <w:vertAlign w:val="superscript"/>
                      </w:rPr>
                      <m:t>]</m:t>
                    </m:r>
                  </m:den>
                </m:f>
                <m:r>
                  <m:rPr>
                    <m:sty m:val="bi"/>
                  </m:rPr>
                  <w:rPr>
                    <w:rFonts w:ascii="Cambria Math" w:hAnsi="Cambria Math" w:cs="Arial"/>
                    <w:sz w:val="20"/>
                    <w:szCs w:val="20"/>
                    <w:vertAlign w:val="superscript"/>
                  </w:rPr>
                  <m:t xml:space="preserve"> </m:t>
                </m:r>
              </m:oMath>
            </m:oMathPara>
          </w:p>
          <w:p w14:paraId="7B80545D" w14:textId="77777777" w:rsidR="002836D5" w:rsidRPr="00FC0BC9" w:rsidRDefault="002836D5" w:rsidP="002836D5">
            <w:pPr>
              <w:spacing w:after="0" w:line="240" w:lineRule="auto"/>
              <w:rPr>
                <w:rFonts w:ascii="Arial" w:hAnsi="Arial" w:cs="Arial"/>
                <w:b/>
                <w:sz w:val="20"/>
                <w:szCs w:val="20"/>
                <w:vertAlign w:val="superscript"/>
              </w:rPr>
            </w:pPr>
          </w:p>
          <w:p w14:paraId="509EF8F3" w14:textId="2B789FF0" w:rsidR="00B03BF1" w:rsidRDefault="002836D5" w:rsidP="001B6F55">
            <w:pPr>
              <w:spacing w:after="0" w:line="240" w:lineRule="auto"/>
              <w:ind w:hanging="22"/>
              <w:rPr>
                <w:rFonts w:ascii="Arial" w:hAnsi="Arial" w:cs="Arial"/>
                <w:sz w:val="20"/>
                <w:szCs w:val="20"/>
              </w:rPr>
            </w:pPr>
            <w:r w:rsidRPr="00FC0BC9">
              <w:rPr>
                <w:rFonts w:ascii="Arial" w:hAnsi="Arial" w:cs="Arial"/>
                <w:sz w:val="20"/>
                <w:szCs w:val="20"/>
              </w:rPr>
              <w:lastRenderedPageBreak/>
              <w:t>where (P/P</w:t>
            </w:r>
            <w:r w:rsidRPr="00FC0BC9">
              <w:rPr>
                <w:rFonts w:ascii="Arial" w:hAnsi="Arial" w:cs="Arial"/>
                <w:sz w:val="20"/>
                <w:szCs w:val="20"/>
                <w:vertAlign w:val="subscript"/>
              </w:rPr>
              <w:t>max</w:t>
            </w:r>
            <w:r w:rsidRPr="00FC0BC9">
              <w:rPr>
                <w:rFonts w:ascii="Arial" w:hAnsi="Arial" w:cs="Arial"/>
                <w:sz w:val="20"/>
                <w:szCs w:val="20"/>
              </w:rPr>
              <w:t xml:space="preserve">) and (Δ/H) are both expressed as percentages. </w:t>
            </w:r>
            <w:r w:rsidR="00B03BF1" w:rsidRPr="00FC0BC9">
              <w:rPr>
                <w:rFonts w:ascii="Arial" w:hAnsi="Arial" w:cs="Arial"/>
                <w:sz w:val="20"/>
                <w:szCs w:val="20"/>
              </w:rPr>
              <w:t>Th</w:t>
            </w:r>
            <w:r w:rsidR="00B03BF1">
              <w:rPr>
                <w:rFonts w:ascii="Arial" w:hAnsi="Arial" w:cs="Arial"/>
                <w:sz w:val="20"/>
                <w:szCs w:val="20"/>
              </w:rPr>
              <w:t>is is the same curve originally developed previously by eye from 10 curves.  The agreement is very good with the computed curve following on top of the measured mean curve for almost all displacements up to 5% normalized displacements.</w:t>
            </w:r>
            <w:r w:rsidR="00B03BF1" w:rsidRPr="00FC0BC9">
              <w:rPr>
                <w:rFonts w:ascii="Arial" w:hAnsi="Arial" w:cs="Arial"/>
                <w:sz w:val="20"/>
                <w:szCs w:val="20"/>
              </w:rPr>
              <w:t xml:space="preserve"> </w:t>
            </w:r>
            <w:r w:rsidR="008D65E9">
              <w:rPr>
                <w:rFonts w:ascii="Arial" w:hAnsi="Arial" w:cs="Arial"/>
                <w:sz w:val="20"/>
                <w:szCs w:val="20"/>
              </w:rPr>
              <w:t>A</w:t>
            </w:r>
            <w:r w:rsidR="00B03BF1" w:rsidRPr="00FC0BC9">
              <w:rPr>
                <w:rFonts w:ascii="Arial" w:hAnsi="Arial" w:cs="Arial"/>
                <w:sz w:val="20"/>
                <w:szCs w:val="20"/>
              </w:rPr>
              <w:t xml:space="preserve">greement is very good for displacements less than 2% of H but is slightly lower than the mean for higher displacements.  </w:t>
            </w:r>
            <w:r w:rsidR="00B03BF1">
              <w:rPr>
                <w:rFonts w:ascii="Arial" w:hAnsi="Arial" w:cs="Arial"/>
                <w:sz w:val="20"/>
                <w:szCs w:val="20"/>
              </w:rPr>
              <w:t>However, the hyperbola equation is unable to capture the post-peak reduction in passive force.</w:t>
            </w:r>
            <w:bookmarkStart w:id="0" w:name="_GoBack"/>
            <w:bookmarkEnd w:id="0"/>
          </w:p>
          <w:p w14:paraId="76002377" w14:textId="7E5D89A8" w:rsidR="00B03BF1" w:rsidRDefault="00B03BF1" w:rsidP="001B6F55">
            <w:pPr>
              <w:spacing w:after="0" w:line="240" w:lineRule="auto"/>
              <w:ind w:hanging="22"/>
              <w:rPr>
                <w:rFonts w:ascii="Arial" w:hAnsi="Arial" w:cs="Arial"/>
                <w:sz w:val="20"/>
                <w:szCs w:val="20"/>
              </w:rPr>
            </w:pPr>
          </w:p>
          <w:p w14:paraId="6576F4EE" w14:textId="4FCBA4DC" w:rsidR="00B03BF1" w:rsidRDefault="00B03BF1" w:rsidP="001B6F55">
            <w:pPr>
              <w:spacing w:after="0" w:line="240" w:lineRule="auto"/>
              <w:ind w:hanging="22"/>
              <w:rPr>
                <w:rFonts w:ascii="Arial" w:hAnsi="Arial" w:cs="Arial"/>
                <w:sz w:val="20"/>
                <w:szCs w:val="20"/>
              </w:rPr>
            </w:pPr>
            <w:r>
              <w:rPr>
                <w:rFonts w:ascii="Arial" w:hAnsi="Arial" w:cs="Arial"/>
                <w:sz w:val="20"/>
                <w:szCs w:val="20"/>
              </w:rPr>
              <w:t>A second curve shape is given by a hyperbolic tangent given by the equation</w:t>
            </w:r>
          </w:p>
          <w:p w14:paraId="52807665" w14:textId="254ADECE" w:rsidR="00B03BF1" w:rsidRDefault="00B03BF1" w:rsidP="001B6F55">
            <w:pPr>
              <w:spacing w:after="0" w:line="240" w:lineRule="auto"/>
              <w:ind w:hanging="22"/>
              <w:rPr>
                <w:rFonts w:ascii="Arial" w:hAnsi="Arial" w:cs="Arial"/>
                <w:sz w:val="20"/>
                <w:szCs w:val="20"/>
              </w:rPr>
            </w:pPr>
          </w:p>
          <w:p w14:paraId="71F7A867" w14:textId="2A8A3A4A" w:rsidR="00B03BF1" w:rsidRPr="003E2F7A" w:rsidRDefault="00C13D64" w:rsidP="00B03BF1">
            <w:pPr>
              <w:spacing w:after="0" w:line="240" w:lineRule="auto"/>
              <w:rPr>
                <w:rFonts w:ascii="Arial" w:hAnsi="Arial" w:cs="Arial"/>
                <w:b/>
                <w:sz w:val="20"/>
                <w:szCs w:val="20"/>
                <w:vertAlign w:val="superscript"/>
              </w:rPr>
            </w:pPr>
            <m:oMathPara>
              <m:oMathParaPr>
                <m:jc m:val="left"/>
              </m:oMathParaPr>
              <m:oMath>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P</m:t>
                    </m:r>
                  </m:num>
                  <m:den>
                    <m:sSub>
                      <m:sSubPr>
                        <m:ctrlPr>
                          <w:rPr>
                            <w:rFonts w:ascii="Cambria Math" w:hAnsi="Cambria Math" w:cs="Arial"/>
                            <w:b/>
                            <w:i/>
                            <w:sz w:val="20"/>
                            <w:szCs w:val="20"/>
                            <w:vertAlign w:val="superscript"/>
                          </w:rPr>
                        </m:ctrlPr>
                      </m:sSubPr>
                      <m:e>
                        <m:r>
                          <m:rPr>
                            <m:sty m:val="bi"/>
                          </m:rPr>
                          <w:rPr>
                            <w:rFonts w:ascii="Cambria Math" w:hAnsi="Cambria Math" w:cs="Arial"/>
                            <w:sz w:val="20"/>
                            <w:szCs w:val="20"/>
                            <w:vertAlign w:val="superscript"/>
                          </w:rPr>
                          <m:t>P</m:t>
                        </m:r>
                      </m:e>
                      <m:sub>
                        <m:r>
                          <m:rPr>
                            <m:sty m:val="bi"/>
                          </m:rPr>
                          <w:rPr>
                            <w:rFonts w:ascii="Cambria Math" w:hAnsi="Cambria Math" w:cs="Arial"/>
                            <w:sz w:val="20"/>
                            <w:szCs w:val="20"/>
                            <w:vertAlign w:val="superscript"/>
                          </w:rPr>
                          <m:t>max</m:t>
                        </m:r>
                      </m:sub>
                    </m:sSub>
                  </m:den>
                </m:f>
                <m:r>
                  <m:rPr>
                    <m:sty m:val="bi"/>
                  </m:rPr>
                  <w:rPr>
                    <w:rFonts w:ascii="Cambria Math" w:hAnsi="Cambria Math" w:cs="Arial"/>
                    <w:sz w:val="20"/>
                    <w:szCs w:val="20"/>
                    <w:vertAlign w:val="superscript"/>
                  </w:rPr>
                  <m:t>=  100 Tanh</m:t>
                </m:r>
                <m:d>
                  <m:dPr>
                    <m:begChr m:val="["/>
                    <m:endChr m:val="]"/>
                    <m:ctrlPr>
                      <w:rPr>
                        <w:rFonts w:ascii="Cambria Math" w:hAnsi="Cambria Math" w:cs="Arial"/>
                        <w:b/>
                        <w:i/>
                        <w:sz w:val="20"/>
                        <w:szCs w:val="20"/>
                        <w:vertAlign w:val="superscript"/>
                      </w:rPr>
                    </m:ctrlPr>
                  </m:dPr>
                  <m:e>
                    <m:r>
                      <m:rPr>
                        <m:sty m:val="bi"/>
                      </m:rPr>
                      <w:rPr>
                        <w:rFonts w:ascii="Cambria Math" w:hAnsi="Cambria Math" w:cs="Arial"/>
                        <w:sz w:val="20"/>
                        <w:szCs w:val="20"/>
                        <w:vertAlign w:val="superscript"/>
                      </w:rPr>
                      <m:t>0.71</m:t>
                    </m:r>
                    <m:d>
                      <m:dPr>
                        <m:ctrlPr>
                          <w:rPr>
                            <w:rFonts w:ascii="Cambria Math" w:hAnsi="Cambria Math" w:cs="Arial"/>
                            <w:b/>
                            <w:i/>
                            <w:sz w:val="20"/>
                            <w:szCs w:val="20"/>
                            <w:vertAlign w:val="superscript"/>
                          </w:rPr>
                        </m:ctrlPr>
                      </m:dPr>
                      <m:e>
                        <m:f>
                          <m:fPr>
                            <m:ctrlPr>
                              <w:rPr>
                                <w:rFonts w:ascii="Cambria Math" w:hAnsi="Cambria Math" w:cs="Arial"/>
                                <w:b/>
                                <w:i/>
                                <w:sz w:val="20"/>
                                <w:szCs w:val="20"/>
                                <w:vertAlign w:val="superscript"/>
                              </w:rPr>
                            </m:ctrlPr>
                          </m:fPr>
                          <m:num>
                            <m:r>
                              <m:rPr>
                                <m:sty m:val="bi"/>
                              </m:rPr>
                              <w:rPr>
                                <w:rFonts w:ascii="Cambria Math" w:hAnsi="Cambria Math" w:cs="Arial"/>
                                <w:sz w:val="20"/>
                                <w:szCs w:val="20"/>
                                <w:vertAlign w:val="superscript"/>
                              </w:rPr>
                              <m:t>Δ</m:t>
                            </m:r>
                          </m:num>
                          <m:den>
                            <m:r>
                              <m:rPr>
                                <m:sty m:val="bi"/>
                              </m:rPr>
                              <w:rPr>
                                <w:rFonts w:ascii="Cambria Math" w:hAnsi="Cambria Math" w:cs="Arial"/>
                                <w:sz w:val="20"/>
                                <w:szCs w:val="20"/>
                                <w:vertAlign w:val="superscript"/>
                              </w:rPr>
                              <m:t>H</m:t>
                            </m:r>
                          </m:den>
                        </m:f>
                      </m:e>
                    </m:d>
                  </m:e>
                </m:d>
              </m:oMath>
            </m:oMathPara>
          </w:p>
          <w:p w14:paraId="13EB0460" w14:textId="3A138209" w:rsidR="003E2F7A" w:rsidRDefault="003E2F7A" w:rsidP="00B03BF1">
            <w:pPr>
              <w:spacing w:after="0" w:line="240" w:lineRule="auto"/>
              <w:rPr>
                <w:rFonts w:ascii="Arial" w:hAnsi="Arial" w:cs="Arial"/>
                <w:b/>
                <w:sz w:val="20"/>
                <w:szCs w:val="20"/>
                <w:vertAlign w:val="superscript"/>
              </w:rPr>
            </w:pPr>
          </w:p>
          <w:p w14:paraId="44523DB5" w14:textId="1FC083A0" w:rsidR="00B03BF1" w:rsidRDefault="003E2F7A" w:rsidP="001B6F55">
            <w:pPr>
              <w:spacing w:after="0" w:line="240" w:lineRule="auto"/>
              <w:ind w:hanging="22"/>
              <w:rPr>
                <w:rFonts w:ascii="Arial" w:hAnsi="Arial" w:cs="Arial"/>
                <w:sz w:val="20"/>
                <w:szCs w:val="20"/>
              </w:rPr>
            </w:pPr>
            <w:r w:rsidRPr="00FC0BC9">
              <w:rPr>
                <w:rFonts w:ascii="Arial" w:hAnsi="Arial" w:cs="Arial"/>
                <w:sz w:val="20"/>
                <w:szCs w:val="20"/>
              </w:rPr>
              <w:t>where (P/P</w:t>
            </w:r>
            <w:r w:rsidRPr="00FC0BC9">
              <w:rPr>
                <w:rFonts w:ascii="Arial" w:hAnsi="Arial" w:cs="Arial"/>
                <w:sz w:val="20"/>
                <w:szCs w:val="20"/>
                <w:vertAlign w:val="subscript"/>
              </w:rPr>
              <w:t>max</w:t>
            </w:r>
            <w:r w:rsidRPr="00FC0BC9">
              <w:rPr>
                <w:rFonts w:ascii="Arial" w:hAnsi="Arial" w:cs="Arial"/>
                <w:sz w:val="20"/>
                <w:szCs w:val="20"/>
              </w:rPr>
              <w:t>) and (Δ/H) are both expressed as percentages</w:t>
            </w:r>
            <w:r>
              <w:rPr>
                <w:rFonts w:ascii="Arial" w:hAnsi="Arial" w:cs="Arial"/>
                <w:sz w:val="20"/>
                <w:szCs w:val="20"/>
              </w:rPr>
              <w:t>. This curve shape equation is somewhat simpler but does not fit the mean curve as well as the hyperbola equation.  Relative to the measured curve, the hyperbolic tangent curve underestimates measured passive force for normalized displacements less than 1.2% and overestimates for higher values.  Based on this comparison,</w:t>
            </w:r>
            <w:r w:rsidR="00F756A6">
              <w:rPr>
                <w:rFonts w:ascii="Arial" w:hAnsi="Arial" w:cs="Arial"/>
                <w:sz w:val="20"/>
                <w:szCs w:val="20"/>
              </w:rPr>
              <w:t xml:space="preserve"> the hyperbola equation is the superior curve for predicting passive force development with displacement.</w:t>
            </w:r>
            <w:r>
              <w:rPr>
                <w:rFonts w:ascii="Arial" w:hAnsi="Arial" w:cs="Arial"/>
                <w:sz w:val="20"/>
                <w:szCs w:val="20"/>
              </w:rPr>
              <w:t xml:space="preserve">   </w:t>
            </w:r>
          </w:p>
          <w:p w14:paraId="52924162" w14:textId="77777777" w:rsidR="002836D5" w:rsidRPr="00F42B7B" w:rsidRDefault="002836D5" w:rsidP="00F46848">
            <w:pPr>
              <w:spacing w:after="0" w:line="240" w:lineRule="auto"/>
              <w:rPr>
                <w:rFonts w:ascii="Arial" w:hAnsi="Arial" w:cs="Arial"/>
                <w:strike/>
                <w:sz w:val="20"/>
                <w:szCs w:val="20"/>
              </w:rPr>
            </w:pPr>
          </w:p>
          <w:p w14:paraId="4FE31F2C" w14:textId="0D853412" w:rsidR="009B150B" w:rsidRPr="00F42B7B" w:rsidRDefault="0011476D" w:rsidP="001B6F55">
            <w:pPr>
              <w:spacing w:after="0" w:line="240" w:lineRule="auto"/>
              <w:ind w:firstLine="608"/>
              <w:rPr>
                <w:rFonts w:ascii="Arial" w:hAnsi="Arial" w:cs="Arial"/>
                <w:strike/>
                <w:sz w:val="20"/>
                <w:szCs w:val="20"/>
                <w:vertAlign w:val="superscript"/>
              </w:rPr>
            </w:pPr>
            <w:r w:rsidRPr="00F42B7B">
              <w:rPr>
                <w:rFonts w:ascii="Arial" w:hAnsi="Arial" w:cs="Arial"/>
                <w:strike/>
                <w:sz w:val="20"/>
                <w:szCs w:val="20"/>
                <w:vertAlign w:val="superscript"/>
              </w:rPr>
              <w:t xml:space="preserve"> </w:t>
            </w:r>
            <w:r w:rsidR="001B6F55" w:rsidRPr="001B6F55">
              <w:rPr>
                <w:rFonts w:ascii="Arial" w:hAnsi="Arial" w:cs="Arial"/>
                <w:strike/>
                <w:noProof/>
                <w:sz w:val="20"/>
                <w:szCs w:val="20"/>
                <w:vertAlign w:val="superscript"/>
              </w:rPr>
              <w:drawing>
                <wp:inline distT="0" distB="0" distL="0" distR="0" wp14:anchorId="4BED24B9" wp14:editId="5CB10121">
                  <wp:extent cx="5281930" cy="3667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1930" cy="3667125"/>
                          </a:xfrm>
                          <a:prstGeom prst="rect">
                            <a:avLst/>
                          </a:prstGeom>
                          <a:noFill/>
                          <a:ln>
                            <a:noFill/>
                          </a:ln>
                        </pic:spPr>
                      </pic:pic>
                    </a:graphicData>
                  </a:graphic>
                </wp:inline>
              </w:drawing>
            </w:r>
            <w:r w:rsidR="00194C87" w:rsidRPr="00F42B7B">
              <w:rPr>
                <w:rFonts w:ascii="Arial" w:hAnsi="Arial" w:cs="Arial"/>
                <w:strike/>
                <w:sz w:val="20"/>
                <w:szCs w:val="20"/>
                <w:vertAlign w:val="superscript"/>
              </w:rPr>
              <w:t xml:space="preserve">                       </w:t>
            </w:r>
            <w:r w:rsidRPr="00F42B7B">
              <w:rPr>
                <w:rFonts w:ascii="Arial" w:hAnsi="Arial" w:cs="Arial"/>
                <w:strike/>
                <w:sz w:val="20"/>
                <w:szCs w:val="20"/>
                <w:vertAlign w:val="superscript"/>
              </w:rPr>
              <w:t xml:space="preserve">                                     </w:t>
            </w:r>
          </w:p>
          <w:p w14:paraId="58EC8D28" w14:textId="0D2C8B59" w:rsidR="004C358D" w:rsidRPr="001B6F55" w:rsidRDefault="005C4113" w:rsidP="00F46848">
            <w:pPr>
              <w:spacing w:after="0" w:line="240" w:lineRule="auto"/>
              <w:rPr>
                <w:rFonts w:ascii="Arial" w:hAnsi="Arial" w:cs="Arial"/>
                <w:b/>
                <w:bCs/>
                <w:sz w:val="20"/>
                <w:szCs w:val="20"/>
              </w:rPr>
            </w:pPr>
            <w:r w:rsidRPr="001B6F55">
              <w:rPr>
                <w:rFonts w:ascii="Arial" w:hAnsi="Arial" w:cs="Arial"/>
                <w:b/>
                <w:bCs/>
                <w:sz w:val="20"/>
                <w:szCs w:val="20"/>
              </w:rPr>
              <w:t xml:space="preserve">Fig. 1 Normalized passive force vs. normalized </w:t>
            </w:r>
            <w:r w:rsidR="00A26802" w:rsidRPr="001B6F55">
              <w:rPr>
                <w:rFonts w:ascii="Arial" w:hAnsi="Arial" w:cs="Arial"/>
                <w:b/>
                <w:bCs/>
                <w:sz w:val="20"/>
                <w:szCs w:val="20"/>
              </w:rPr>
              <w:t>longitudinal</w:t>
            </w:r>
            <w:r w:rsidRPr="001B6F55">
              <w:rPr>
                <w:rFonts w:ascii="Arial" w:hAnsi="Arial" w:cs="Arial"/>
                <w:b/>
                <w:bCs/>
                <w:sz w:val="20"/>
                <w:szCs w:val="20"/>
              </w:rPr>
              <w:t xml:space="preserve"> displacement curves for </w:t>
            </w:r>
            <w:r w:rsidR="00A26802" w:rsidRPr="001B6F55">
              <w:rPr>
                <w:rFonts w:ascii="Arial" w:hAnsi="Arial" w:cs="Arial"/>
                <w:b/>
                <w:bCs/>
                <w:sz w:val="20"/>
                <w:szCs w:val="20"/>
              </w:rPr>
              <w:t>1</w:t>
            </w:r>
            <w:r w:rsidR="001B6F55" w:rsidRPr="001B6F55">
              <w:rPr>
                <w:rFonts w:ascii="Arial" w:hAnsi="Arial" w:cs="Arial"/>
                <w:b/>
                <w:bCs/>
                <w:sz w:val="20"/>
                <w:szCs w:val="20"/>
              </w:rPr>
              <w:t>4</w:t>
            </w:r>
            <w:r w:rsidR="00A26802" w:rsidRPr="001B6F55">
              <w:rPr>
                <w:rFonts w:ascii="Arial" w:hAnsi="Arial" w:cs="Arial"/>
                <w:b/>
                <w:bCs/>
                <w:sz w:val="20"/>
                <w:szCs w:val="20"/>
              </w:rPr>
              <w:t xml:space="preserve"> large-scale abutment lateral load tests conducted during this study along with </w:t>
            </w:r>
            <w:r w:rsidR="001B6F55" w:rsidRPr="001B6F55">
              <w:rPr>
                <w:rFonts w:ascii="Arial" w:hAnsi="Arial" w:cs="Arial"/>
                <w:b/>
                <w:bCs/>
                <w:sz w:val="20"/>
                <w:szCs w:val="20"/>
              </w:rPr>
              <w:t xml:space="preserve">two </w:t>
            </w:r>
            <w:r w:rsidR="00A26802" w:rsidRPr="001B6F55">
              <w:rPr>
                <w:rFonts w:ascii="Arial" w:hAnsi="Arial" w:cs="Arial"/>
                <w:b/>
                <w:bCs/>
                <w:sz w:val="20"/>
                <w:szCs w:val="20"/>
              </w:rPr>
              <w:t>p</w:t>
            </w:r>
            <w:r w:rsidR="001B6F55" w:rsidRPr="001B6F55">
              <w:rPr>
                <w:rFonts w:ascii="Arial" w:hAnsi="Arial" w:cs="Arial"/>
                <w:b/>
                <w:bCs/>
                <w:sz w:val="20"/>
                <w:szCs w:val="20"/>
              </w:rPr>
              <w:t>ossible generic curve shapes.</w:t>
            </w:r>
          </w:p>
          <w:p w14:paraId="05F02DB2" w14:textId="77777777" w:rsidR="00777CAF" w:rsidRPr="00777CAF" w:rsidRDefault="00777CAF" w:rsidP="00F46848">
            <w:pPr>
              <w:spacing w:after="0" w:line="240" w:lineRule="auto"/>
              <w:rPr>
                <w:rFonts w:ascii="Arial" w:hAnsi="Arial" w:cs="Arial"/>
                <w:sz w:val="20"/>
                <w:szCs w:val="20"/>
              </w:rPr>
            </w:pPr>
          </w:p>
          <w:p w14:paraId="6A15CA4C" w14:textId="770EFE4E" w:rsidR="0012130F" w:rsidRPr="00E67DCB" w:rsidRDefault="00E67DCB" w:rsidP="00F46848">
            <w:pPr>
              <w:spacing w:after="0" w:line="240" w:lineRule="auto"/>
              <w:rPr>
                <w:rFonts w:ascii="Arial" w:hAnsi="Arial" w:cs="Arial"/>
                <w:bCs/>
                <w:sz w:val="20"/>
                <w:szCs w:val="20"/>
              </w:rPr>
            </w:pPr>
            <w:r>
              <w:rPr>
                <w:rFonts w:ascii="Arial" w:hAnsi="Arial" w:cs="Arial"/>
                <w:bCs/>
                <w:sz w:val="20"/>
                <w:szCs w:val="20"/>
              </w:rPr>
              <w:t>All analysis has now been completed to allow preparation of a final summary paper describing the overall testing program and test results.</w:t>
            </w:r>
          </w:p>
          <w:p w14:paraId="60FEAE22" w14:textId="77777777" w:rsidR="0012130F" w:rsidRPr="0012130F" w:rsidRDefault="0012130F" w:rsidP="00F46848">
            <w:pPr>
              <w:spacing w:after="0" w:line="240" w:lineRule="auto"/>
              <w:rPr>
                <w:rFonts w:ascii="Arial" w:hAnsi="Arial" w:cs="Arial"/>
                <w:sz w:val="20"/>
                <w:szCs w:val="20"/>
              </w:rPr>
            </w:pPr>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77777777"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Pr>
                <w:rFonts w:ascii="Arial" w:hAnsi="Arial" w:cs="Arial"/>
                <w:sz w:val="20"/>
                <w:szCs w:val="20"/>
              </w:rPr>
              <w:t>May 2020</w:t>
            </w:r>
            <w:r w:rsidRPr="00E818EB">
              <w:rPr>
                <w:rFonts w:ascii="Arial" w:hAnsi="Arial" w:cs="Arial"/>
                <w:sz w:val="20"/>
                <w:szCs w:val="20"/>
              </w:rPr>
              <w:t xml:space="preserve"> to allow for completion and TAC review of reports.</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p w14:paraId="2AF7C4F6" w14:textId="77777777" w:rsidR="00781A80" w:rsidRDefault="00781A80"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77777777"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C7055" w14:textId="77777777" w:rsidR="00C13D64" w:rsidRDefault="00C13D64" w:rsidP="00106C83">
      <w:pPr>
        <w:spacing w:after="0" w:line="240" w:lineRule="auto"/>
      </w:pPr>
      <w:r>
        <w:separator/>
      </w:r>
    </w:p>
  </w:endnote>
  <w:endnote w:type="continuationSeparator" w:id="0">
    <w:p w14:paraId="0F686177" w14:textId="77777777" w:rsidR="00C13D64" w:rsidRDefault="00C13D6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A8E9" w14:textId="77777777" w:rsidR="00C13D64" w:rsidRDefault="00C13D64" w:rsidP="00106C83">
      <w:pPr>
        <w:spacing w:after="0" w:line="240" w:lineRule="auto"/>
      </w:pPr>
      <w:r>
        <w:separator/>
      </w:r>
    </w:p>
  </w:footnote>
  <w:footnote w:type="continuationSeparator" w:id="0">
    <w:p w14:paraId="30696E3C" w14:textId="77777777" w:rsidR="00C13D64" w:rsidRDefault="00C13D6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11BD"/>
    <w:rsid w:val="000415D9"/>
    <w:rsid w:val="0004276B"/>
    <w:rsid w:val="000429C4"/>
    <w:rsid w:val="00042E3E"/>
    <w:rsid w:val="00045E95"/>
    <w:rsid w:val="00046B7B"/>
    <w:rsid w:val="00046DCA"/>
    <w:rsid w:val="000475AF"/>
    <w:rsid w:val="00051A77"/>
    <w:rsid w:val="00053920"/>
    <w:rsid w:val="00055A52"/>
    <w:rsid w:val="0005670F"/>
    <w:rsid w:val="000567AA"/>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6D"/>
    <w:rsid w:val="001147C8"/>
    <w:rsid w:val="00114EB1"/>
    <w:rsid w:val="00116FB3"/>
    <w:rsid w:val="0012130F"/>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C87"/>
    <w:rsid w:val="00196638"/>
    <w:rsid w:val="001A1AE4"/>
    <w:rsid w:val="001A1FEC"/>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41A6"/>
    <w:rsid w:val="001C453E"/>
    <w:rsid w:val="001C6C19"/>
    <w:rsid w:val="001D15FE"/>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0C34"/>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87116"/>
    <w:rsid w:val="00990555"/>
    <w:rsid w:val="00991B07"/>
    <w:rsid w:val="00992169"/>
    <w:rsid w:val="00993BA4"/>
    <w:rsid w:val="00993E66"/>
    <w:rsid w:val="009946EE"/>
    <w:rsid w:val="00995C1F"/>
    <w:rsid w:val="009961D5"/>
    <w:rsid w:val="009974C6"/>
    <w:rsid w:val="009A18FF"/>
    <w:rsid w:val="009A2158"/>
    <w:rsid w:val="009A23FD"/>
    <w:rsid w:val="009A358E"/>
    <w:rsid w:val="009A481F"/>
    <w:rsid w:val="009A638C"/>
    <w:rsid w:val="009B03B2"/>
    <w:rsid w:val="009B0753"/>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029"/>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A7354"/>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714F"/>
    <w:rsid w:val="00D00865"/>
    <w:rsid w:val="00D00B48"/>
    <w:rsid w:val="00D0139B"/>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586F"/>
    <w:rsid w:val="00E66E2B"/>
    <w:rsid w:val="00E672DB"/>
    <w:rsid w:val="00E6793C"/>
    <w:rsid w:val="00E67DCB"/>
    <w:rsid w:val="00E76AE6"/>
    <w:rsid w:val="00E818EB"/>
    <w:rsid w:val="00E822AF"/>
    <w:rsid w:val="00E82370"/>
    <w:rsid w:val="00E829CF"/>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0BC9"/>
    <w:rsid w:val="00FC4EA9"/>
    <w:rsid w:val="00FC5851"/>
    <w:rsid w:val="00FC7374"/>
    <w:rsid w:val="00FC7BF7"/>
    <w:rsid w:val="00FD3F3F"/>
    <w:rsid w:val="00FD3F58"/>
    <w:rsid w:val="00FD3FEC"/>
    <w:rsid w:val="00FD42AC"/>
    <w:rsid w:val="00FD6FCE"/>
    <w:rsid w:val="00FD72BB"/>
    <w:rsid w:val="00FD7A44"/>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1624-70F8-49BF-94D8-E58324B7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35</cp:revision>
  <cp:lastPrinted>2011-06-21T20:32:00Z</cp:lastPrinted>
  <dcterms:created xsi:type="dcterms:W3CDTF">2020-06-22T19:22:00Z</dcterms:created>
  <dcterms:modified xsi:type="dcterms:W3CDTF">2020-06-23T16:58:00Z</dcterms:modified>
</cp:coreProperties>
</file>