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bookmarkStart w:id="0" w:name="_GoBack"/>
      <w:bookmarkEnd w:id="0"/>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439" w:type="dxa"/>
        <w:tblInd w:w="-720" w:type="dxa"/>
        <w:tblLook w:val="04A0" w:firstRow="1" w:lastRow="0" w:firstColumn="1" w:lastColumn="0" w:noHBand="0" w:noVBand="1"/>
      </w:tblPr>
      <w:tblGrid>
        <w:gridCol w:w="4158"/>
        <w:gridCol w:w="787"/>
        <w:gridCol w:w="2074"/>
        <w:gridCol w:w="3420"/>
      </w:tblGrid>
      <w:tr w:rsidR="00551D8A" w:rsidRPr="003C65F0" w:rsidTr="00E05E81">
        <w:trPr>
          <w:trHeight w:val="1997"/>
        </w:trPr>
        <w:tc>
          <w:tcPr>
            <w:tcW w:w="4945"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E35E0F" w:rsidRPr="003C65F0" w:rsidRDefault="00E05E81" w:rsidP="00551D8A">
            <w:pPr>
              <w:ind w:right="-720"/>
              <w:rPr>
                <w:rFonts w:ascii="Arial" w:hAnsi="Arial" w:cs="Arial"/>
                <w:i/>
                <w:sz w:val="20"/>
                <w:szCs w:val="20"/>
              </w:rPr>
            </w:pPr>
            <w:r>
              <w:rPr>
                <w:rFonts w:ascii="Arial" w:hAnsi="Arial" w:cs="Arial"/>
                <w:i/>
                <w:sz w:val="20"/>
                <w:szCs w:val="20"/>
              </w:rPr>
              <w:t>TPF-5(447)</w:t>
            </w: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054EF5"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1 (January 1 – March 31)</w:t>
            </w:r>
          </w:p>
          <w:p w:rsidR="00551D8A" w:rsidRPr="003C65F0" w:rsidRDefault="00E37C2B"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756710" w:rsidRDefault="00756710" w:rsidP="00FA5F4E">
            <w:pPr>
              <w:ind w:right="-720"/>
              <w:rPr>
                <w:rFonts w:ascii="Arial" w:hAnsi="Arial" w:cs="Arial"/>
                <w:sz w:val="20"/>
                <w:szCs w:val="20"/>
              </w:rPr>
            </w:pPr>
            <w:r w:rsidRPr="003C65F0">
              <w:rPr>
                <w:rFonts w:ascii="Arial" w:hAnsi="Arial" w:cs="Arial"/>
                <w:sz w:val="36"/>
                <w:szCs w:val="36"/>
              </w:rPr>
              <w:t>□</w:t>
            </w:r>
            <w:r w:rsidRPr="003C65F0">
              <w:rPr>
                <w:rFonts w:ascii="Arial" w:hAnsi="Arial" w:cs="Arial"/>
                <w:sz w:val="20"/>
                <w:szCs w:val="20"/>
              </w:rPr>
              <w:t>Quarter 3 (July 1 – September 30)</w:t>
            </w:r>
          </w:p>
          <w:p w:rsidR="00551D8A" w:rsidRPr="003C65F0" w:rsidRDefault="00054EF5"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rsidTr="00E05E81">
        <w:tc>
          <w:tcPr>
            <w:tcW w:w="10439"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E05E81">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756710">
              <w:rPr>
                <w:rFonts w:ascii="Arial" w:hAnsi="Arial" w:cs="Arial"/>
                <w:sz w:val="20"/>
                <w:szCs w:val="20"/>
              </w:rPr>
              <w:t>Matthew Marchese</w:t>
            </w:r>
          </w:p>
          <w:p w:rsidR="00640F43" w:rsidRPr="003C65F0" w:rsidRDefault="00640F43" w:rsidP="00640F43">
            <w:pPr>
              <w:ind w:right="-720"/>
              <w:rPr>
                <w:rFonts w:ascii="Arial" w:hAnsi="Arial" w:cs="Arial"/>
                <w:sz w:val="20"/>
                <w:szCs w:val="20"/>
              </w:rPr>
            </w:pPr>
          </w:p>
        </w:tc>
        <w:tc>
          <w:tcPr>
            <w:tcW w:w="2861"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(202) 493-33</w:t>
            </w:r>
            <w:r w:rsidR="00756710">
              <w:rPr>
                <w:rFonts w:ascii="Arial" w:hAnsi="Arial" w:cs="Arial"/>
                <w:sz w:val="20"/>
                <w:szCs w:val="20"/>
              </w:rPr>
              <w:t>80</w:t>
            </w:r>
          </w:p>
          <w:p w:rsidR="00382112" w:rsidRPr="003C65F0" w:rsidRDefault="00382112" w:rsidP="001511D6">
            <w:pPr>
              <w:ind w:right="-720"/>
              <w:rPr>
                <w:rFonts w:ascii="Arial" w:hAnsi="Arial" w:cs="Arial"/>
                <w:sz w:val="20"/>
                <w:szCs w:val="20"/>
              </w:rPr>
            </w:pP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3D04B9"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E05E81">
                <w:rPr>
                  <w:rStyle w:val="Hyperlink"/>
                </w:rPr>
                <w:t>Matthew.Marchese.CTR@dot.gov</w:t>
              </w:r>
            </w:hyperlink>
          </w:p>
          <w:p w:rsidR="00382112" w:rsidRPr="00640F43" w:rsidRDefault="00382112" w:rsidP="001511D6">
            <w:pPr>
              <w:ind w:right="-720"/>
              <w:rPr>
                <w:rFonts w:ascii="Arial" w:hAnsi="Arial" w:cs="Arial"/>
                <w:sz w:val="20"/>
                <w:szCs w:val="20"/>
              </w:rPr>
            </w:pPr>
          </w:p>
        </w:tc>
      </w:tr>
      <w:tr w:rsidR="00535598" w:rsidRPr="003C65F0" w:rsidTr="00E05E81">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2861"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E05E81">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2861"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rsidR="00C57070" w:rsidRPr="003C65F0"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 xml:space="preserve">$660,000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054EF5" w:rsidRDefault="00054EF5" w:rsidP="00054EF5">
            <w:pPr>
              <w:pStyle w:val="ListParagraph"/>
              <w:numPr>
                <w:ilvl w:val="0"/>
                <w:numId w:val="10"/>
              </w:numPr>
              <w:ind w:right="280"/>
              <w:rPr>
                <w:rFonts w:ascii="Arial" w:hAnsi="Arial" w:cs="Arial"/>
                <w:sz w:val="20"/>
                <w:szCs w:val="20"/>
              </w:rPr>
            </w:pPr>
            <w:r>
              <w:rPr>
                <w:rFonts w:ascii="Arial" w:hAnsi="Arial" w:cs="Arial"/>
                <w:sz w:val="20"/>
                <w:szCs w:val="20"/>
              </w:rPr>
              <w:t>Held Q1 call</w:t>
            </w:r>
          </w:p>
          <w:p w:rsidR="00054EF5" w:rsidRDefault="00054EF5" w:rsidP="00054EF5">
            <w:pPr>
              <w:pStyle w:val="ListParagraph"/>
              <w:numPr>
                <w:ilvl w:val="0"/>
                <w:numId w:val="10"/>
              </w:numPr>
              <w:ind w:right="280"/>
              <w:rPr>
                <w:rFonts w:ascii="Arial" w:hAnsi="Arial" w:cs="Arial"/>
                <w:sz w:val="20"/>
                <w:szCs w:val="20"/>
              </w:rPr>
            </w:pPr>
            <w:r>
              <w:rPr>
                <w:rFonts w:ascii="Arial" w:hAnsi="Arial" w:cs="Arial"/>
                <w:sz w:val="20"/>
                <w:szCs w:val="20"/>
              </w:rPr>
              <w:t>Scheduled quarterly call</w:t>
            </w:r>
          </w:p>
          <w:p w:rsidR="00054EF5" w:rsidRDefault="00054EF5" w:rsidP="00054EF5">
            <w:pPr>
              <w:pStyle w:val="ListParagraph"/>
              <w:numPr>
                <w:ilvl w:val="0"/>
                <w:numId w:val="10"/>
              </w:numPr>
              <w:ind w:right="280"/>
              <w:rPr>
                <w:rFonts w:ascii="Arial" w:hAnsi="Arial" w:cs="Arial"/>
                <w:sz w:val="20"/>
                <w:szCs w:val="20"/>
              </w:rPr>
            </w:pPr>
            <w:r>
              <w:rPr>
                <w:rFonts w:ascii="Arial" w:hAnsi="Arial" w:cs="Arial"/>
                <w:sz w:val="20"/>
                <w:szCs w:val="20"/>
              </w:rPr>
              <w:t>Canceled and began rescheduling annual meeting due to COVID-19 (see “circumstances effecting budget”)</w:t>
            </w:r>
          </w:p>
          <w:p w:rsidR="00054EF5" w:rsidRDefault="00054EF5" w:rsidP="00054EF5">
            <w:pPr>
              <w:pStyle w:val="ListParagraph"/>
              <w:numPr>
                <w:ilvl w:val="0"/>
                <w:numId w:val="10"/>
              </w:numPr>
              <w:ind w:right="280"/>
              <w:rPr>
                <w:rFonts w:ascii="Arial" w:hAnsi="Arial" w:cs="Arial"/>
                <w:sz w:val="20"/>
                <w:szCs w:val="20"/>
              </w:rPr>
            </w:pPr>
            <w:r>
              <w:rPr>
                <w:rFonts w:ascii="Arial" w:hAnsi="Arial" w:cs="Arial"/>
                <w:sz w:val="20"/>
                <w:szCs w:val="20"/>
              </w:rPr>
              <w:t>Began adding members to SharePoint</w:t>
            </w:r>
          </w:p>
          <w:p w:rsidR="00054EF5" w:rsidRDefault="00054EF5" w:rsidP="00054EF5">
            <w:pPr>
              <w:pStyle w:val="ListParagraph"/>
              <w:numPr>
                <w:ilvl w:val="0"/>
                <w:numId w:val="10"/>
              </w:numPr>
              <w:ind w:right="280"/>
              <w:rPr>
                <w:rFonts w:ascii="Arial" w:hAnsi="Arial" w:cs="Arial"/>
                <w:sz w:val="20"/>
                <w:szCs w:val="20"/>
              </w:rPr>
            </w:pPr>
            <w:r>
              <w:rPr>
                <w:rFonts w:ascii="Arial" w:hAnsi="Arial" w:cs="Arial"/>
                <w:sz w:val="20"/>
                <w:szCs w:val="20"/>
              </w:rPr>
              <w:t xml:space="preserve">Continued </w:t>
            </w:r>
            <w:proofErr w:type="gramStart"/>
            <w:r>
              <w:rPr>
                <w:rFonts w:ascii="Arial" w:hAnsi="Arial" w:cs="Arial"/>
                <w:sz w:val="20"/>
                <w:szCs w:val="20"/>
              </w:rPr>
              <w:t>making revisions to</w:t>
            </w:r>
            <w:proofErr w:type="gramEnd"/>
            <w:r>
              <w:rPr>
                <w:rFonts w:ascii="Arial" w:hAnsi="Arial" w:cs="Arial"/>
                <w:sz w:val="20"/>
                <w:szCs w:val="20"/>
              </w:rPr>
              <w:t xml:space="preserve"> charter</w:t>
            </w:r>
          </w:p>
          <w:p w:rsidR="00054EF5" w:rsidRPr="00054EF5" w:rsidRDefault="00054EF5" w:rsidP="00054EF5">
            <w:pPr>
              <w:pStyle w:val="ListParagraph"/>
              <w:numPr>
                <w:ilvl w:val="0"/>
                <w:numId w:val="10"/>
              </w:numPr>
              <w:ind w:right="280"/>
              <w:rPr>
                <w:rFonts w:ascii="Arial" w:hAnsi="Arial" w:cs="Arial"/>
                <w:sz w:val="20"/>
                <w:szCs w:val="20"/>
              </w:rPr>
            </w:pPr>
            <w:r>
              <w:rPr>
                <w:rFonts w:ascii="Arial" w:hAnsi="Arial" w:cs="Arial"/>
                <w:sz w:val="20"/>
                <w:szCs w:val="20"/>
              </w:rPr>
              <w:t>Submitted first draft of Digital Sign Printing State of the Practice document</w:t>
            </w:r>
          </w:p>
          <w:p w:rsidR="00CC4836" w:rsidRPr="00054EF5" w:rsidRDefault="00CC4836" w:rsidP="00054EF5">
            <w:pPr>
              <w:ind w:left="360" w:right="280"/>
              <w:rPr>
                <w:rFonts w:ascii="Arial" w:hAnsi="Arial" w:cs="Arial"/>
                <w:sz w:val="20"/>
                <w:szCs w:val="20"/>
              </w:rPr>
            </w:pPr>
          </w:p>
          <w:p w:rsidR="00E727A7"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rsidR="00C57070" w:rsidRPr="00C57070" w:rsidRDefault="00C57070" w:rsidP="00C57070">
            <w:pPr>
              <w:pStyle w:val="ListParagraph"/>
              <w:numPr>
                <w:ilvl w:val="0"/>
                <w:numId w:val="10"/>
              </w:numPr>
              <w:ind w:right="280"/>
              <w:rPr>
                <w:rFonts w:ascii="Arial" w:hAnsi="Arial" w:cs="Arial"/>
                <w:sz w:val="20"/>
                <w:szCs w:val="20"/>
              </w:rPr>
            </w:pPr>
            <w:r w:rsidRPr="00C57070">
              <w:rPr>
                <w:rFonts w:ascii="Arial" w:hAnsi="Arial" w:cs="Arial"/>
                <w:sz w:val="20"/>
                <w:szCs w:val="20"/>
              </w:rPr>
              <w:t xml:space="preserve">Completed reviewing literature and gathering agency input on sign designs.  </w:t>
            </w:r>
          </w:p>
          <w:p w:rsidR="00C57070" w:rsidRPr="00C57070" w:rsidRDefault="00C57070" w:rsidP="00C57070">
            <w:pPr>
              <w:pStyle w:val="ListParagraph"/>
              <w:numPr>
                <w:ilvl w:val="0"/>
                <w:numId w:val="10"/>
              </w:numPr>
              <w:ind w:right="280"/>
              <w:rPr>
                <w:rFonts w:ascii="Arial" w:hAnsi="Arial" w:cs="Arial"/>
                <w:sz w:val="20"/>
                <w:szCs w:val="20"/>
              </w:rPr>
            </w:pPr>
            <w:r w:rsidRPr="00C57070">
              <w:rPr>
                <w:rFonts w:ascii="Arial" w:hAnsi="Arial" w:cs="Arial"/>
                <w:sz w:val="20"/>
                <w:szCs w:val="20"/>
              </w:rPr>
              <w:t>The team is incorporating the determination of symbols and signs into the research plan.</w:t>
            </w:r>
          </w:p>
          <w:p w:rsidR="00C57070" w:rsidRPr="00C57070" w:rsidRDefault="00C57070" w:rsidP="00C57070">
            <w:pPr>
              <w:pStyle w:val="ListParagraph"/>
              <w:numPr>
                <w:ilvl w:val="0"/>
                <w:numId w:val="10"/>
              </w:numPr>
              <w:ind w:right="280"/>
              <w:rPr>
                <w:rFonts w:ascii="Arial" w:hAnsi="Arial" w:cs="Arial"/>
                <w:sz w:val="20"/>
                <w:szCs w:val="20"/>
              </w:rPr>
            </w:pPr>
            <w:r w:rsidRPr="00C57070">
              <w:rPr>
                <w:rFonts w:ascii="Arial" w:hAnsi="Arial" w:cs="Arial"/>
                <w:sz w:val="20"/>
                <w:szCs w:val="20"/>
              </w:rPr>
              <w:t>The team began development of the research plan.</w:t>
            </w:r>
          </w:p>
          <w:p w:rsidR="00E727A7" w:rsidRPr="00EC7D7D"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rsidR="00C57070" w:rsidRPr="00C57070" w:rsidRDefault="00C57070" w:rsidP="00C57070">
            <w:pPr>
              <w:pStyle w:val="ListParagraph"/>
              <w:numPr>
                <w:ilvl w:val="0"/>
                <w:numId w:val="10"/>
              </w:numPr>
              <w:ind w:right="280"/>
              <w:rPr>
                <w:rFonts w:ascii="Arial" w:hAnsi="Arial" w:cs="Arial"/>
                <w:sz w:val="20"/>
                <w:szCs w:val="20"/>
              </w:rPr>
            </w:pPr>
            <w:r w:rsidRPr="00C57070">
              <w:rPr>
                <w:rFonts w:ascii="Arial" w:hAnsi="Arial" w:cs="Arial"/>
                <w:sz w:val="20"/>
                <w:szCs w:val="20"/>
              </w:rPr>
              <w:t>Continued preparations for data collection in Iowa and Virginia in Spring 2020</w:t>
            </w:r>
          </w:p>
          <w:p w:rsidR="00C57070" w:rsidRPr="00C57070" w:rsidRDefault="00C57070" w:rsidP="00C57070">
            <w:pPr>
              <w:pStyle w:val="ListParagraph"/>
              <w:numPr>
                <w:ilvl w:val="0"/>
                <w:numId w:val="10"/>
              </w:numPr>
              <w:ind w:right="280"/>
              <w:rPr>
                <w:rFonts w:ascii="Arial" w:hAnsi="Arial" w:cs="Arial"/>
                <w:sz w:val="20"/>
                <w:szCs w:val="20"/>
              </w:rPr>
            </w:pPr>
            <w:proofErr w:type="spellStart"/>
            <w:r w:rsidRPr="00C57070">
              <w:rPr>
                <w:rFonts w:ascii="Arial" w:hAnsi="Arial" w:cs="Arial"/>
                <w:sz w:val="20"/>
                <w:szCs w:val="20"/>
              </w:rPr>
              <w:t>Toxcel</w:t>
            </w:r>
            <w:proofErr w:type="spellEnd"/>
            <w:r w:rsidRPr="00C57070">
              <w:rPr>
                <w:rFonts w:ascii="Arial" w:hAnsi="Arial" w:cs="Arial"/>
                <w:sz w:val="20"/>
                <w:szCs w:val="20"/>
              </w:rPr>
              <w:t xml:space="preserve"> and Leidos began coordinating plans for eye tracking data collection</w:t>
            </w:r>
          </w:p>
          <w:p w:rsidR="00E727A7" w:rsidRPr="00E727A7" w:rsidRDefault="00E727A7" w:rsidP="00E727A7">
            <w:pPr>
              <w:rPr>
                <w:rFonts w:ascii="Arial" w:hAnsi="Arial" w:cs="Arial"/>
                <w:sz w:val="20"/>
                <w:szCs w:val="20"/>
              </w:rPr>
            </w:pPr>
          </w:p>
          <w:p w:rsidR="003C65F0" w:rsidRPr="00546D93" w:rsidRDefault="003C65F0" w:rsidP="00546D93">
            <w:pPr>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546D93" w:rsidRPr="00A530A2" w:rsidRDefault="00A530A2" w:rsidP="00A1137C">
            <w:pPr>
              <w:pStyle w:val="ListParagraph"/>
              <w:numPr>
                <w:ilvl w:val="0"/>
                <w:numId w:val="11"/>
              </w:numPr>
              <w:ind w:right="-720"/>
              <w:rPr>
                <w:rFonts w:ascii="Arial" w:hAnsi="Arial" w:cs="Arial"/>
              </w:rPr>
            </w:pPr>
            <w:r>
              <w:rPr>
                <w:rFonts w:ascii="Arial" w:hAnsi="Arial" w:cs="Arial"/>
                <w:sz w:val="20"/>
                <w:szCs w:val="20"/>
              </w:rPr>
              <w:t>Hold</w:t>
            </w:r>
            <w:r w:rsidR="00C57070">
              <w:rPr>
                <w:rFonts w:ascii="Arial" w:hAnsi="Arial" w:cs="Arial"/>
                <w:sz w:val="20"/>
                <w:szCs w:val="20"/>
              </w:rPr>
              <w:t xml:space="preserve"> Q2</w:t>
            </w:r>
            <w:r w:rsidR="00546D93">
              <w:rPr>
                <w:rFonts w:ascii="Arial" w:hAnsi="Arial" w:cs="Arial"/>
                <w:sz w:val="20"/>
                <w:szCs w:val="20"/>
              </w:rPr>
              <w:t xml:space="preserve"> call</w:t>
            </w:r>
          </w:p>
          <w:p w:rsidR="00A530A2" w:rsidRPr="00546D93" w:rsidRDefault="00C57070" w:rsidP="00A1137C">
            <w:pPr>
              <w:pStyle w:val="ListParagraph"/>
              <w:numPr>
                <w:ilvl w:val="0"/>
                <w:numId w:val="11"/>
              </w:numPr>
              <w:ind w:right="-720"/>
              <w:rPr>
                <w:rFonts w:ascii="Arial" w:hAnsi="Arial" w:cs="Arial"/>
              </w:rPr>
            </w:pPr>
            <w:r>
              <w:rPr>
                <w:rFonts w:ascii="Arial" w:hAnsi="Arial" w:cs="Arial"/>
                <w:sz w:val="20"/>
                <w:szCs w:val="20"/>
              </w:rPr>
              <w:t>Reschedule annual meeting</w:t>
            </w:r>
          </w:p>
          <w:p w:rsidR="00546D93" w:rsidRPr="00546D93" w:rsidRDefault="00A530A2" w:rsidP="00A1137C">
            <w:pPr>
              <w:pStyle w:val="ListParagraph"/>
              <w:numPr>
                <w:ilvl w:val="0"/>
                <w:numId w:val="11"/>
              </w:numPr>
              <w:ind w:right="-720"/>
              <w:rPr>
                <w:rFonts w:ascii="Arial" w:hAnsi="Arial" w:cs="Arial"/>
              </w:rPr>
            </w:pPr>
            <w:r>
              <w:rPr>
                <w:rFonts w:ascii="Arial" w:hAnsi="Arial" w:cs="Arial"/>
                <w:sz w:val="20"/>
                <w:szCs w:val="20"/>
              </w:rPr>
              <w:t>Continuing charter revisions</w:t>
            </w:r>
          </w:p>
          <w:p w:rsidR="004E4417" w:rsidRPr="003C65F0" w:rsidRDefault="00C57070" w:rsidP="00A1137C">
            <w:pPr>
              <w:pStyle w:val="ListParagraph"/>
              <w:numPr>
                <w:ilvl w:val="0"/>
                <w:numId w:val="11"/>
              </w:numPr>
              <w:ind w:right="-720"/>
              <w:rPr>
                <w:rFonts w:ascii="Arial" w:hAnsi="Arial" w:cs="Arial"/>
              </w:rPr>
            </w:pPr>
            <w:r>
              <w:rPr>
                <w:rFonts w:ascii="Arial" w:hAnsi="Arial" w:cs="Arial"/>
                <w:sz w:val="20"/>
                <w:szCs w:val="20"/>
              </w:rPr>
              <w:t>Submit revised version of Digital Sign Printing State of the Practice document</w:t>
            </w:r>
          </w:p>
          <w:p w:rsidR="00546D93" w:rsidRPr="003C65F0" w:rsidRDefault="00546D93" w:rsidP="00A1137C">
            <w:pPr>
              <w:pStyle w:val="ListParagraph"/>
              <w:numPr>
                <w:ilvl w:val="0"/>
                <w:numId w:val="11"/>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rsidR="00E727A7" w:rsidRDefault="00E727A7" w:rsidP="00E727A7">
            <w:pPr>
              <w:ind w:right="-720"/>
              <w:rPr>
                <w:rFonts w:ascii="Arial" w:eastAsiaTheme="majorEastAsia" w:hAnsi="Arial" w:cs="Arial"/>
                <w:b/>
                <w:bCs/>
                <w:color w:val="1F497D" w:themeColor="text2"/>
                <w:szCs w:val="26"/>
              </w:rPr>
            </w:pPr>
          </w:p>
          <w:p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rsidR="00C57070" w:rsidRPr="00C57070" w:rsidRDefault="00C57070" w:rsidP="00C57070">
            <w:pPr>
              <w:pStyle w:val="ListParagraph"/>
              <w:numPr>
                <w:ilvl w:val="0"/>
                <w:numId w:val="11"/>
              </w:numPr>
              <w:ind w:right="-720"/>
              <w:rPr>
                <w:rFonts w:ascii="Arial" w:hAnsi="Arial" w:cs="Arial"/>
                <w:sz w:val="20"/>
                <w:szCs w:val="20"/>
              </w:rPr>
            </w:pPr>
            <w:r w:rsidRPr="00C57070">
              <w:rPr>
                <w:rFonts w:ascii="Arial" w:hAnsi="Arial" w:cs="Arial"/>
                <w:sz w:val="20"/>
                <w:szCs w:val="20"/>
              </w:rPr>
              <w:t>Sign designs will be finalized for the laboratory study.</w:t>
            </w:r>
          </w:p>
          <w:p w:rsidR="00C57070" w:rsidRPr="00C57070" w:rsidRDefault="00C57070" w:rsidP="00C57070">
            <w:pPr>
              <w:pStyle w:val="ListParagraph"/>
              <w:numPr>
                <w:ilvl w:val="0"/>
                <w:numId w:val="11"/>
              </w:numPr>
              <w:ind w:right="-720"/>
              <w:rPr>
                <w:rFonts w:ascii="Arial" w:hAnsi="Arial" w:cs="Arial"/>
                <w:sz w:val="20"/>
                <w:szCs w:val="20"/>
              </w:rPr>
            </w:pPr>
            <w:r w:rsidRPr="00C57070">
              <w:rPr>
                <w:rFonts w:ascii="Arial" w:hAnsi="Arial" w:cs="Arial"/>
                <w:sz w:val="20"/>
                <w:szCs w:val="20"/>
              </w:rPr>
              <w:t>The team plans to complete the research plan draft to submit to FHWA.</w:t>
            </w:r>
          </w:p>
          <w:p w:rsidR="00C57070" w:rsidRPr="00C57070" w:rsidRDefault="00C57070" w:rsidP="00C57070">
            <w:pPr>
              <w:pStyle w:val="ListParagraph"/>
              <w:numPr>
                <w:ilvl w:val="0"/>
                <w:numId w:val="11"/>
              </w:numPr>
              <w:ind w:right="-720"/>
              <w:rPr>
                <w:rFonts w:ascii="Arial" w:hAnsi="Arial" w:cs="Arial"/>
                <w:sz w:val="20"/>
                <w:szCs w:val="20"/>
              </w:rPr>
            </w:pPr>
            <w:r w:rsidRPr="00C57070">
              <w:rPr>
                <w:rFonts w:ascii="Arial" w:hAnsi="Arial" w:cs="Arial"/>
                <w:sz w:val="20"/>
                <w:szCs w:val="20"/>
              </w:rPr>
              <w:t>Laboratory data collection will begin, depending on impacts from COVID-19 restrictions.</w:t>
            </w:r>
          </w:p>
          <w:p w:rsidR="00E727A7" w:rsidRPr="00EC7D7D"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rsidR="00C57070" w:rsidRPr="00C57070" w:rsidRDefault="00C57070" w:rsidP="00C57070">
            <w:pPr>
              <w:numPr>
                <w:ilvl w:val="0"/>
                <w:numId w:val="11"/>
              </w:numPr>
              <w:rPr>
                <w:rFonts w:ascii="Arial" w:eastAsiaTheme="minorHAnsi" w:hAnsi="Arial" w:cs="Arial"/>
                <w:sz w:val="20"/>
                <w:szCs w:val="20"/>
              </w:rPr>
            </w:pPr>
            <w:r w:rsidRPr="00C57070">
              <w:rPr>
                <w:rFonts w:ascii="Arial" w:eastAsiaTheme="minorHAnsi" w:hAnsi="Arial" w:cs="Arial"/>
                <w:sz w:val="20"/>
                <w:szCs w:val="20"/>
              </w:rPr>
              <w:t>Continue preparations and begin data collection in Iowa and Virginia</w:t>
            </w:r>
          </w:p>
          <w:p w:rsidR="00C57070" w:rsidRPr="00C57070" w:rsidRDefault="00C57070" w:rsidP="00C57070">
            <w:pPr>
              <w:numPr>
                <w:ilvl w:val="0"/>
                <w:numId w:val="11"/>
              </w:numPr>
              <w:rPr>
                <w:rFonts w:ascii="Arial" w:eastAsiaTheme="minorHAnsi" w:hAnsi="Arial" w:cs="Arial"/>
                <w:sz w:val="20"/>
                <w:szCs w:val="20"/>
              </w:rPr>
            </w:pPr>
            <w:proofErr w:type="spellStart"/>
            <w:r w:rsidRPr="00C57070">
              <w:rPr>
                <w:rFonts w:ascii="Arial" w:eastAsiaTheme="minorHAnsi" w:hAnsi="Arial" w:cs="Arial"/>
                <w:sz w:val="20"/>
                <w:szCs w:val="20"/>
              </w:rPr>
              <w:t>Toxcel</w:t>
            </w:r>
            <w:proofErr w:type="spellEnd"/>
            <w:r w:rsidRPr="00C57070">
              <w:rPr>
                <w:rFonts w:ascii="Arial" w:eastAsiaTheme="minorHAnsi" w:hAnsi="Arial" w:cs="Arial"/>
                <w:sz w:val="20"/>
                <w:szCs w:val="20"/>
              </w:rPr>
              <w:t xml:space="preserve"> and Leidos to continue plans on eye tracking data collection procedures</w:t>
            </w:r>
          </w:p>
          <w:p w:rsidR="00C57070" w:rsidRPr="00C57070" w:rsidRDefault="00C57070" w:rsidP="00C57070">
            <w:pPr>
              <w:numPr>
                <w:ilvl w:val="0"/>
                <w:numId w:val="11"/>
              </w:numPr>
              <w:rPr>
                <w:rFonts w:ascii="Arial" w:eastAsiaTheme="minorHAnsi" w:hAnsi="Arial" w:cs="Arial"/>
                <w:sz w:val="20"/>
                <w:szCs w:val="20"/>
              </w:rPr>
            </w:pPr>
            <w:r w:rsidRPr="00C57070">
              <w:rPr>
                <w:rFonts w:ascii="Arial" w:eastAsiaTheme="minorHAnsi" w:hAnsi="Arial" w:cs="Arial"/>
                <w:sz w:val="20"/>
                <w:szCs w:val="20"/>
              </w:rPr>
              <w:t>Some aspects of data collection (i.e. eye tracking and speed data) may be delayed based on restrictions from COVID-19</w:t>
            </w:r>
          </w:p>
          <w:p w:rsidR="00E727A7" w:rsidRPr="00E727A7" w:rsidRDefault="00E727A7" w:rsidP="00E727A7">
            <w:pPr>
              <w:ind w:right="19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rsidTr="00C57070">
        <w:tc>
          <w:tcPr>
            <w:tcW w:w="10885"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C57070">
        <w:tc>
          <w:tcPr>
            <w:tcW w:w="10885"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C57070" w:rsidP="00C57070">
            <w:pPr>
              <w:ind w:right="-104"/>
              <w:rPr>
                <w:rFonts w:ascii="Arial" w:hAnsi="Arial" w:cs="Arial"/>
                <w:b/>
                <w:sz w:val="20"/>
                <w:szCs w:val="20"/>
              </w:rPr>
            </w:pPr>
            <w:r>
              <w:rPr>
                <w:rFonts w:ascii="Arial" w:hAnsi="Arial" w:cs="Arial"/>
                <w:sz w:val="20"/>
                <w:szCs w:val="20"/>
              </w:rPr>
              <w:t xml:space="preserve">Data collection efforts have been put on hold due to the COVID-19 pandemic. Currently conducting any project related work that can be </w:t>
            </w:r>
            <w:r w:rsidR="00E05E81">
              <w:rPr>
                <w:rFonts w:ascii="Arial" w:hAnsi="Arial" w:cs="Arial"/>
                <w:sz w:val="20"/>
                <w:szCs w:val="20"/>
              </w:rPr>
              <w:t>completed</w:t>
            </w:r>
            <w:r>
              <w:rPr>
                <w:rFonts w:ascii="Arial" w:hAnsi="Arial" w:cs="Arial"/>
                <w:sz w:val="20"/>
                <w:szCs w:val="20"/>
              </w:rPr>
              <w:t xml:space="preserve"> </w:t>
            </w:r>
            <w:r w:rsidR="00E05E81">
              <w:rPr>
                <w:rFonts w:ascii="Arial" w:hAnsi="Arial" w:cs="Arial"/>
                <w:sz w:val="20"/>
                <w:szCs w:val="20"/>
              </w:rPr>
              <w:t>while</w:t>
            </w:r>
            <w:r>
              <w:rPr>
                <w:rFonts w:ascii="Arial" w:hAnsi="Arial" w:cs="Arial"/>
                <w:sz w:val="20"/>
                <w:szCs w:val="20"/>
              </w:rPr>
              <w:t xml:space="preserve"> teleworking. A return date is unknown and could impact project schedules.</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5A" w:rsidRDefault="0023335A" w:rsidP="00106C83">
      <w:pPr>
        <w:spacing w:after="0" w:line="240" w:lineRule="auto"/>
      </w:pPr>
      <w:r>
        <w:separator/>
      </w:r>
    </w:p>
  </w:endnote>
  <w:endnote w:type="continuationSeparator" w:id="0">
    <w:p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5A" w:rsidRDefault="0023335A" w:rsidP="00106C83">
      <w:pPr>
        <w:spacing w:after="0" w:line="240" w:lineRule="auto"/>
      </w:pPr>
      <w:r>
        <w:separator/>
      </w:r>
    </w:p>
  </w:footnote>
  <w:footnote w:type="continuationSeparator" w:id="0">
    <w:p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EF5"/>
    <w:rsid w:val="000736BB"/>
    <w:rsid w:val="000A6875"/>
    <w:rsid w:val="000B665A"/>
    <w:rsid w:val="000E4078"/>
    <w:rsid w:val="00105DA0"/>
    <w:rsid w:val="00106C83"/>
    <w:rsid w:val="00132EB7"/>
    <w:rsid w:val="001456D3"/>
    <w:rsid w:val="001511D6"/>
    <w:rsid w:val="001547D0"/>
    <w:rsid w:val="00161153"/>
    <w:rsid w:val="00174F1E"/>
    <w:rsid w:val="001758E1"/>
    <w:rsid w:val="001801D0"/>
    <w:rsid w:val="001A33B9"/>
    <w:rsid w:val="001C7ADC"/>
    <w:rsid w:val="0021446D"/>
    <w:rsid w:val="0023335A"/>
    <w:rsid w:val="0027659A"/>
    <w:rsid w:val="00293FD8"/>
    <w:rsid w:val="002A00EF"/>
    <w:rsid w:val="002A79C8"/>
    <w:rsid w:val="002F601F"/>
    <w:rsid w:val="00334DE3"/>
    <w:rsid w:val="00361BD1"/>
    <w:rsid w:val="00382112"/>
    <w:rsid w:val="00382877"/>
    <w:rsid w:val="003863F1"/>
    <w:rsid w:val="0038705A"/>
    <w:rsid w:val="00397CA7"/>
    <w:rsid w:val="003C5D21"/>
    <w:rsid w:val="003C65F0"/>
    <w:rsid w:val="003D04B9"/>
    <w:rsid w:val="00412A33"/>
    <w:rsid w:val="004144E6"/>
    <w:rsid w:val="004156B2"/>
    <w:rsid w:val="00422217"/>
    <w:rsid w:val="00437734"/>
    <w:rsid w:val="004626F2"/>
    <w:rsid w:val="00485131"/>
    <w:rsid w:val="0049460E"/>
    <w:rsid w:val="004B7EEB"/>
    <w:rsid w:val="004E14DC"/>
    <w:rsid w:val="004E4417"/>
    <w:rsid w:val="00532A54"/>
    <w:rsid w:val="00535598"/>
    <w:rsid w:val="00546D93"/>
    <w:rsid w:val="00547EE3"/>
    <w:rsid w:val="00551D8A"/>
    <w:rsid w:val="005813BC"/>
    <w:rsid w:val="00581B36"/>
    <w:rsid w:val="00583E8E"/>
    <w:rsid w:val="005D67E5"/>
    <w:rsid w:val="005E2268"/>
    <w:rsid w:val="00601EBD"/>
    <w:rsid w:val="00640F43"/>
    <w:rsid w:val="0065302E"/>
    <w:rsid w:val="006701E7"/>
    <w:rsid w:val="00682AFF"/>
    <w:rsid w:val="00682C5E"/>
    <w:rsid w:val="006A6EEA"/>
    <w:rsid w:val="0070281C"/>
    <w:rsid w:val="00733CBE"/>
    <w:rsid w:val="00743C01"/>
    <w:rsid w:val="00750DBF"/>
    <w:rsid w:val="007533FE"/>
    <w:rsid w:val="007563CD"/>
    <w:rsid w:val="00756710"/>
    <w:rsid w:val="00775885"/>
    <w:rsid w:val="007761EE"/>
    <w:rsid w:val="00790C4A"/>
    <w:rsid w:val="007B0077"/>
    <w:rsid w:val="007B51C8"/>
    <w:rsid w:val="007C4F18"/>
    <w:rsid w:val="007D23DC"/>
    <w:rsid w:val="007E5BD2"/>
    <w:rsid w:val="007F2ED6"/>
    <w:rsid w:val="00806F8D"/>
    <w:rsid w:val="00841444"/>
    <w:rsid w:val="00872F18"/>
    <w:rsid w:val="00874EF7"/>
    <w:rsid w:val="00880E60"/>
    <w:rsid w:val="00893FC0"/>
    <w:rsid w:val="008D5895"/>
    <w:rsid w:val="008F0C0D"/>
    <w:rsid w:val="009119B7"/>
    <w:rsid w:val="00915650"/>
    <w:rsid w:val="00933283"/>
    <w:rsid w:val="00975443"/>
    <w:rsid w:val="00976367"/>
    <w:rsid w:val="00986CCB"/>
    <w:rsid w:val="009A0B2F"/>
    <w:rsid w:val="009D0A36"/>
    <w:rsid w:val="009D40F1"/>
    <w:rsid w:val="009D6E1E"/>
    <w:rsid w:val="00A06218"/>
    <w:rsid w:val="00A1137C"/>
    <w:rsid w:val="00A25703"/>
    <w:rsid w:val="00A43875"/>
    <w:rsid w:val="00A46E9C"/>
    <w:rsid w:val="00A530A2"/>
    <w:rsid w:val="00A63677"/>
    <w:rsid w:val="00A870C0"/>
    <w:rsid w:val="00AA1CEB"/>
    <w:rsid w:val="00AD514A"/>
    <w:rsid w:val="00AE2BFE"/>
    <w:rsid w:val="00AE46B0"/>
    <w:rsid w:val="00B2185C"/>
    <w:rsid w:val="00B242E2"/>
    <w:rsid w:val="00B40569"/>
    <w:rsid w:val="00B66A21"/>
    <w:rsid w:val="00BD5A54"/>
    <w:rsid w:val="00BF4683"/>
    <w:rsid w:val="00BF47A7"/>
    <w:rsid w:val="00C13753"/>
    <w:rsid w:val="00C367FA"/>
    <w:rsid w:val="00C57070"/>
    <w:rsid w:val="00C830E2"/>
    <w:rsid w:val="00C94FBA"/>
    <w:rsid w:val="00CA76E5"/>
    <w:rsid w:val="00CC4836"/>
    <w:rsid w:val="00CD195B"/>
    <w:rsid w:val="00D05DC0"/>
    <w:rsid w:val="00D104D5"/>
    <w:rsid w:val="00D5441E"/>
    <w:rsid w:val="00D77AEC"/>
    <w:rsid w:val="00D83200"/>
    <w:rsid w:val="00DC31C9"/>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customStyle="1"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Marchese.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12F99D-C443-4929-BBD6-0EC1B81B0E5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4.xml><?xml version="1.0" encoding="utf-8"?>
<ds:datastoreItem xmlns:ds="http://schemas.openxmlformats.org/officeDocument/2006/customXml" ds:itemID="{C64E4B2A-70BF-49A4-9B7F-52D9EDF0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Mero, Laura (FHWA)</cp:lastModifiedBy>
  <cp:revision>2</cp:revision>
  <cp:lastPrinted>2011-06-21T20:32:00Z</cp:lastPrinted>
  <dcterms:created xsi:type="dcterms:W3CDTF">2020-04-17T14:40:00Z</dcterms:created>
  <dcterms:modified xsi:type="dcterms:W3CDTF">2020-04-17T14:40:00Z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