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sdt>
        <w:sdtPr>
          <w:rPr>
            <w:rFonts w:ascii="Arial" w:hAnsi="Arial" w:cs="Arial"/>
            <w:sz w:val="24"/>
            <w:szCs w:val="24"/>
            <w:u w:val="single"/>
          </w:rPr>
          <w:id w:val="1094441397"/>
          <w:placeholder>
            <w:docPart w:val="DefaultPlaceholder_-1854013440"/>
          </w:placeholder>
        </w:sdtPr>
        <w:sdtEndPr/>
        <w:sdtContent>
          <w:r w:rsidR="00C3498D">
            <w:rPr>
              <w:rFonts w:ascii="Arial" w:hAnsi="Arial" w:cs="Arial"/>
              <w:sz w:val="24"/>
              <w:szCs w:val="24"/>
              <w:u w:val="single"/>
            </w:rPr>
            <w:t>1/6</w:t>
          </w:r>
          <w:r w:rsidR="00B36DC1" w:rsidRPr="00B36DC1">
            <w:rPr>
              <w:rFonts w:ascii="Arial" w:hAnsi="Arial" w:cs="Arial"/>
              <w:sz w:val="24"/>
              <w:szCs w:val="24"/>
              <w:u w:val="single"/>
            </w:rPr>
            <w:t>/20</w:t>
          </w:r>
          <w:r w:rsidR="00C3498D">
            <w:rPr>
              <w:rFonts w:ascii="Arial" w:hAnsi="Arial" w:cs="Arial"/>
              <w:sz w:val="24"/>
              <w:szCs w:val="24"/>
              <w:u w:val="single"/>
            </w:rPr>
            <w:t>20</w:t>
          </w:r>
        </w:sdtContent>
      </w:sdt>
    </w:p>
    <w:p w:rsidR="00B358DC" w:rsidRDefault="00B358DC" w:rsidP="00FF32BE">
      <w:pPr>
        <w:spacing w:after="0"/>
        <w:ind w:left="-720" w:right="-720"/>
        <w:rPr>
          <w:rFonts w:ascii="Arial" w:hAnsi="Arial" w:cs="Arial"/>
          <w:sz w:val="24"/>
          <w:szCs w:val="24"/>
        </w:rPr>
      </w:pPr>
    </w:p>
    <w:p w:rsidR="00551D8A" w:rsidRPr="00B36DC1"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sdt>
        <w:sdtPr>
          <w:rPr>
            <w:rFonts w:ascii="Arial" w:hAnsi="Arial" w:cs="Arial"/>
            <w:sz w:val="24"/>
            <w:szCs w:val="24"/>
          </w:rPr>
          <w:id w:val="156660095"/>
          <w:placeholder>
            <w:docPart w:val="DefaultPlaceholder_-1854013440"/>
          </w:placeholder>
        </w:sdtPr>
        <w:sdtEndPr/>
        <w:sdtContent>
          <w:r w:rsidR="00B36DC1" w:rsidRPr="00B36DC1">
            <w:rPr>
              <w:rFonts w:ascii="Arial" w:hAnsi="Arial" w:cs="Arial"/>
              <w:sz w:val="24"/>
              <w:szCs w:val="24"/>
              <w:u w:val="single"/>
            </w:rPr>
            <w:t>FHWA</w:t>
          </w:r>
        </w:sdtContent>
      </w:sdt>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C098C"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4C2FD6">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BC098C"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B36DC1">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BC098C"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C3498D">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BC098C"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C3498D">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136B9F" w:rsidP="00551D8A">
            <w:pPr>
              <w:ind w:right="-720"/>
              <w:rPr>
                <w:rFonts w:ascii="Arial" w:hAnsi="Arial" w:cs="Arial"/>
                <w:sz w:val="20"/>
                <w:szCs w:val="20"/>
              </w:rPr>
            </w:pPr>
            <w:r>
              <w:rPr>
                <w:rFonts w:ascii="Arial" w:hAnsi="Arial" w:cs="Arial"/>
                <w:sz w:val="20"/>
                <w:szCs w:val="20"/>
              </w:rPr>
              <w:t>Jon Obenberger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w:t>
            </w:r>
            <w:r w:rsidR="00136B9F">
              <w:rPr>
                <w:rFonts w:ascii="Arial" w:hAnsi="Arial" w:cs="Arial"/>
                <w:sz w:val="20"/>
                <w:szCs w:val="20"/>
              </w:rPr>
              <w:t>493-3265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36B9F" w:rsidP="00551D8A">
            <w:pPr>
              <w:ind w:right="-720"/>
              <w:rPr>
                <w:rFonts w:ascii="Arial" w:hAnsi="Arial" w:cs="Arial"/>
                <w:sz w:val="20"/>
                <w:szCs w:val="20"/>
              </w:rPr>
            </w:pPr>
            <w:r>
              <w:rPr>
                <w:rFonts w:ascii="Arial" w:hAnsi="Arial" w:cs="Arial"/>
                <w:sz w:val="20"/>
                <w:szCs w:val="20"/>
              </w:rPr>
              <w:t>jon.obenberger</w:t>
            </w:r>
            <w:r w:rsidR="00786BF4">
              <w:rPr>
                <w:rFonts w:ascii="Arial" w:hAnsi="Arial" w:cs="Arial"/>
                <w:sz w:val="20"/>
                <w:szCs w:val="20"/>
              </w:rPr>
              <w:t>@dot.gov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4C3104" w:rsidP="00786BF4">
            <w:pPr>
              <w:ind w:right="-720"/>
              <w:rPr>
                <w:rFonts w:ascii="Arial" w:hAnsi="Arial" w:cs="Arial"/>
                <w:sz w:val="20"/>
                <w:szCs w:val="20"/>
              </w:rPr>
            </w:pPr>
            <w:r>
              <w:rPr>
                <w:rFonts w:ascii="Arial" w:hAnsi="Arial" w:cs="Arial"/>
                <w:sz w:val="20"/>
                <w:szCs w:val="20"/>
              </w:rPr>
              <w:t>Apr. 16, 202</w:t>
            </w:r>
            <w:r w:rsidR="00010576">
              <w:rPr>
                <w:rFonts w:ascii="Arial" w:hAnsi="Arial" w:cs="Arial"/>
                <w:sz w:val="20"/>
                <w:szCs w:val="20"/>
              </w:rPr>
              <w:t>2</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4C3104" w:rsidP="00786BF4">
            <w:pPr>
              <w:ind w:right="-720"/>
              <w:rPr>
                <w:rFonts w:ascii="Arial" w:hAnsi="Arial" w:cs="Arial"/>
                <w:sz w:val="20"/>
                <w:szCs w:val="20"/>
              </w:rPr>
            </w:pPr>
            <w:r>
              <w:rPr>
                <w:rFonts w:ascii="Arial" w:hAnsi="Arial" w:cs="Arial"/>
                <w:sz w:val="20"/>
                <w:szCs w:val="20"/>
              </w:rPr>
              <w:t>3</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4C2FD6" w:rsidRPr="004C2FD6" w:rsidTr="00BC098C">
        <w:tc>
          <w:tcPr>
            <w:tcW w:w="4158" w:type="dxa"/>
            <w:shd w:val="clear" w:color="auto" w:fill="EEECE1" w:themeFill="background2"/>
          </w:tcPr>
          <w:p w:rsidR="004C2FD6" w:rsidRPr="004C2FD6" w:rsidRDefault="00B36DC1" w:rsidP="004C2FD6">
            <w:pPr>
              <w:rPr>
                <w:rFonts w:ascii="Arial" w:hAnsi="Arial" w:cs="Arial"/>
                <w:sz w:val="20"/>
                <w:highlight w:val="yellow"/>
              </w:rPr>
            </w:pPr>
            <w:r w:rsidRPr="00BC098C">
              <w:rPr>
                <w:rFonts w:ascii="Arial" w:hAnsi="Arial" w:cs="Arial"/>
                <w:sz w:val="20"/>
              </w:rPr>
              <w:t>4,648,100</w:t>
            </w:r>
          </w:p>
        </w:tc>
        <w:tc>
          <w:tcPr>
            <w:tcW w:w="3330" w:type="dxa"/>
          </w:tcPr>
          <w:p w:rsidR="004C2FD6" w:rsidRPr="004C2FD6" w:rsidRDefault="00BC098C" w:rsidP="004C2FD6">
            <w:pPr>
              <w:rPr>
                <w:rFonts w:ascii="Arial" w:hAnsi="Arial" w:cs="Arial"/>
                <w:sz w:val="20"/>
                <w:highlight w:val="yellow"/>
              </w:rPr>
            </w:pPr>
            <w:r w:rsidRPr="00BC098C">
              <w:rPr>
                <w:rFonts w:ascii="Arial" w:hAnsi="Arial" w:cs="Arial"/>
                <w:sz w:val="20"/>
              </w:rPr>
              <w:t>3,407,402</w:t>
            </w:r>
          </w:p>
        </w:tc>
        <w:tc>
          <w:tcPr>
            <w:tcW w:w="3420" w:type="dxa"/>
          </w:tcPr>
          <w:p w:rsidR="004C2FD6" w:rsidRDefault="00BC098C" w:rsidP="004C2FD6">
            <w:pPr>
              <w:rPr>
                <w:rFonts w:ascii="Arial" w:hAnsi="Arial" w:cs="Arial"/>
                <w:sz w:val="20"/>
              </w:rPr>
            </w:pPr>
            <w:r>
              <w:rPr>
                <w:rFonts w:ascii="Arial" w:hAnsi="Arial" w:cs="Arial"/>
                <w:sz w:val="20"/>
              </w:rPr>
              <w:t>73</w:t>
            </w:r>
          </w:p>
          <w:p w:rsidR="004C2FD6" w:rsidRPr="004C2FD6" w:rsidRDefault="004C2FD6" w:rsidP="004C2FD6">
            <w:pPr>
              <w:rPr>
                <w:rFonts w:ascii="Arial" w:hAnsi="Arial" w:cs="Arial"/>
                <w:sz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4C2FD6" w:rsidRPr="00B66A21" w:rsidTr="00B66A21">
        <w:tc>
          <w:tcPr>
            <w:tcW w:w="4158" w:type="dxa"/>
          </w:tcPr>
          <w:p w:rsidR="004C2FD6" w:rsidRPr="004C2FD6" w:rsidRDefault="00BC098C" w:rsidP="004C2FD6">
            <w:pPr>
              <w:rPr>
                <w:rFonts w:ascii="Arial" w:hAnsi="Arial" w:cs="Arial"/>
                <w:sz w:val="20"/>
                <w:highlight w:val="yellow"/>
              </w:rPr>
            </w:pPr>
            <w:r>
              <w:rPr>
                <w:rFonts w:ascii="Arial" w:hAnsi="Arial" w:cs="Arial"/>
                <w:sz w:val="20"/>
              </w:rPr>
              <w:t>245,870</w:t>
            </w:r>
          </w:p>
        </w:tc>
        <w:tc>
          <w:tcPr>
            <w:tcW w:w="3330" w:type="dxa"/>
          </w:tcPr>
          <w:p w:rsidR="004C2FD6" w:rsidRPr="00BC098C" w:rsidRDefault="00BC098C" w:rsidP="004C2FD6">
            <w:pPr>
              <w:rPr>
                <w:rFonts w:ascii="Arial" w:hAnsi="Arial" w:cs="Arial"/>
                <w:sz w:val="20"/>
              </w:rPr>
            </w:pPr>
            <w:r>
              <w:rPr>
                <w:rFonts w:ascii="Arial" w:hAnsi="Arial" w:cs="Arial"/>
                <w:sz w:val="20"/>
              </w:rPr>
              <w:t>245,870</w:t>
            </w:r>
          </w:p>
        </w:tc>
        <w:tc>
          <w:tcPr>
            <w:tcW w:w="3420" w:type="dxa"/>
          </w:tcPr>
          <w:p w:rsidR="004C2FD6" w:rsidRPr="004C2FD6" w:rsidRDefault="004C2FD6" w:rsidP="004C2FD6">
            <w:pPr>
              <w:ind w:right="-720"/>
              <w:rPr>
                <w:rFonts w:ascii="Arial" w:hAnsi="Arial" w:cs="Arial"/>
                <w:sz w:val="20"/>
                <w:szCs w:val="20"/>
                <w:highlight w:val="yellow"/>
              </w:rPr>
            </w:pPr>
          </w:p>
          <w:p w:rsidR="004C2FD6" w:rsidRPr="004C2FD6" w:rsidRDefault="004C2FD6" w:rsidP="004C2FD6">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71E9B" w:rsidRDefault="00071E9B" w:rsidP="003831F2">
            <w:pPr>
              <w:rPr>
                <w:rFonts w:ascii="Arial" w:hAnsi="Arial" w:cs="Arial"/>
                <w:sz w:val="20"/>
                <w:szCs w:val="20"/>
              </w:rPr>
            </w:pPr>
            <w:r>
              <w:rPr>
                <w:rFonts w:ascii="Arial" w:hAnsi="Arial" w:cs="Arial"/>
                <w:sz w:val="20"/>
                <w:szCs w:val="20"/>
              </w:rPr>
              <w:t>Capability and Usage Guidelines for</w:t>
            </w:r>
            <w:r w:rsidR="00D176C8">
              <w:rPr>
                <w:rFonts w:ascii="Arial" w:hAnsi="Arial" w:cs="Arial"/>
                <w:sz w:val="20"/>
                <w:szCs w:val="20"/>
              </w:rPr>
              <w:t xml:space="preserve"> Color Changeable Message Signs: </w:t>
            </w:r>
            <w:r w:rsidR="00F469D4">
              <w:rPr>
                <w:rFonts w:ascii="Arial" w:hAnsi="Arial" w:cs="Arial"/>
                <w:sz w:val="20"/>
                <w:szCs w:val="20"/>
              </w:rPr>
              <w:t>The</w:t>
            </w:r>
            <w:r w:rsidR="00D176C8">
              <w:rPr>
                <w:rFonts w:ascii="Arial" w:hAnsi="Arial" w:cs="Arial"/>
                <w:sz w:val="20"/>
                <w:szCs w:val="20"/>
              </w:rPr>
              <w:t xml:space="preserve"> </w:t>
            </w:r>
            <w:r w:rsidR="00F555C3">
              <w:rPr>
                <w:rFonts w:ascii="Arial" w:hAnsi="Arial" w:cs="Arial"/>
                <w:sz w:val="20"/>
                <w:szCs w:val="20"/>
              </w:rPr>
              <w:t xml:space="preserve">preliminary </w:t>
            </w:r>
            <w:r w:rsidR="00D176C8">
              <w:rPr>
                <w:rFonts w:ascii="Arial" w:hAnsi="Arial" w:cs="Arial"/>
                <w:sz w:val="20"/>
                <w:szCs w:val="20"/>
              </w:rPr>
              <w:t xml:space="preserve">guidelines for using color full-matrix changeable message signs </w:t>
            </w:r>
            <w:r w:rsidR="003078F1">
              <w:rPr>
                <w:rFonts w:ascii="Arial" w:hAnsi="Arial" w:cs="Arial"/>
                <w:sz w:val="20"/>
                <w:szCs w:val="20"/>
              </w:rPr>
              <w:t xml:space="preserve">have been completed and </w:t>
            </w:r>
            <w:r w:rsidR="00F469D4">
              <w:rPr>
                <w:rFonts w:ascii="Arial" w:hAnsi="Arial" w:cs="Arial"/>
                <w:sz w:val="20"/>
                <w:szCs w:val="20"/>
              </w:rPr>
              <w:t xml:space="preserve">will be published </w:t>
            </w:r>
            <w:r w:rsidR="003078F1">
              <w:rPr>
                <w:rFonts w:ascii="Arial" w:hAnsi="Arial" w:cs="Arial"/>
                <w:sz w:val="20"/>
                <w:szCs w:val="20"/>
              </w:rPr>
              <w:t>soon</w:t>
            </w:r>
            <w:r w:rsidR="00D72E92">
              <w:rPr>
                <w:rFonts w:ascii="Arial" w:hAnsi="Arial" w:cs="Arial"/>
                <w:sz w:val="20"/>
                <w:szCs w:val="20"/>
              </w:rPr>
              <w:t xml:space="preserve">. </w:t>
            </w:r>
            <w:r w:rsidR="00F0750F">
              <w:rPr>
                <w:rFonts w:ascii="Arial" w:hAnsi="Arial" w:cs="Arial"/>
                <w:sz w:val="20"/>
                <w:szCs w:val="20"/>
              </w:rPr>
              <w:t>Laboratory data</w:t>
            </w:r>
            <w:r w:rsidR="00010576">
              <w:rPr>
                <w:rFonts w:ascii="Arial" w:hAnsi="Arial" w:cs="Arial"/>
                <w:sz w:val="20"/>
                <w:szCs w:val="20"/>
              </w:rPr>
              <w:t xml:space="preserve"> collection to support a</w:t>
            </w:r>
            <w:r w:rsidR="004A4943">
              <w:rPr>
                <w:rFonts w:ascii="Arial" w:hAnsi="Arial" w:cs="Arial"/>
                <w:sz w:val="20"/>
                <w:szCs w:val="20"/>
              </w:rPr>
              <w:t xml:space="preserve"> human factors study </w:t>
            </w:r>
            <w:r w:rsidR="00010576">
              <w:rPr>
                <w:rFonts w:ascii="Arial" w:hAnsi="Arial" w:cs="Arial"/>
                <w:sz w:val="20"/>
                <w:szCs w:val="20"/>
              </w:rPr>
              <w:t>that would</w:t>
            </w:r>
            <w:r w:rsidR="00E80E72">
              <w:rPr>
                <w:rFonts w:ascii="Arial" w:hAnsi="Arial" w:cs="Arial"/>
                <w:sz w:val="20"/>
                <w:szCs w:val="20"/>
              </w:rPr>
              <w:t xml:space="preserve"> analyze the effects of using colors, symbols and graphics on color, full matrix signs</w:t>
            </w:r>
            <w:r w:rsidR="00010576">
              <w:rPr>
                <w:rFonts w:ascii="Arial" w:hAnsi="Arial" w:cs="Arial"/>
                <w:sz w:val="20"/>
                <w:szCs w:val="20"/>
              </w:rPr>
              <w:t xml:space="preserve"> was completed. </w:t>
            </w:r>
            <w:r w:rsidR="00F0750F">
              <w:rPr>
                <w:rFonts w:ascii="Arial" w:hAnsi="Arial" w:cs="Arial"/>
                <w:sz w:val="20"/>
                <w:szCs w:val="20"/>
              </w:rPr>
              <w:t xml:space="preserve">The project contractor was performing field data collection in this quarter. </w:t>
            </w:r>
            <w:r w:rsidR="00010576">
              <w:rPr>
                <w:rFonts w:ascii="Arial" w:hAnsi="Arial" w:cs="Arial"/>
                <w:sz w:val="20"/>
                <w:szCs w:val="20"/>
              </w:rPr>
              <w:t xml:space="preserve">An annotated outline for the final report </w:t>
            </w:r>
            <w:r w:rsidR="00F0750F">
              <w:rPr>
                <w:rFonts w:ascii="Arial" w:hAnsi="Arial" w:cs="Arial"/>
                <w:sz w:val="20"/>
                <w:szCs w:val="20"/>
              </w:rPr>
              <w:t>was reviewed by the project committee</w:t>
            </w:r>
            <w:r w:rsidR="00E80E72">
              <w:rPr>
                <w:rFonts w:ascii="Arial" w:hAnsi="Arial" w:cs="Arial"/>
                <w:sz w:val="20"/>
                <w:szCs w:val="20"/>
              </w:rPr>
              <w:t>.</w:t>
            </w:r>
          </w:p>
          <w:p w:rsidR="00550F63" w:rsidRDefault="00550F63" w:rsidP="003831F2">
            <w:pPr>
              <w:rPr>
                <w:rFonts w:ascii="Arial" w:hAnsi="Arial" w:cs="Arial"/>
                <w:sz w:val="20"/>
                <w:szCs w:val="20"/>
              </w:rPr>
            </w:pPr>
          </w:p>
          <w:p w:rsidR="00C7711C" w:rsidRDefault="005C1932" w:rsidP="003831F2">
            <w:pPr>
              <w:rPr>
                <w:rFonts w:ascii="Arial" w:hAnsi="Arial" w:cs="Arial"/>
                <w:sz w:val="20"/>
                <w:szCs w:val="20"/>
              </w:rPr>
            </w:pPr>
            <w:r>
              <w:rPr>
                <w:rFonts w:ascii="Arial" w:hAnsi="Arial" w:cs="Arial"/>
                <w:sz w:val="20"/>
                <w:szCs w:val="20"/>
              </w:rPr>
              <w:t xml:space="preserve">Streaming Video Sharing and Distribution: </w:t>
            </w:r>
            <w:r w:rsidR="002B6B12">
              <w:rPr>
                <w:rFonts w:ascii="Arial" w:hAnsi="Arial" w:cs="Arial"/>
                <w:sz w:val="20"/>
                <w:szCs w:val="20"/>
              </w:rPr>
              <w:t xml:space="preserve">The project report has been completed and </w:t>
            </w:r>
            <w:r w:rsidR="00F0750F">
              <w:rPr>
                <w:rFonts w:ascii="Arial" w:hAnsi="Arial" w:cs="Arial"/>
                <w:sz w:val="20"/>
                <w:szCs w:val="20"/>
              </w:rPr>
              <w:t>the report has been published</w:t>
            </w:r>
            <w:r w:rsidR="002B6B12">
              <w:rPr>
                <w:rFonts w:ascii="Arial" w:hAnsi="Arial" w:cs="Arial"/>
                <w:sz w:val="20"/>
                <w:szCs w:val="20"/>
              </w:rPr>
              <w:t>.</w:t>
            </w:r>
          </w:p>
          <w:p w:rsidR="0087597F" w:rsidRDefault="0087597F" w:rsidP="003831F2">
            <w:pPr>
              <w:rPr>
                <w:rFonts w:ascii="Arial" w:hAnsi="Arial" w:cs="Arial"/>
                <w:sz w:val="20"/>
                <w:szCs w:val="20"/>
              </w:rPr>
            </w:pPr>
          </w:p>
          <w:p w:rsidR="0087597F" w:rsidRDefault="0087597F" w:rsidP="0087597F">
            <w:pPr>
              <w:rPr>
                <w:rFonts w:ascii="Arial" w:hAnsi="Arial" w:cs="Arial"/>
                <w:sz w:val="20"/>
                <w:szCs w:val="20"/>
              </w:rPr>
            </w:pPr>
            <w:r>
              <w:rPr>
                <w:rFonts w:ascii="Arial" w:hAnsi="Arial" w:cs="Arial"/>
                <w:sz w:val="20"/>
                <w:szCs w:val="20"/>
              </w:rPr>
              <w:t>IT Security Guidance for TMCs: The final project report has been published. A webinar to disseminate the research results was held on November 19, 2019.</w:t>
            </w:r>
          </w:p>
          <w:p w:rsidR="00E80E72" w:rsidRDefault="00E80E72" w:rsidP="003831F2">
            <w:pPr>
              <w:rPr>
                <w:rFonts w:ascii="Arial" w:hAnsi="Arial" w:cs="Arial"/>
                <w:sz w:val="20"/>
                <w:szCs w:val="20"/>
              </w:rPr>
            </w:pPr>
          </w:p>
          <w:p w:rsidR="00E80E72" w:rsidRDefault="00E80E72" w:rsidP="003831F2">
            <w:pPr>
              <w:rPr>
                <w:rFonts w:ascii="Arial" w:hAnsi="Arial" w:cs="Arial"/>
                <w:sz w:val="20"/>
                <w:szCs w:val="20"/>
              </w:rPr>
            </w:pPr>
            <w:r>
              <w:rPr>
                <w:rFonts w:ascii="Arial" w:hAnsi="Arial" w:cs="Arial"/>
                <w:sz w:val="20"/>
                <w:szCs w:val="20"/>
              </w:rPr>
              <w:t xml:space="preserve">Use of Performance Dashboards for Communicating the Benefits of Traffic Operations: </w:t>
            </w:r>
            <w:r w:rsidR="00F0750F">
              <w:rPr>
                <w:rFonts w:ascii="Arial" w:hAnsi="Arial" w:cs="Arial"/>
                <w:sz w:val="20"/>
                <w:szCs w:val="20"/>
              </w:rPr>
              <w:t>The project committee reviewed and provided comments on the l</w:t>
            </w:r>
            <w:r w:rsidR="003078F1">
              <w:rPr>
                <w:rFonts w:ascii="Arial" w:hAnsi="Arial" w:cs="Arial"/>
                <w:sz w:val="20"/>
                <w:szCs w:val="20"/>
              </w:rPr>
              <w:t xml:space="preserve">etter report </w:t>
            </w:r>
            <w:r w:rsidR="00F0750F">
              <w:rPr>
                <w:rFonts w:ascii="Arial" w:hAnsi="Arial" w:cs="Arial"/>
                <w:sz w:val="20"/>
                <w:szCs w:val="20"/>
              </w:rPr>
              <w:t xml:space="preserve">that </w:t>
            </w:r>
            <w:r w:rsidR="003078F1">
              <w:rPr>
                <w:rFonts w:ascii="Arial" w:hAnsi="Arial" w:cs="Arial"/>
                <w:sz w:val="20"/>
                <w:szCs w:val="20"/>
              </w:rPr>
              <w:t>synthesiz</w:t>
            </w:r>
            <w:r w:rsidR="00F0750F">
              <w:rPr>
                <w:rFonts w:ascii="Arial" w:hAnsi="Arial" w:cs="Arial"/>
                <w:sz w:val="20"/>
                <w:szCs w:val="20"/>
              </w:rPr>
              <w:t>ed</w:t>
            </w:r>
            <w:r w:rsidR="003078F1">
              <w:rPr>
                <w:rFonts w:ascii="Arial" w:hAnsi="Arial" w:cs="Arial"/>
                <w:sz w:val="20"/>
                <w:szCs w:val="20"/>
              </w:rPr>
              <w:t xml:space="preserve"> literature search and data collection.</w:t>
            </w:r>
            <w:r w:rsidR="0087597F">
              <w:rPr>
                <w:rFonts w:ascii="Arial" w:hAnsi="Arial" w:cs="Arial"/>
                <w:sz w:val="20"/>
                <w:szCs w:val="20"/>
              </w:rPr>
              <w:t xml:space="preserve"> A draft annotated outline for the project report was submitted and reviewed by the project committee.</w:t>
            </w:r>
          </w:p>
          <w:p w:rsidR="00B26940" w:rsidRDefault="00B26940" w:rsidP="003831F2">
            <w:pPr>
              <w:rPr>
                <w:rFonts w:ascii="Arial" w:hAnsi="Arial" w:cs="Arial"/>
                <w:sz w:val="20"/>
                <w:szCs w:val="20"/>
              </w:rPr>
            </w:pPr>
          </w:p>
          <w:p w:rsidR="00B26940" w:rsidRDefault="00B26940" w:rsidP="003831F2">
            <w:pPr>
              <w:rPr>
                <w:rFonts w:ascii="Arial" w:hAnsi="Arial" w:cs="Arial"/>
                <w:sz w:val="20"/>
                <w:szCs w:val="20"/>
              </w:rPr>
            </w:pPr>
            <w:r>
              <w:rPr>
                <w:rFonts w:ascii="Arial" w:hAnsi="Arial" w:cs="Arial"/>
                <w:sz w:val="20"/>
                <w:szCs w:val="20"/>
              </w:rPr>
              <w:t xml:space="preserve">Performance Measures and Health Index of ITS Assets: </w:t>
            </w:r>
            <w:r w:rsidR="006D5244">
              <w:rPr>
                <w:rFonts w:ascii="Arial" w:hAnsi="Arial" w:cs="Arial"/>
                <w:sz w:val="20"/>
                <w:szCs w:val="20"/>
              </w:rPr>
              <w:t xml:space="preserve">A </w:t>
            </w:r>
            <w:r w:rsidR="006B3D22">
              <w:rPr>
                <w:rFonts w:ascii="Arial" w:hAnsi="Arial" w:cs="Arial"/>
                <w:sz w:val="20"/>
                <w:szCs w:val="20"/>
              </w:rPr>
              <w:t>revised</w:t>
            </w:r>
            <w:r w:rsidR="006D5244">
              <w:rPr>
                <w:rFonts w:ascii="Arial" w:hAnsi="Arial" w:cs="Arial"/>
                <w:sz w:val="20"/>
                <w:szCs w:val="20"/>
              </w:rPr>
              <w:t xml:space="preserve"> literature review report was </w:t>
            </w:r>
            <w:r w:rsidR="006B3D22">
              <w:rPr>
                <w:rFonts w:ascii="Arial" w:hAnsi="Arial" w:cs="Arial"/>
                <w:sz w:val="20"/>
                <w:szCs w:val="20"/>
              </w:rPr>
              <w:t>submitted</w:t>
            </w:r>
            <w:r w:rsidR="00F0750F">
              <w:rPr>
                <w:rFonts w:ascii="Arial" w:hAnsi="Arial" w:cs="Arial"/>
                <w:sz w:val="20"/>
                <w:szCs w:val="20"/>
              </w:rPr>
              <w:t xml:space="preserve">. </w:t>
            </w:r>
            <w:r w:rsidR="006B3D22">
              <w:rPr>
                <w:rFonts w:ascii="Arial" w:hAnsi="Arial" w:cs="Arial"/>
                <w:sz w:val="20"/>
                <w:szCs w:val="20"/>
              </w:rPr>
              <w:t>A draft annotated outline for the project report was submitted as well.</w:t>
            </w:r>
            <w:r>
              <w:rPr>
                <w:rFonts w:ascii="Arial" w:hAnsi="Arial" w:cs="Arial"/>
                <w:sz w:val="20"/>
                <w:szCs w:val="20"/>
              </w:rPr>
              <w:t xml:space="preserve"> This is a 14-month project and a project report is anticipated in July 2020.</w:t>
            </w: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r>
              <w:rPr>
                <w:rFonts w:ascii="Arial" w:hAnsi="Arial" w:cs="Arial"/>
                <w:sz w:val="20"/>
                <w:szCs w:val="20"/>
              </w:rPr>
              <w:t xml:space="preserve">Information and Analysis of TMC Staff and Staffing Contracts: A project kickoff meeting was held on September 12, 2019. This is </w:t>
            </w:r>
            <w:r w:rsidR="00ED37D6">
              <w:rPr>
                <w:rFonts w:ascii="Arial" w:hAnsi="Arial" w:cs="Arial"/>
                <w:sz w:val="20"/>
                <w:szCs w:val="20"/>
              </w:rPr>
              <w:t>an</w:t>
            </w:r>
            <w:r>
              <w:rPr>
                <w:rFonts w:ascii="Arial" w:hAnsi="Arial" w:cs="Arial"/>
                <w:sz w:val="20"/>
                <w:szCs w:val="20"/>
              </w:rPr>
              <w:t xml:space="preserve"> 18-month project and a final technical guidelines document will be produced in March 2021.</w:t>
            </w:r>
          </w:p>
          <w:p w:rsidR="008F5307" w:rsidRDefault="008F5307" w:rsidP="003831F2">
            <w:pPr>
              <w:rPr>
                <w:rFonts w:ascii="Arial" w:hAnsi="Arial" w:cs="Arial"/>
                <w:sz w:val="20"/>
                <w:szCs w:val="20"/>
              </w:rPr>
            </w:pPr>
          </w:p>
          <w:p w:rsidR="006D5244" w:rsidRDefault="006D5244" w:rsidP="006D5244">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 xml:space="preserve">was held on </w:t>
            </w:r>
            <w:r w:rsidR="00F0750F">
              <w:rPr>
                <w:rFonts w:ascii="Arial" w:hAnsi="Arial" w:cs="Arial"/>
                <w:sz w:val="20"/>
                <w:szCs w:val="20"/>
              </w:rPr>
              <w:t>December 2</w:t>
            </w:r>
            <w:r>
              <w:rPr>
                <w:rFonts w:ascii="Arial" w:hAnsi="Arial" w:cs="Arial"/>
                <w:sz w:val="20"/>
                <w:szCs w:val="20"/>
              </w:rPr>
              <w:t>, 2019</w:t>
            </w:r>
            <w:r w:rsidRPr="00071E9B">
              <w:rPr>
                <w:rFonts w:ascii="Arial" w:hAnsi="Arial" w:cs="Arial"/>
                <w:sz w:val="20"/>
                <w:szCs w:val="20"/>
              </w:rPr>
              <w:t>. Members review</w:t>
            </w:r>
            <w:r>
              <w:rPr>
                <w:rFonts w:ascii="Arial" w:hAnsi="Arial" w:cs="Arial"/>
                <w:sz w:val="20"/>
                <w:szCs w:val="20"/>
              </w:rPr>
              <w:t>ed</w:t>
            </w:r>
            <w:r w:rsidRPr="00071E9B">
              <w:rPr>
                <w:rFonts w:ascii="Arial" w:hAnsi="Arial" w:cs="Arial"/>
                <w:sz w:val="20"/>
                <w:szCs w:val="20"/>
              </w:rPr>
              <w:t xml:space="preserve"> the progress of on-going projects</w:t>
            </w:r>
            <w:r>
              <w:rPr>
                <w:rFonts w:ascii="Arial" w:hAnsi="Arial" w:cs="Arial"/>
                <w:sz w:val="20"/>
                <w:szCs w:val="20"/>
              </w:rPr>
              <w:t>,</w:t>
            </w:r>
            <w:r w:rsidR="00F0750F">
              <w:rPr>
                <w:rFonts w:ascii="Arial" w:hAnsi="Arial" w:cs="Arial"/>
                <w:sz w:val="20"/>
                <w:szCs w:val="20"/>
              </w:rPr>
              <w:t xml:space="preserve"> prepared for the 2020 annual meeting</w:t>
            </w:r>
            <w:r w:rsidR="0087597F">
              <w:rPr>
                <w:rFonts w:ascii="Arial" w:hAnsi="Arial" w:cs="Arial"/>
                <w:sz w:val="20"/>
                <w:szCs w:val="20"/>
              </w:rPr>
              <w:t>, discussed the annual project identification and prioritization process,</w:t>
            </w:r>
            <w:r>
              <w:rPr>
                <w:rFonts w:ascii="Arial" w:hAnsi="Arial" w:cs="Arial"/>
                <w:sz w:val="20"/>
                <w:szCs w:val="20"/>
              </w:rPr>
              <w:t xml:space="preserve"> and</w:t>
            </w:r>
            <w:r w:rsidRPr="00071E9B">
              <w:rPr>
                <w:rFonts w:ascii="Arial" w:hAnsi="Arial" w:cs="Arial"/>
                <w:sz w:val="20"/>
                <w:szCs w:val="20"/>
              </w:rPr>
              <w:t xml:space="preserve"> discuss</w:t>
            </w:r>
            <w:r>
              <w:rPr>
                <w:rFonts w:ascii="Arial" w:hAnsi="Arial" w:cs="Arial"/>
                <w:sz w:val="20"/>
                <w:szCs w:val="20"/>
              </w:rPr>
              <w:t>ed</w:t>
            </w:r>
            <w:r w:rsidRPr="00071E9B">
              <w:rPr>
                <w:rFonts w:ascii="Arial" w:hAnsi="Arial" w:cs="Arial"/>
                <w:sz w:val="20"/>
                <w:szCs w:val="20"/>
              </w:rPr>
              <w:t xml:space="preserve"> </w:t>
            </w:r>
            <w:r w:rsidR="0087597F">
              <w:rPr>
                <w:rFonts w:ascii="Arial" w:hAnsi="Arial" w:cs="Arial"/>
                <w:sz w:val="20"/>
                <w:szCs w:val="20"/>
              </w:rPr>
              <w:t>opportunities for collaboration and information sharing with other groups</w:t>
            </w:r>
            <w:r w:rsidRPr="00071E9B">
              <w:rPr>
                <w:rFonts w:ascii="Arial" w:hAnsi="Arial" w:cs="Arial"/>
                <w:sz w:val="20"/>
                <w:szCs w:val="20"/>
              </w:rPr>
              <w:t>.</w:t>
            </w:r>
          </w:p>
          <w:p w:rsidR="006D5244" w:rsidRDefault="006D5244" w:rsidP="003831F2">
            <w:pPr>
              <w:rPr>
                <w:rFonts w:ascii="Arial" w:hAnsi="Arial" w:cs="Arial"/>
                <w:sz w:val="20"/>
                <w:szCs w:val="20"/>
              </w:rPr>
            </w:pPr>
          </w:p>
          <w:p w:rsidR="006D5244" w:rsidRDefault="006D5244"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D176C8" w:rsidRDefault="00D176C8" w:rsidP="00D176C8">
            <w:pPr>
              <w:rPr>
                <w:rFonts w:ascii="Arial" w:hAnsi="Arial" w:cs="Arial"/>
                <w:sz w:val="20"/>
                <w:szCs w:val="20"/>
              </w:rPr>
            </w:pPr>
            <w:r>
              <w:rPr>
                <w:rFonts w:ascii="Arial" w:hAnsi="Arial" w:cs="Arial"/>
                <w:sz w:val="20"/>
                <w:szCs w:val="20"/>
              </w:rPr>
              <w:t xml:space="preserve">Capability and Usage Guidelines for Color Changeable Message Signs: </w:t>
            </w:r>
            <w:r w:rsidR="007B7309">
              <w:rPr>
                <w:rFonts w:ascii="Arial" w:hAnsi="Arial" w:cs="Arial"/>
                <w:sz w:val="20"/>
                <w:szCs w:val="20"/>
              </w:rPr>
              <w:t>T</w:t>
            </w:r>
            <w:r>
              <w:rPr>
                <w:rFonts w:ascii="Arial" w:hAnsi="Arial" w:cs="Arial"/>
                <w:sz w:val="20"/>
                <w:szCs w:val="20"/>
              </w:rPr>
              <w:t xml:space="preserve">he human factors study </w:t>
            </w:r>
            <w:r w:rsidR="006D5244">
              <w:rPr>
                <w:rFonts w:ascii="Arial" w:hAnsi="Arial" w:cs="Arial"/>
                <w:sz w:val="20"/>
                <w:szCs w:val="20"/>
              </w:rPr>
              <w:t>would be completed</w:t>
            </w:r>
            <w:r w:rsidR="005C1932">
              <w:rPr>
                <w:rFonts w:ascii="Arial" w:hAnsi="Arial" w:cs="Arial"/>
                <w:sz w:val="20"/>
                <w:szCs w:val="20"/>
              </w:rPr>
              <w:t>.</w:t>
            </w:r>
            <w:r w:rsidR="006D5244">
              <w:rPr>
                <w:rFonts w:ascii="Arial" w:hAnsi="Arial" w:cs="Arial"/>
                <w:sz w:val="20"/>
                <w:szCs w:val="20"/>
              </w:rPr>
              <w:t xml:space="preserve"> A draft project report would be submitted for review in </w:t>
            </w:r>
            <w:r w:rsidR="0087597F">
              <w:rPr>
                <w:rFonts w:ascii="Arial" w:hAnsi="Arial" w:cs="Arial"/>
                <w:sz w:val="20"/>
                <w:szCs w:val="20"/>
              </w:rPr>
              <w:t>February</w:t>
            </w:r>
            <w:r w:rsidR="006D5244">
              <w:rPr>
                <w:rFonts w:ascii="Arial" w:hAnsi="Arial" w:cs="Arial"/>
                <w:sz w:val="20"/>
                <w:szCs w:val="20"/>
              </w:rPr>
              <w:t xml:space="preserve"> 20</w:t>
            </w:r>
            <w:r w:rsidR="0087597F">
              <w:rPr>
                <w:rFonts w:ascii="Arial" w:hAnsi="Arial" w:cs="Arial"/>
                <w:sz w:val="20"/>
                <w:szCs w:val="20"/>
              </w:rPr>
              <w:t>20</w:t>
            </w:r>
            <w:r w:rsidR="006D5244">
              <w:rPr>
                <w:rFonts w:ascii="Arial" w:hAnsi="Arial" w:cs="Arial"/>
                <w:sz w:val="20"/>
                <w:szCs w:val="20"/>
              </w:rPr>
              <w:t>.</w:t>
            </w:r>
          </w:p>
          <w:p w:rsidR="00D176C8" w:rsidRDefault="00D176C8" w:rsidP="00D176C8">
            <w:pPr>
              <w:rPr>
                <w:rFonts w:ascii="Arial" w:hAnsi="Arial" w:cs="Arial"/>
                <w:sz w:val="20"/>
                <w:szCs w:val="20"/>
              </w:rPr>
            </w:pPr>
          </w:p>
          <w:p w:rsidR="00B26940" w:rsidRDefault="00B26940" w:rsidP="00B26940">
            <w:pPr>
              <w:rPr>
                <w:rFonts w:ascii="Arial" w:hAnsi="Arial" w:cs="Arial"/>
                <w:sz w:val="20"/>
                <w:szCs w:val="20"/>
              </w:rPr>
            </w:pPr>
            <w:r>
              <w:rPr>
                <w:rFonts w:ascii="Arial" w:hAnsi="Arial" w:cs="Arial"/>
                <w:sz w:val="20"/>
                <w:szCs w:val="20"/>
              </w:rPr>
              <w:t xml:space="preserve">Use of Performance Dashboards for Communicating the Benefits of Traffic Operations: </w:t>
            </w:r>
            <w:r w:rsidR="0087597F">
              <w:rPr>
                <w:rFonts w:ascii="Arial" w:hAnsi="Arial" w:cs="Arial"/>
                <w:sz w:val="20"/>
                <w:szCs w:val="20"/>
              </w:rPr>
              <w:t>A revised</w:t>
            </w:r>
            <w:r w:rsidR="006D5244">
              <w:rPr>
                <w:rFonts w:ascii="Arial" w:hAnsi="Arial" w:cs="Arial"/>
                <w:sz w:val="20"/>
                <w:szCs w:val="20"/>
              </w:rPr>
              <w:t xml:space="preserve"> annotated outline for the project report would be submitted for review </w:t>
            </w:r>
            <w:r w:rsidR="00A70A76">
              <w:rPr>
                <w:rFonts w:ascii="Arial" w:hAnsi="Arial" w:cs="Arial"/>
                <w:sz w:val="20"/>
                <w:szCs w:val="20"/>
              </w:rPr>
              <w:t xml:space="preserve">in the </w:t>
            </w:r>
            <w:r w:rsidR="0087597F">
              <w:rPr>
                <w:rFonts w:ascii="Arial" w:hAnsi="Arial" w:cs="Arial"/>
                <w:sz w:val="20"/>
                <w:szCs w:val="20"/>
              </w:rPr>
              <w:t>next</w:t>
            </w:r>
            <w:r w:rsidR="00A70A76">
              <w:rPr>
                <w:rFonts w:ascii="Arial" w:hAnsi="Arial" w:cs="Arial"/>
                <w:sz w:val="20"/>
                <w:szCs w:val="20"/>
              </w:rPr>
              <w:t xml:space="preserve"> quarter.</w:t>
            </w:r>
          </w:p>
          <w:p w:rsidR="00B26940" w:rsidRDefault="00B26940" w:rsidP="00B26940">
            <w:pPr>
              <w:rPr>
                <w:rFonts w:ascii="Arial" w:hAnsi="Arial" w:cs="Arial"/>
                <w:sz w:val="20"/>
                <w:szCs w:val="20"/>
              </w:rPr>
            </w:pPr>
          </w:p>
          <w:p w:rsidR="006B3D22" w:rsidRDefault="006B3D22" w:rsidP="006B3D22">
            <w:pPr>
              <w:rPr>
                <w:rFonts w:ascii="Arial" w:hAnsi="Arial" w:cs="Arial"/>
                <w:sz w:val="20"/>
                <w:szCs w:val="20"/>
              </w:rPr>
            </w:pPr>
            <w:r>
              <w:rPr>
                <w:rFonts w:ascii="Arial" w:hAnsi="Arial" w:cs="Arial"/>
                <w:sz w:val="20"/>
                <w:szCs w:val="20"/>
              </w:rPr>
              <w:t>Performance Measures and Health Index of ITS Assets: The project contractor would start drafting the technical guidelines report. The project was on schedule</w:t>
            </w:r>
            <w:r w:rsidR="00EE24E2">
              <w:rPr>
                <w:rFonts w:ascii="Arial" w:hAnsi="Arial" w:cs="Arial"/>
                <w:sz w:val="20"/>
                <w:szCs w:val="20"/>
              </w:rPr>
              <w:t>.</w:t>
            </w:r>
          </w:p>
          <w:p w:rsidR="006B3D22" w:rsidRDefault="006B3D22" w:rsidP="006B3D22">
            <w:pPr>
              <w:rPr>
                <w:rFonts w:ascii="Arial" w:hAnsi="Arial" w:cs="Arial"/>
                <w:sz w:val="20"/>
                <w:szCs w:val="20"/>
              </w:rPr>
            </w:pPr>
          </w:p>
          <w:p w:rsidR="006B3D22" w:rsidRDefault="006B3D22" w:rsidP="006B3D22">
            <w:pPr>
              <w:rPr>
                <w:rFonts w:ascii="Arial" w:hAnsi="Arial" w:cs="Arial"/>
                <w:sz w:val="20"/>
                <w:szCs w:val="20"/>
              </w:rPr>
            </w:pPr>
            <w:r>
              <w:rPr>
                <w:rFonts w:ascii="Arial" w:hAnsi="Arial" w:cs="Arial"/>
                <w:sz w:val="20"/>
                <w:szCs w:val="20"/>
              </w:rPr>
              <w:t xml:space="preserve">Information and Analysis of TMC Staff and Staffing Contracts: The project contractor is drafting a synthesis report that will identify existing TMC functions and describe variations </w:t>
            </w:r>
            <w:r w:rsidR="00136B9F">
              <w:rPr>
                <w:rFonts w:ascii="Arial" w:hAnsi="Arial" w:cs="Arial"/>
                <w:sz w:val="20"/>
                <w:szCs w:val="20"/>
              </w:rPr>
              <w:t>in the way tasks are allocated between man and machine</w:t>
            </w:r>
            <w:r w:rsidR="00EE24E2">
              <w:rPr>
                <w:rFonts w:ascii="Arial" w:hAnsi="Arial" w:cs="Arial"/>
                <w:sz w:val="20"/>
                <w:szCs w:val="20"/>
              </w:rPr>
              <w:t>.</w:t>
            </w:r>
          </w:p>
          <w:p w:rsidR="00C7711C" w:rsidRDefault="00C7711C" w:rsidP="000051EB">
            <w:pPr>
              <w:rPr>
                <w:rFonts w:ascii="Arial" w:hAnsi="Arial" w:cs="Arial"/>
                <w:sz w:val="20"/>
                <w:szCs w:val="20"/>
              </w:rPr>
            </w:pPr>
          </w:p>
          <w:p w:rsidR="00B26940" w:rsidRDefault="00B26940" w:rsidP="00B26940">
            <w:pPr>
              <w:rPr>
                <w:rFonts w:ascii="Arial" w:hAnsi="Arial" w:cs="Arial"/>
                <w:sz w:val="20"/>
                <w:szCs w:val="20"/>
              </w:rPr>
            </w:pPr>
            <w:r w:rsidRPr="00071E9B">
              <w:rPr>
                <w:rFonts w:ascii="Arial" w:hAnsi="Arial" w:cs="Arial"/>
                <w:sz w:val="20"/>
                <w:szCs w:val="20"/>
              </w:rPr>
              <w:t xml:space="preserve">A quarterly conference call </w:t>
            </w:r>
            <w:r>
              <w:rPr>
                <w:rFonts w:ascii="Arial" w:hAnsi="Arial" w:cs="Arial"/>
                <w:sz w:val="20"/>
                <w:szCs w:val="20"/>
              </w:rPr>
              <w:t>will be</w:t>
            </w:r>
            <w:r w:rsidRPr="00071E9B">
              <w:rPr>
                <w:rFonts w:ascii="Arial" w:hAnsi="Arial" w:cs="Arial"/>
                <w:sz w:val="20"/>
                <w:szCs w:val="20"/>
              </w:rPr>
              <w:t xml:space="preserve"> held </w:t>
            </w:r>
            <w:r>
              <w:rPr>
                <w:rFonts w:ascii="Arial" w:hAnsi="Arial" w:cs="Arial"/>
                <w:sz w:val="20"/>
                <w:szCs w:val="20"/>
              </w:rPr>
              <w:t xml:space="preserve">in </w:t>
            </w:r>
            <w:r w:rsidR="0087597F">
              <w:rPr>
                <w:rFonts w:ascii="Arial" w:hAnsi="Arial" w:cs="Arial"/>
                <w:sz w:val="20"/>
                <w:szCs w:val="20"/>
              </w:rPr>
              <w:t>March 2020</w:t>
            </w:r>
            <w:r w:rsidRPr="00071E9B">
              <w:rPr>
                <w:rFonts w:ascii="Arial" w:hAnsi="Arial" w:cs="Arial"/>
                <w:sz w:val="20"/>
                <w:szCs w:val="20"/>
              </w:rPr>
              <w:t xml:space="preserve">. Members </w:t>
            </w:r>
            <w:r>
              <w:rPr>
                <w:rFonts w:ascii="Arial" w:hAnsi="Arial" w:cs="Arial"/>
                <w:sz w:val="20"/>
                <w:szCs w:val="20"/>
              </w:rPr>
              <w:t xml:space="preserve">will </w:t>
            </w:r>
            <w:r w:rsidRPr="00071E9B">
              <w:rPr>
                <w:rFonts w:ascii="Arial" w:hAnsi="Arial" w:cs="Arial"/>
                <w:sz w:val="20"/>
                <w:szCs w:val="20"/>
              </w:rPr>
              <w:t>review the progress of on-going projects</w:t>
            </w:r>
            <w:r>
              <w:rPr>
                <w:rFonts w:ascii="Arial" w:hAnsi="Arial" w:cs="Arial"/>
                <w:sz w:val="20"/>
                <w:szCs w:val="20"/>
              </w:rPr>
              <w:t xml:space="preserve">, </w:t>
            </w:r>
            <w:r w:rsidR="0087597F">
              <w:rPr>
                <w:rFonts w:ascii="Arial" w:hAnsi="Arial" w:cs="Arial"/>
                <w:sz w:val="20"/>
                <w:szCs w:val="20"/>
              </w:rPr>
              <w:t>discuss and prioritize needs</w:t>
            </w:r>
            <w:r w:rsidR="00A70A76">
              <w:rPr>
                <w:rFonts w:ascii="Arial" w:hAnsi="Arial" w:cs="Arial"/>
                <w:sz w:val="20"/>
                <w:szCs w:val="20"/>
              </w:rPr>
              <w:t xml:space="preserve">, preliminarily identify projects for the 2020 project selection cycle, </w:t>
            </w:r>
            <w:r>
              <w:rPr>
                <w:rFonts w:ascii="Arial" w:hAnsi="Arial" w:cs="Arial"/>
                <w:sz w:val="20"/>
                <w:szCs w:val="20"/>
              </w:rPr>
              <w:t>and</w:t>
            </w:r>
            <w:r w:rsidRPr="00071E9B">
              <w:rPr>
                <w:rFonts w:ascii="Arial" w:hAnsi="Arial" w:cs="Arial"/>
                <w:sz w:val="20"/>
                <w:szCs w:val="20"/>
              </w:rPr>
              <w:t xml:space="preserve"> </w:t>
            </w:r>
            <w:r w:rsidR="00A70A76">
              <w:rPr>
                <w:rFonts w:ascii="Arial" w:hAnsi="Arial" w:cs="Arial"/>
                <w:sz w:val="20"/>
                <w:szCs w:val="20"/>
              </w:rPr>
              <w:t>initiate the planning activities for the annual meeting in 2020.</w:t>
            </w:r>
          </w:p>
          <w:p w:rsidR="000051EB" w:rsidRDefault="000051EB" w:rsidP="003831F2">
            <w:pPr>
              <w:rPr>
                <w:rFonts w:ascii="Arial" w:hAnsi="Arial" w:cs="Arial"/>
                <w:sz w:val="20"/>
                <w:szCs w:val="20"/>
              </w:rPr>
            </w:pPr>
          </w:p>
          <w:p w:rsidR="00392834" w:rsidRDefault="00392834" w:rsidP="003831F2">
            <w:pPr>
              <w:rPr>
                <w:rFonts w:ascii="Arial" w:hAnsi="Arial" w:cs="Arial"/>
                <w:sz w:val="20"/>
                <w:szCs w:val="20"/>
              </w:rPr>
            </w:pPr>
          </w:p>
          <w:p w:rsidR="00392834" w:rsidRDefault="00392834" w:rsidP="003831F2">
            <w:pPr>
              <w:rPr>
                <w:rFonts w:ascii="Arial" w:hAnsi="Arial" w:cs="Arial"/>
                <w:sz w:val="20"/>
                <w:szCs w:val="20"/>
              </w:rPr>
            </w:pPr>
          </w:p>
          <w:p w:rsidR="00136B9F" w:rsidRDefault="00136B9F" w:rsidP="003831F2">
            <w:pPr>
              <w:rPr>
                <w:rFonts w:ascii="Arial" w:hAnsi="Arial" w:cs="Arial"/>
                <w:sz w:val="20"/>
                <w:szCs w:val="20"/>
              </w:rPr>
            </w:pPr>
          </w:p>
          <w:p w:rsidR="00050B53" w:rsidRDefault="00050B53" w:rsidP="003831F2">
            <w:pPr>
              <w:rPr>
                <w:rFonts w:ascii="Arial" w:hAnsi="Arial" w:cs="Arial"/>
                <w:sz w:val="20"/>
                <w:szCs w:val="20"/>
              </w:rPr>
            </w:pPr>
          </w:p>
          <w:p w:rsidR="00601EBD" w:rsidRDefault="00601EBD" w:rsidP="003831F2">
            <w:pPr>
              <w:rPr>
                <w:rFonts w:ascii="Arial" w:hAnsi="Arial" w:cs="Arial"/>
                <w:sz w:val="20"/>
                <w:szCs w:val="20"/>
              </w:rPr>
            </w:pPr>
          </w:p>
          <w:p w:rsidR="00ED37D6" w:rsidRDefault="00ED37D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957240" w:rsidRDefault="00A70A76" w:rsidP="00A70A76">
            <w:pPr>
              <w:rPr>
                <w:rFonts w:ascii="Arial" w:hAnsi="Arial" w:cs="Arial"/>
                <w:sz w:val="20"/>
                <w:szCs w:val="20"/>
              </w:rPr>
            </w:pPr>
            <w:r>
              <w:rPr>
                <w:rFonts w:ascii="Arial" w:hAnsi="Arial" w:cs="Arial"/>
                <w:sz w:val="20"/>
                <w:szCs w:val="20"/>
              </w:rPr>
              <w:t xml:space="preserve">A T3 webinar was held on </w:t>
            </w:r>
            <w:r w:rsidR="0087597F">
              <w:rPr>
                <w:rFonts w:ascii="Arial" w:hAnsi="Arial" w:cs="Arial"/>
                <w:sz w:val="20"/>
                <w:szCs w:val="20"/>
              </w:rPr>
              <w:t>November 19</w:t>
            </w:r>
            <w:r>
              <w:rPr>
                <w:rFonts w:ascii="Arial" w:hAnsi="Arial" w:cs="Arial"/>
                <w:sz w:val="20"/>
                <w:szCs w:val="20"/>
              </w:rPr>
              <w:t xml:space="preserve"> to disseminate the research results from the TMC </w:t>
            </w:r>
            <w:r w:rsidR="0087597F">
              <w:rPr>
                <w:rFonts w:ascii="Arial" w:hAnsi="Arial" w:cs="Arial"/>
                <w:sz w:val="20"/>
                <w:szCs w:val="20"/>
              </w:rPr>
              <w:t>Information Technology Security</w:t>
            </w:r>
            <w:r>
              <w:rPr>
                <w:rFonts w:ascii="Arial" w:hAnsi="Arial" w:cs="Arial"/>
                <w:sz w:val="20"/>
                <w:szCs w:val="20"/>
              </w:rPr>
              <w:t xml:space="preserve"> project. Jimmy Chu (FHWA) hosted the webinar, and </w:t>
            </w:r>
            <w:r w:rsidR="0087597F">
              <w:rPr>
                <w:rFonts w:ascii="Arial" w:hAnsi="Arial" w:cs="Arial"/>
                <w:sz w:val="20"/>
                <w:szCs w:val="20"/>
              </w:rPr>
              <w:t>Lisa Miller</w:t>
            </w:r>
            <w:r>
              <w:rPr>
                <w:rFonts w:ascii="Arial" w:hAnsi="Arial" w:cs="Arial"/>
                <w:sz w:val="20"/>
                <w:szCs w:val="20"/>
              </w:rPr>
              <w:t xml:space="preserve"> (</w:t>
            </w:r>
            <w:r w:rsidR="0087597F">
              <w:rPr>
                <w:rFonts w:ascii="Arial" w:hAnsi="Arial" w:cs="Arial"/>
                <w:sz w:val="20"/>
                <w:szCs w:val="20"/>
              </w:rPr>
              <w:t>Utah</w:t>
            </w:r>
            <w:r>
              <w:rPr>
                <w:rFonts w:ascii="Arial" w:hAnsi="Arial" w:cs="Arial"/>
                <w:sz w:val="20"/>
                <w:szCs w:val="20"/>
              </w:rPr>
              <w:t xml:space="preserve"> DOT) moderated the presentations and discussions.</w:t>
            </w:r>
          </w:p>
          <w:p w:rsidR="00EB4C14" w:rsidRDefault="00EB4C14" w:rsidP="00A70A76">
            <w:pPr>
              <w:rPr>
                <w:rFonts w:ascii="Arial" w:hAnsi="Arial" w:cs="Arial"/>
                <w:sz w:val="20"/>
                <w:szCs w:val="20"/>
              </w:rPr>
            </w:pPr>
          </w:p>
          <w:p w:rsidR="00EB4C14" w:rsidRDefault="00EB4C14" w:rsidP="00EB4C14">
            <w:pPr>
              <w:rPr>
                <w:rFonts w:ascii="Arial" w:hAnsi="Arial" w:cs="Arial"/>
                <w:sz w:val="20"/>
                <w:szCs w:val="20"/>
              </w:rPr>
            </w:pPr>
            <w:r>
              <w:rPr>
                <w:rFonts w:ascii="Arial" w:hAnsi="Arial" w:cs="Arial"/>
                <w:sz w:val="20"/>
                <w:szCs w:val="20"/>
              </w:rPr>
              <w:t xml:space="preserve">The final report for the </w:t>
            </w:r>
            <w:r w:rsidRPr="00EB4C14">
              <w:rPr>
                <w:rFonts w:ascii="Arial" w:hAnsi="Arial" w:cs="Arial"/>
                <w:sz w:val="20"/>
                <w:szCs w:val="20"/>
              </w:rPr>
              <w:t>Streaming Video Sharing and Distribution</w:t>
            </w:r>
            <w:r>
              <w:rPr>
                <w:rFonts w:ascii="Arial" w:hAnsi="Arial" w:cs="Arial"/>
                <w:sz w:val="20"/>
                <w:szCs w:val="20"/>
              </w:rPr>
              <w:t xml:space="preserve"> project is available </w:t>
            </w:r>
            <w:r w:rsidRPr="00EB4C14">
              <w:rPr>
                <w:rFonts w:ascii="Arial" w:hAnsi="Arial" w:cs="Arial"/>
                <w:sz w:val="20"/>
                <w:szCs w:val="20"/>
              </w:rPr>
              <w:t xml:space="preserve">at: </w:t>
            </w:r>
            <w:hyperlink r:id="rId8" w:history="1">
              <w:r w:rsidRPr="006D1189">
                <w:rPr>
                  <w:rStyle w:val="Hyperlink"/>
                  <w:rFonts w:ascii="Arial" w:hAnsi="Arial" w:cs="Arial"/>
                  <w:sz w:val="20"/>
                  <w:szCs w:val="20"/>
                </w:rPr>
                <w:t>https://ops.fhwa.dot.gov/publications/fhwahop19037/index.htm</w:t>
              </w:r>
            </w:hyperlink>
            <w:r w:rsidR="00EE24E2">
              <w:rPr>
                <w:rFonts w:ascii="Arial" w:hAnsi="Arial" w:cs="Arial"/>
                <w:sz w:val="20"/>
                <w:szCs w:val="20"/>
              </w:rPr>
              <w:t>.</w:t>
            </w:r>
          </w:p>
          <w:p w:rsidR="00EB4C14" w:rsidRPr="00EB4C14" w:rsidRDefault="00EB4C14" w:rsidP="00EB4C14">
            <w:pPr>
              <w:rPr>
                <w:rFonts w:ascii="Arial" w:hAnsi="Arial" w:cs="Arial"/>
                <w:sz w:val="20"/>
                <w:szCs w:val="20"/>
              </w:rPr>
            </w:pPr>
          </w:p>
          <w:p w:rsidR="00EB4C14" w:rsidRDefault="00EB4C14" w:rsidP="00EB4C14">
            <w:pPr>
              <w:rPr>
                <w:rFonts w:ascii="Arial" w:hAnsi="Arial" w:cs="Arial"/>
                <w:sz w:val="20"/>
                <w:szCs w:val="20"/>
              </w:rPr>
            </w:pPr>
            <w:r>
              <w:rPr>
                <w:rFonts w:ascii="Arial" w:hAnsi="Arial" w:cs="Arial"/>
                <w:sz w:val="20"/>
                <w:szCs w:val="20"/>
              </w:rPr>
              <w:t xml:space="preserve">The final report for the </w:t>
            </w:r>
            <w:r w:rsidRPr="00EB4C14">
              <w:rPr>
                <w:rFonts w:ascii="Arial" w:hAnsi="Arial" w:cs="Arial"/>
                <w:sz w:val="20"/>
                <w:szCs w:val="20"/>
              </w:rPr>
              <w:t>Consideration of Current and Emerging TMC Data</w:t>
            </w:r>
            <w:r>
              <w:rPr>
                <w:rFonts w:ascii="Arial" w:hAnsi="Arial" w:cs="Arial"/>
                <w:sz w:val="20"/>
                <w:szCs w:val="20"/>
              </w:rPr>
              <w:t xml:space="preserve"> project is available at</w:t>
            </w:r>
            <w:r w:rsidRPr="00EB4C14">
              <w:rPr>
                <w:rFonts w:ascii="Arial" w:hAnsi="Arial" w:cs="Arial"/>
                <w:sz w:val="20"/>
                <w:szCs w:val="20"/>
              </w:rPr>
              <w:t xml:space="preserve">: </w:t>
            </w:r>
            <w:hyperlink r:id="rId9" w:history="1">
              <w:r w:rsidRPr="006D1189">
                <w:rPr>
                  <w:rStyle w:val="Hyperlink"/>
                  <w:rFonts w:ascii="Arial" w:hAnsi="Arial" w:cs="Arial"/>
                  <w:sz w:val="20"/>
                  <w:szCs w:val="20"/>
                </w:rPr>
                <w:t>https://ops.fhwa.dot.gov/publications/fhwahop18084/index.htm</w:t>
              </w:r>
            </w:hyperlink>
            <w:r w:rsidR="00EE24E2">
              <w:rPr>
                <w:rFonts w:ascii="Arial" w:hAnsi="Arial" w:cs="Arial"/>
                <w:sz w:val="20"/>
                <w:szCs w:val="20"/>
              </w:rPr>
              <w:t>.</w:t>
            </w:r>
          </w:p>
          <w:p w:rsidR="00ED37D6" w:rsidRPr="00EB4C14" w:rsidRDefault="00ED37D6" w:rsidP="004D1943">
            <w:pPr>
              <w:rPr>
                <w:rFonts w:ascii="Arial" w:hAnsi="Arial" w:cs="Arial"/>
                <w:sz w:val="20"/>
                <w:szCs w:val="20"/>
              </w:rPr>
            </w:pPr>
          </w:p>
          <w:p w:rsidR="00EB4C14" w:rsidRDefault="00EB4C14" w:rsidP="004D1943">
            <w:pPr>
              <w:rPr>
                <w:rFonts w:ascii="Arial" w:hAnsi="Arial" w:cs="Arial"/>
                <w:sz w:val="20"/>
                <w:szCs w:val="20"/>
              </w:rPr>
            </w:pPr>
            <w:r w:rsidRPr="00EB4C14">
              <w:rPr>
                <w:rFonts w:ascii="Arial" w:hAnsi="Arial" w:cs="Arial"/>
                <w:sz w:val="20"/>
                <w:szCs w:val="20"/>
              </w:rPr>
              <w:t>The re</w:t>
            </w:r>
            <w:r>
              <w:rPr>
                <w:rFonts w:ascii="Arial" w:hAnsi="Arial" w:cs="Arial"/>
                <w:sz w:val="20"/>
                <w:szCs w:val="20"/>
              </w:rPr>
              <w:t xml:space="preserve">port for the Transportation Management Center Information Technology Security project is available at: </w:t>
            </w:r>
            <w:hyperlink r:id="rId10" w:history="1">
              <w:r w:rsidRPr="006D1189">
                <w:rPr>
                  <w:rStyle w:val="Hyperlink"/>
                  <w:rFonts w:ascii="Arial" w:hAnsi="Arial" w:cs="Arial"/>
                  <w:sz w:val="20"/>
                  <w:szCs w:val="20"/>
                </w:rPr>
                <w:t>https://ops.fhwa.dot.gov/publications/fhwahop19059/index.htm</w:t>
              </w:r>
            </w:hyperlink>
            <w:r w:rsidR="00EE24E2">
              <w:rPr>
                <w:rFonts w:ascii="Arial" w:hAnsi="Arial" w:cs="Arial"/>
                <w:sz w:val="20"/>
                <w:szCs w:val="20"/>
              </w:rPr>
              <w:t>.</w:t>
            </w:r>
          </w:p>
          <w:p w:rsidR="005C1932" w:rsidRPr="00EB4C14" w:rsidRDefault="005C1932" w:rsidP="004D1943">
            <w:pPr>
              <w:rPr>
                <w:rFonts w:ascii="Arial" w:hAnsi="Arial" w:cs="Arial"/>
                <w:sz w:val="20"/>
                <w:szCs w:val="20"/>
              </w:rPr>
            </w:pPr>
          </w:p>
          <w:p w:rsidR="00050B53" w:rsidRPr="00EB4C14" w:rsidRDefault="00050B53" w:rsidP="004D1943">
            <w:pPr>
              <w:rPr>
                <w:rFonts w:ascii="Arial" w:hAnsi="Arial" w:cs="Arial"/>
                <w:sz w:val="20"/>
                <w:szCs w:val="20"/>
              </w:rPr>
            </w:pPr>
          </w:p>
          <w:p w:rsidR="00050B53" w:rsidRPr="00EB4C14" w:rsidRDefault="00050B53" w:rsidP="004D1943">
            <w:pPr>
              <w:rPr>
                <w:rFonts w:ascii="Arial" w:hAnsi="Arial" w:cs="Arial"/>
                <w:sz w:val="20"/>
                <w:szCs w:val="20"/>
              </w:rPr>
            </w:pPr>
          </w:p>
          <w:p w:rsidR="00050B53" w:rsidRPr="00EB4C14" w:rsidRDefault="00050B53" w:rsidP="004D1943">
            <w:pPr>
              <w:rPr>
                <w:rFonts w:ascii="Arial" w:hAnsi="Arial" w:cs="Arial"/>
                <w:sz w:val="20"/>
                <w:szCs w:val="20"/>
              </w:rPr>
            </w:pPr>
          </w:p>
          <w:p w:rsidR="00050B53" w:rsidRPr="00EB4C14" w:rsidRDefault="00050B53" w:rsidP="004D1943">
            <w:pPr>
              <w:rPr>
                <w:rFonts w:ascii="Arial" w:hAnsi="Arial" w:cs="Arial"/>
                <w:sz w:val="20"/>
                <w:szCs w:val="20"/>
              </w:rPr>
            </w:pPr>
          </w:p>
          <w:p w:rsidR="00050B53" w:rsidRPr="00EB4C14" w:rsidRDefault="00050B53" w:rsidP="004D1943">
            <w:pPr>
              <w:rPr>
                <w:rFonts w:ascii="Arial" w:hAnsi="Arial" w:cs="Arial"/>
                <w:sz w:val="20"/>
                <w:szCs w:val="20"/>
              </w:rPr>
            </w:pPr>
          </w:p>
          <w:p w:rsidR="00601EBD" w:rsidRPr="00EB4C14" w:rsidRDefault="00601EBD" w:rsidP="004D1943">
            <w:pPr>
              <w:rPr>
                <w:rFonts w:ascii="Arial" w:hAnsi="Arial" w:cs="Arial"/>
                <w:sz w:val="20"/>
                <w:szCs w:val="20"/>
              </w:rPr>
            </w:pPr>
          </w:p>
          <w:p w:rsidR="00601EBD" w:rsidRPr="00EB4C14" w:rsidRDefault="00601EBD" w:rsidP="004D1943">
            <w:pPr>
              <w:rPr>
                <w:rFonts w:ascii="Arial" w:hAnsi="Arial" w:cs="Arial"/>
                <w:sz w:val="20"/>
                <w:szCs w:val="20"/>
              </w:rPr>
            </w:pPr>
          </w:p>
          <w:p w:rsidR="00601EBD" w:rsidRPr="00EB4C14" w:rsidRDefault="00601EBD" w:rsidP="004D1943">
            <w:pPr>
              <w:rPr>
                <w:rFonts w:ascii="Arial" w:hAnsi="Arial" w:cs="Arial"/>
                <w:sz w:val="20"/>
                <w:szCs w:val="20"/>
              </w:rPr>
            </w:pPr>
          </w:p>
          <w:p w:rsidR="00601EBD" w:rsidRPr="00EB4C14" w:rsidRDefault="00601EBD" w:rsidP="004D1943">
            <w:pPr>
              <w:rPr>
                <w:rFonts w:ascii="Arial" w:hAnsi="Arial" w:cs="Arial"/>
                <w:sz w:val="20"/>
                <w:szCs w:val="20"/>
              </w:rPr>
            </w:pPr>
          </w:p>
          <w:p w:rsidR="00601EBD" w:rsidRPr="00EB4C14" w:rsidRDefault="00601EBD"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136B9F" w:rsidRDefault="00136B9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62808"/>
    <w:multiLevelType w:val="hybridMultilevel"/>
    <w:tmpl w:val="E938D03C"/>
    <w:lvl w:ilvl="0" w:tplc="66EE14B0">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3"/>
  </w:num>
  <w:num w:numId="4">
    <w:abstractNumId w:val="10"/>
  </w:num>
  <w:num w:numId="5">
    <w:abstractNumId w:val="6"/>
  </w:num>
  <w:num w:numId="6">
    <w:abstractNumId w:val="0"/>
  </w:num>
  <w:num w:numId="7">
    <w:abstractNumId w:val="11"/>
  </w:num>
  <w:num w:numId="8">
    <w:abstractNumId w:val="14"/>
  </w:num>
  <w:num w:numId="9">
    <w:abstractNumId w:val="1"/>
  </w:num>
  <w:num w:numId="10">
    <w:abstractNumId w:val="4"/>
  </w:num>
  <w:num w:numId="11">
    <w:abstractNumId w:val="2"/>
  </w:num>
  <w:num w:numId="12">
    <w:abstractNumId w:val="7"/>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51EB"/>
    <w:rsid w:val="00010576"/>
    <w:rsid w:val="000300A0"/>
    <w:rsid w:val="000307FE"/>
    <w:rsid w:val="00037FBC"/>
    <w:rsid w:val="000452EB"/>
    <w:rsid w:val="00050B53"/>
    <w:rsid w:val="00071E9B"/>
    <w:rsid w:val="000736BB"/>
    <w:rsid w:val="00094479"/>
    <w:rsid w:val="000B665A"/>
    <w:rsid w:val="000C089D"/>
    <w:rsid w:val="000F5A9F"/>
    <w:rsid w:val="00106C83"/>
    <w:rsid w:val="00112EEE"/>
    <w:rsid w:val="00136B9F"/>
    <w:rsid w:val="00144FD9"/>
    <w:rsid w:val="001547D0"/>
    <w:rsid w:val="00161153"/>
    <w:rsid w:val="001616A0"/>
    <w:rsid w:val="001E25D1"/>
    <w:rsid w:val="001E77A6"/>
    <w:rsid w:val="00203808"/>
    <w:rsid w:val="00203962"/>
    <w:rsid w:val="00210DE8"/>
    <w:rsid w:val="0021446D"/>
    <w:rsid w:val="002361E2"/>
    <w:rsid w:val="002402DD"/>
    <w:rsid w:val="00293FD8"/>
    <w:rsid w:val="002A79C8"/>
    <w:rsid w:val="002B6B12"/>
    <w:rsid w:val="002C46E7"/>
    <w:rsid w:val="002D4EB7"/>
    <w:rsid w:val="002E5E30"/>
    <w:rsid w:val="002F54D6"/>
    <w:rsid w:val="003004C0"/>
    <w:rsid w:val="0030247F"/>
    <w:rsid w:val="0030355F"/>
    <w:rsid w:val="003078F1"/>
    <w:rsid w:val="00310E86"/>
    <w:rsid w:val="003228BD"/>
    <w:rsid w:val="0032353B"/>
    <w:rsid w:val="00362CF7"/>
    <w:rsid w:val="003831F2"/>
    <w:rsid w:val="0038705A"/>
    <w:rsid w:val="00392834"/>
    <w:rsid w:val="003C0E91"/>
    <w:rsid w:val="003E14E3"/>
    <w:rsid w:val="004144E6"/>
    <w:rsid w:val="004156B2"/>
    <w:rsid w:val="00415D14"/>
    <w:rsid w:val="00437734"/>
    <w:rsid w:val="0044043A"/>
    <w:rsid w:val="00484FC5"/>
    <w:rsid w:val="004863A0"/>
    <w:rsid w:val="0048783A"/>
    <w:rsid w:val="004A4943"/>
    <w:rsid w:val="004B466C"/>
    <w:rsid w:val="004C2FD6"/>
    <w:rsid w:val="004C3104"/>
    <w:rsid w:val="004D1943"/>
    <w:rsid w:val="004E14DC"/>
    <w:rsid w:val="004E6B34"/>
    <w:rsid w:val="005021A8"/>
    <w:rsid w:val="00504B30"/>
    <w:rsid w:val="00535598"/>
    <w:rsid w:val="00536D0F"/>
    <w:rsid w:val="00545C06"/>
    <w:rsid w:val="00547EE3"/>
    <w:rsid w:val="00550F63"/>
    <w:rsid w:val="00551D8A"/>
    <w:rsid w:val="00580507"/>
    <w:rsid w:val="00581B36"/>
    <w:rsid w:val="00582289"/>
    <w:rsid w:val="00583E8E"/>
    <w:rsid w:val="005A24BC"/>
    <w:rsid w:val="005C1932"/>
    <w:rsid w:val="005F0925"/>
    <w:rsid w:val="005F1A0A"/>
    <w:rsid w:val="005F51EE"/>
    <w:rsid w:val="005F68BC"/>
    <w:rsid w:val="00601EBD"/>
    <w:rsid w:val="0060329E"/>
    <w:rsid w:val="00613269"/>
    <w:rsid w:val="00624577"/>
    <w:rsid w:val="0063162C"/>
    <w:rsid w:val="00652F43"/>
    <w:rsid w:val="0065500C"/>
    <w:rsid w:val="00682C5E"/>
    <w:rsid w:val="006B3D22"/>
    <w:rsid w:val="006C0080"/>
    <w:rsid w:val="006C2669"/>
    <w:rsid w:val="006D5244"/>
    <w:rsid w:val="006E7D64"/>
    <w:rsid w:val="00727B9C"/>
    <w:rsid w:val="007357F1"/>
    <w:rsid w:val="007434AC"/>
    <w:rsid w:val="00743C01"/>
    <w:rsid w:val="00757BC2"/>
    <w:rsid w:val="00786BF4"/>
    <w:rsid w:val="00790C4A"/>
    <w:rsid w:val="00793775"/>
    <w:rsid w:val="007B267F"/>
    <w:rsid w:val="007B7309"/>
    <w:rsid w:val="007C7A4C"/>
    <w:rsid w:val="007D26F3"/>
    <w:rsid w:val="007E049B"/>
    <w:rsid w:val="007E5BD2"/>
    <w:rsid w:val="00806033"/>
    <w:rsid w:val="00835671"/>
    <w:rsid w:val="00857490"/>
    <w:rsid w:val="00861239"/>
    <w:rsid w:val="008633EC"/>
    <w:rsid w:val="00872F18"/>
    <w:rsid w:val="00874EF7"/>
    <w:rsid w:val="0087597F"/>
    <w:rsid w:val="00886F96"/>
    <w:rsid w:val="008A04BE"/>
    <w:rsid w:val="008B0349"/>
    <w:rsid w:val="008E61F9"/>
    <w:rsid w:val="008F5307"/>
    <w:rsid w:val="00905DAC"/>
    <w:rsid w:val="0094066B"/>
    <w:rsid w:val="00953C2C"/>
    <w:rsid w:val="009552C5"/>
    <w:rsid w:val="00957240"/>
    <w:rsid w:val="0099705F"/>
    <w:rsid w:val="009A6E11"/>
    <w:rsid w:val="009D408F"/>
    <w:rsid w:val="009E15E5"/>
    <w:rsid w:val="009E24D8"/>
    <w:rsid w:val="009F370F"/>
    <w:rsid w:val="009F4646"/>
    <w:rsid w:val="00A01D08"/>
    <w:rsid w:val="00A301AD"/>
    <w:rsid w:val="00A43875"/>
    <w:rsid w:val="00A565FB"/>
    <w:rsid w:val="00A63677"/>
    <w:rsid w:val="00A70A76"/>
    <w:rsid w:val="00AA6A8C"/>
    <w:rsid w:val="00AB16B5"/>
    <w:rsid w:val="00AB2A58"/>
    <w:rsid w:val="00AE46B0"/>
    <w:rsid w:val="00B2185C"/>
    <w:rsid w:val="00B26940"/>
    <w:rsid w:val="00B33BE7"/>
    <w:rsid w:val="00B350B7"/>
    <w:rsid w:val="00B358DC"/>
    <w:rsid w:val="00B36DC1"/>
    <w:rsid w:val="00B66A21"/>
    <w:rsid w:val="00B73B47"/>
    <w:rsid w:val="00B74212"/>
    <w:rsid w:val="00BC025A"/>
    <w:rsid w:val="00BC098C"/>
    <w:rsid w:val="00BE1CE1"/>
    <w:rsid w:val="00BF263C"/>
    <w:rsid w:val="00C05B7A"/>
    <w:rsid w:val="00C10D97"/>
    <w:rsid w:val="00C13753"/>
    <w:rsid w:val="00C319B0"/>
    <w:rsid w:val="00C3498D"/>
    <w:rsid w:val="00C50FA4"/>
    <w:rsid w:val="00C54BB2"/>
    <w:rsid w:val="00C63B72"/>
    <w:rsid w:val="00C7711C"/>
    <w:rsid w:val="00C81123"/>
    <w:rsid w:val="00C83ADC"/>
    <w:rsid w:val="00CA5F36"/>
    <w:rsid w:val="00CB1464"/>
    <w:rsid w:val="00CB1CC6"/>
    <w:rsid w:val="00CC2697"/>
    <w:rsid w:val="00CD2D44"/>
    <w:rsid w:val="00CD7628"/>
    <w:rsid w:val="00CF2E32"/>
    <w:rsid w:val="00D176C8"/>
    <w:rsid w:val="00D37F0A"/>
    <w:rsid w:val="00D42A15"/>
    <w:rsid w:val="00D65545"/>
    <w:rsid w:val="00D72D45"/>
    <w:rsid w:val="00D72E92"/>
    <w:rsid w:val="00D7661D"/>
    <w:rsid w:val="00D9235A"/>
    <w:rsid w:val="00E33A47"/>
    <w:rsid w:val="00E35E0F"/>
    <w:rsid w:val="00E371D1"/>
    <w:rsid w:val="00E3731D"/>
    <w:rsid w:val="00E53738"/>
    <w:rsid w:val="00E665AD"/>
    <w:rsid w:val="00E6717E"/>
    <w:rsid w:val="00E716E6"/>
    <w:rsid w:val="00E7727F"/>
    <w:rsid w:val="00E80E72"/>
    <w:rsid w:val="00EB4C14"/>
    <w:rsid w:val="00ED37D6"/>
    <w:rsid w:val="00ED5F67"/>
    <w:rsid w:val="00EE24E2"/>
    <w:rsid w:val="00EE3D96"/>
    <w:rsid w:val="00EF08AE"/>
    <w:rsid w:val="00EF5790"/>
    <w:rsid w:val="00F05C85"/>
    <w:rsid w:val="00F0750F"/>
    <w:rsid w:val="00F20601"/>
    <w:rsid w:val="00F32135"/>
    <w:rsid w:val="00F469D4"/>
    <w:rsid w:val="00F54200"/>
    <w:rsid w:val="00F555C3"/>
    <w:rsid w:val="00F84278"/>
    <w:rsid w:val="00F9763A"/>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64E0521"/>
  <w15:docId w15:val="{C669E646-ECE1-4062-AA6E-249308C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582289"/>
    <w:rPr>
      <w:color w:val="0000FF" w:themeColor="hyperlink"/>
      <w:u w:val="single"/>
    </w:rPr>
  </w:style>
  <w:style w:type="character" w:styleId="FollowedHyperlink">
    <w:name w:val="FollowedHyperlink"/>
    <w:basedOn w:val="DefaultParagraphFont"/>
    <w:uiPriority w:val="99"/>
    <w:semiHidden/>
    <w:unhideWhenUsed/>
    <w:rsid w:val="007B7309"/>
    <w:rPr>
      <w:color w:val="800080" w:themeColor="followedHyperlink"/>
      <w:u w:val="single"/>
    </w:rPr>
  </w:style>
  <w:style w:type="character" w:styleId="PlaceholderText">
    <w:name w:val="Placeholder Text"/>
    <w:basedOn w:val="DefaultParagraphFont"/>
    <w:uiPriority w:val="99"/>
    <w:semiHidden/>
    <w:rsid w:val="00B36DC1"/>
    <w:rPr>
      <w:color w:val="808080"/>
    </w:rPr>
  </w:style>
  <w:style w:type="character" w:customStyle="1" w:styleId="UnresolvedMention">
    <w:name w:val="Unresolved Mention"/>
    <w:basedOn w:val="DefaultParagraphFont"/>
    <w:uiPriority w:val="99"/>
    <w:semiHidden/>
    <w:unhideWhenUsed/>
    <w:rsid w:val="00EB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s.fhwa.dot.gov/publications/fhwahop19037/index.ht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ps.fhwa.dot.gov/publications/fhwahop19059/index.htm" TargetMode="External"/><Relationship Id="rId4" Type="http://schemas.openxmlformats.org/officeDocument/2006/relationships/settings" Target="settings.xml"/><Relationship Id="rId9" Type="http://schemas.openxmlformats.org/officeDocument/2006/relationships/hyperlink" Target="https://ops.fhwa.dot.gov/publications/fhwahop18084/index.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AE29AF5-B8C3-40FA-800F-F747E8119485}"/>
      </w:docPartPr>
      <w:docPartBody>
        <w:p w:rsidR="00882702" w:rsidRDefault="00DA04A7">
          <w:r w:rsidRPr="00917C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A7"/>
    <w:rsid w:val="00882702"/>
    <w:rsid w:val="00DA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4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B820-74FC-4400-B714-221E60C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2020-01-30T19:31:00Z</dcterms:created>
  <dcterms:modified xsi:type="dcterms:W3CDTF">2020-01-30T19:31:00Z</dcterms:modified>
</cp:coreProperties>
</file>