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52001" w14:textId="77777777" w:rsidR="00551D8A" w:rsidRPr="00E53738" w:rsidRDefault="00551D8A" w:rsidP="00E53738">
      <w:pPr>
        <w:spacing w:after="0"/>
        <w:jc w:val="center"/>
        <w:rPr>
          <w:rFonts w:cs="Arial"/>
          <w:b/>
          <w:sz w:val="24"/>
          <w:szCs w:val="24"/>
        </w:rPr>
      </w:pPr>
      <w:r w:rsidRPr="00E53738">
        <w:rPr>
          <w:rFonts w:cs="Arial"/>
          <w:b/>
          <w:sz w:val="24"/>
          <w:szCs w:val="24"/>
        </w:rPr>
        <w:t>TRANSPORTATION POOLED FUND PROGRAM</w:t>
      </w:r>
    </w:p>
    <w:p w14:paraId="607B79D5" w14:textId="77777777" w:rsidR="00551D8A" w:rsidRPr="00E53738" w:rsidRDefault="00551D8A" w:rsidP="00E53738">
      <w:pPr>
        <w:spacing w:after="0"/>
        <w:jc w:val="center"/>
        <w:rPr>
          <w:rFonts w:cs="Arial"/>
          <w:b/>
          <w:sz w:val="24"/>
          <w:szCs w:val="24"/>
        </w:rPr>
      </w:pPr>
      <w:r w:rsidRPr="00E53738">
        <w:rPr>
          <w:rFonts w:cs="Arial"/>
          <w:b/>
          <w:sz w:val="24"/>
          <w:szCs w:val="24"/>
        </w:rPr>
        <w:t>QUARTERLY PROGRESS REPORT</w:t>
      </w:r>
    </w:p>
    <w:p w14:paraId="16A03923" w14:textId="77777777" w:rsidR="00551D8A" w:rsidRDefault="00551D8A" w:rsidP="00551D8A">
      <w:pPr>
        <w:spacing w:after="0"/>
        <w:rPr>
          <w:rFonts w:cs="Arial"/>
          <w:sz w:val="24"/>
          <w:szCs w:val="24"/>
        </w:rPr>
      </w:pPr>
    </w:p>
    <w:p w14:paraId="177A35BB" w14:textId="77777777" w:rsidR="00551D8A" w:rsidRDefault="00551D8A" w:rsidP="00FF32BE">
      <w:pPr>
        <w:spacing w:after="0"/>
        <w:ind w:left="-720" w:right="-720"/>
        <w:rPr>
          <w:rFonts w:cs="Arial"/>
          <w:sz w:val="24"/>
          <w:szCs w:val="24"/>
        </w:rPr>
      </w:pPr>
      <w:r>
        <w:rPr>
          <w:rFonts w:cs="Arial"/>
          <w:sz w:val="24"/>
          <w:szCs w:val="24"/>
        </w:rPr>
        <w:t>Lead Agency</w:t>
      </w:r>
      <w:r w:rsidR="00FF32BE">
        <w:rPr>
          <w:rFonts w:cs="Arial"/>
          <w:sz w:val="24"/>
          <w:szCs w:val="24"/>
        </w:rPr>
        <w:t xml:space="preserve"> (FHWA or State DOT)</w:t>
      </w:r>
      <w:r>
        <w:rPr>
          <w:rFonts w:cs="Arial"/>
          <w:sz w:val="24"/>
          <w:szCs w:val="24"/>
        </w:rPr>
        <w:t>:</w:t>
      </w:r>
      <w:r w:rsidR="00FF32BE">
        <w:rPr>
          <w:rFonts w:cs="Arial"/>
          <w:sz w:val="24"/>
          <w:szCs w:val="24"/>
        </w:rPr>
        <w:t xml:space="preserve">  </w:t>
      </w:r>
      <w:r>
        <w:rPr>
          <w:rFonts w:cs="Arial"/>
          <w:sz w:val="24"/>
          <w:szCs w:val="24"/>
        </w:rPr>
        <w:t>_</w:t>
      </w:r>
      <w:r w:rsidR="00FA0047" w:rsidRPr="00BB13ED">
        <w:rPr>
          <w:rFonts w:cs="Arial"/>
          <w:sz w:val="24"/>
          <w:szCs w:val="24"/>
          <w:u w:val="single"/>
        </w:rPr>
        <w:t>FHWA</w:t>
      </w:r>
      <w:r>
        <w:rPr>
          <w:rFonts w:cs="Arial"/>
          <w:sz w:val="24"/>
          <w:szCs w:val="24"/>
        </w:rPr>
        <w:t>__________</w:t>
      </w:r>
      <w:r w:rsidR="00FF32BE">
        <w:rPr>
          <w:rFonts w:cs="Arial"/>
          <w:sz w:val="24"/>
          <w:szCs w:val="24"/>
        </w:rPr>
        <w:t>_______</w:t>
      </w:r>
      <w:r>
        <w:rPr>
          <w:rFonts w:cs="Arial"/>
          <w:sz w:val="24"/>
          <w:szCs w:val="24"/>
        </w:rPr>
        <w:t>_____________________</w:t>
      </w:r>
    </w:p>
    <w:p w14:paraId="0C0E8505" w14:textId="77777777" w:rsidR="00FF32BE" w:rsidRDefault="00FF32BE" w:rsidP="00FF32BE">
      <w:pPr>
        <w:spacing w:after="0"/>
        <w:rPr>
          <w:rFonts w:cs="Arial"/>
          <w:sz w:val="24"/>
          <w:szCs w:val="24"/>
        </w:rPr>
      </w:pPr>
    </w:p>
    <w:p w14:paraId="4BE104B3" w14:textId="77777777" w:rsidR="00551D8A" w:rsidRPr="00E53738" w:rsidRDefault="00551D8A" w:rsidP="00551D8A">
      <w:pPr>
        <w:spacing w:after="0"/>
        <w:ind w:left="-720" w:right="-720"/>
        <w:rPr>
          <w:rFonts w:cs="Arial"/>
          <w:b/>
          <w:szCs w:val="20"/>
        </w:rPr>
      </w:pPr>
      <w:r w:rsidRPr="00E53738">
        <w:rPr>
          <w:rFonts w:cs="Arial"/>
          <w:b/>
          <w:szCs w:val="20"/>
        </w:rPr>
        <w:t>INSTRUCTIONS:</w:t>
      </w:r>
    </w:p>
    <w:p w14:paraId="75934BFF" w14:textId="77777777" w:rsidR="00551D8A" w:rsidRPr="00FF32BE" w:rsidRDefault="00551D8A" w:rsidP="00551D8A">
      <w:pPr>
        <w:spacing w:after="0"/>
        <w:ind w:left="-720" w:right="-720"/>
        <w:rPr>
          <w:rFonts w:cs="Arial"/>
          <w:i/>
          <w:szCs w:val="20"/>
        </w:rPr>
      </w:pPr>
      <w:r w:rsidRPr="00FF32BE">
        <w:rPr>
          <w:rFonts w:cs="Arial"/>
          <w:i/>
          <w:szCs w:val="20"/>
        </w:rPr>
        <w:t xml:space="preserve">Project Managers </w:t>
      </w:r>
      <w:r w:rsidR="00872F18" w:rsidRPr="00FF32BE">
        <w:rPr>
          <w:rFonts w:cs="Arial"/>
          <w:i/>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cs="Arial"/>
          <w:i/>
          <w:szCs w:val="20"/>
        </w:rPr>
        <w:t>current status</w:t>
      </w:r>
      <w:proofErr w:type="gramEnd"/>
      <w:r w:rsidR="00872F18" w:rsidRPr="00FF32BE">
        <w:rPr>
          <w:rFonts w:cs="Arial"/>
          <w:i/>
          <w:szCs w:val="20"/>
        </w:rPr>
        <w:t>, including accomplishments and problems encountered, if any.  List all tasks, even if no work was done during this period.</w:t>
      </w:r>
    </w:p>
    <w:p w14:paraId="4FB1AFA9" w14:textId="77777777" w:rsidR="00551D8A" w:rsidRDefault="00551D8A" w:rsidP="00551D8A">
      <w:pPr>
        <w:spacing w:after="0"/>
        <w:ind w:left="-720" w:right="-720"/>
        <w:rPr>
          <w:rFonts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cs="Arial"/>
                <w:b/>
                <w:szCs w:val="20"/>
              </w:rPr>
            </w:pPr>
            <w:r w:rsidRPr="00FF32BE">
              <w:rPr>
                <w:rFonts w:cs="Arial"/>
                <w:b/>
                <w:szCs w:val="20"/>
              </w:rPr>
              <w:t xml:space="preserve">Transportation </w:t>
            </w:r>
            <w:r w:rsidR="00551D8A" w:rsidRPr="00FF32BE">
              <w:rPr>
                <w:rFonts w:cs="Arial"/>
                <w:b/>
                <w:szCs w:val="20"/>
              </w:rPr>
              <w:t xml:space="preserve">Pooled Fund </w:t>
            </w:r>
            <w:r w:rsidRPr="00FF32BE">
              <w:rPr>
                <w:rFonts w:cs="Arial"/>
                <w:b/>
                <w:szCs w:val="20"/>
              </w:rPr>
              <w:t xml:space="preserve">Program </w:t>
            </w:r>
            <w:r w:rsidR="00551D8A" w:rsidRPr="00FF32BE">
              <w:rPr>
                <w:rFonts w:cs="Arial"/>
                <w:b/>
                <w:szCs w:val="20"/>
              </w:rPr>
              <w:t>Project #</w:t>
            </w:r>
          </w:p>
          <w:p w14:paraId="24F28469" w14:textId="77777777" w:rsidR="00872F18" w:rsidRDefault="00872F18" w:rsidP="00551D8A">
            <w:pPr>
              <w:ind w:right="-720"/>
              <w:rPr>
                <w:rFonts w:cs="Arial"/>
                <w:i/>
                <w:szCs w:val="20"/>
              </w:rPr>
            </w:pPr>
            <w:r w:rsidRPr="00FF32BE">
              <w:rPr>
                <w:rFonts w:cs="Arial"/>
                <w:i/>
                <w:szCs w:val="20"/>
              </w:rPr>
              <w:t>(</w:t>
            </w:r>
            <w:proofErr w:type="spellStart"/>
            <w:r w:rsidRPr="00FF32BE">
              <w:rPr>
                <w:rFonts w:cs="Arial"/>
                <w:i/>
                <w:szCs w:val="20"/>
              </w:rPr>
              <w:t>i.e</w:t>
            </w:r>
            <w:proofErr w:type="spellEnd"/>
            <w:r w:rsidRPr="00FF32BE">
              <w:rPr>
                <w:rFonts w:cs="Arial"/>
                <w:i/>
                <w:szCs w:val="20"/>
              </w:rPr>
              <w:t>, SPR-2(XXX), SPR-3(XXX) or TPF-5(XXX)</w:t>
            </w:r>
          </w:p>
          <w:p w14:paraId="7FD0FFEA" w14:textId="77777777" w:rsidR="000A720C" w:rsidRDefault="000A720C" w:rsidP="00551D8A">
            <w:pPr>
              <w:ind w:right="-720"/>
              <w:rPr>
                <w:rFonts w:cs="Arial"/>
                <w:i/>
                <w:szCs w:val="20"/>
              </w:rPr>
            </w:pPr>
          </w:p>
          <w:p w14:paraId="45DCB558" w14:textId="77777777" w:rsidR="000A720C" w:rsidRDefault="000A720C" w:rsidP="00551D8A">
            <w:pPr>
              <w:ind w:right="-720"/>
              <w:rPr>
                <w:rFonts w:cs="Arial"/>
                <w:i/>
                <w:szCs w:val="20"/>
              </w:rPr>
            </w:pPr>
          </w:p>
          <w:p w14:paraId="1478CCE6" w14:textId="77777777" w:rsidR="00E35E0F" w:rsidRPr="00BB13ED" w:rsidRDefault="00FA0047" w:rsidP="00551D8A">
            <w:pPr>
              <w:ind w:right="-720"/>
              <w:rPr>
                <w:rFonts w:cs="Arial"/>
                <w:i/>
                <w:sz w:val="24"/>
                <w:szCs w:val="24"/>
              </w:rPr>
            </w:pPr>
            <w:r w:rsidRPr="00BB13ED">
              <w:rPr>
                <w:rFonts w:cs="Arial"/>
                <w:i/>
                <w:sz w:val="24"/>
                <w:szCs w:val="24"/>
              </w:rPr>
              <w:t>TPF-5(279)</w:t>
            </w:r>
          </w:p>
          <w:p w14:paraId="44A6BC14" w14:textId="77777777" w:rsidR="00E35E0F" w:rsidRPr="00E35E0F" w:rsidRDefault="00E35E0F" w:rsidP="00551D8A">
            <w:pPr>
              <w:ind w:right="-720"/>
              <w:rPr>
                <w:rFonts w:cs="Arial"/>
                <w:szCs w:val="20"/>
              </w:rPr>
            </w:pPr>
          </w:p>
        </w:tc>
        <w:tc>
          <w:tcPr>
            <w:tcW w:w="5490" w:type="dxa"/>
            <w:gridSpan w:val="2"/>
          </w:tcPr>
          <w:p w14:paraId="6659B5BE" w14:textId="77777777" w:rsidR="00551D8A" w:rsidRPr="00FF32BE" w:rsidRDefault="00872F18" w:rsidP="00551D8A">
            <w:pPr>
              <w:ind w:right="-720"/>
              <w:rPr>
                <w:rFonts w:cs="Arial"/>
                <w:b/>
                <w:szCs w:val="20"/>
              </w:rPr>
            </w:pPr>
            <w:r w:rsidRPr="00FF32BE">
              <w:rPr>
                <w:rFonts w:cs="Arial"/>
                <w:b/>
                <w:szCs w:val="20"/>
              </w:rPr>
              <w:t>Transportation Pooled Fund Program - Report P</w:t>
            </w:r>
            <w:r w:rsidR="00551D8A" w:rsidRPr="00FF32BE">
              <w:rPr>
                <w:rFonts w:cs="Arial"/>
                <w:b/>
                <w:szCs w:val="20"/>
              </w:rPr>
              <w:t>eriod:</w:t>
            </w:r>
          </w:p>
          <w:p w14:paraId="6C49D9CD" w14:textId="18180DFF" w:rsidR="00551D8A" w:rsidRDefault="00080439" w:rsidP="00037FBC">
            <w:pPr>
              <w:ind w:right="-720"/>
              <w:rPr>
                <w:rFonts w:cs="Arial"/>
                <w:szCs w:val="20"/>
              </w:rPr>
            </w:pPr>
            <w:r w:rsidRPr="00551D8A">
              <w:rPr>
                <w:rFonts w:cs="Arial"/>
                <w:sz w:val="36"/>
                <w:szCs w:val="36"/>
              </w:rPr>
              <w:t>□</w:t>
            </w:r>
            <w:r w:rsidR="00551D8A">
              <w:rPr>
                <w:rFonts w:cs="Arial"/>
                <w:szCs w:val="20"/>
              </w:rPr>
              <w:t>Quarter 1 (January 1 – March 31)</w:t>
            </w:r>
          </w:p>
          <w:p w14:paraId="7ACCE264" w14:textId="7F79A238" w:rsidR="00551D8A" w:rsidRDefault="007A4AA2" w:rsidP="00037FBC">
            <w:pPr>
              <w:ind w:right="-720"/>
              <w:rPr>
                <w:rFonts w:cs="Arial"/>
                <w:szCs w:val="20"/>
              </w:rPr>
            </w:pPr>
            <w:r w:rsidRPr="00551D8A">
              <w:rPr>
                <w:rFonts w:cs="Arial"/>
                <w:sz w:val="36"/>
                <w:szCs w:val="36"/>
              </w:rPr>
              <w:t>□</w:t>
            </w:r>
            <w:r w:rsidR="00551D8A">
              <w:rPr>
                <w:rFonts w:cs="Arial"/>
                <w:szCs w:val="20"/>
              </w:rPr>
              <w:t>Quarter 2 (April 1 – June 30)</w:t>
            </w:r>
          </w:p>
          <w:p w14:paraId="4F453AF7" w14:textId="4F750CE0" w:rsidR="00551D8A" w:rsidRDefault="007A4AA2" w:rsidP="00037FBC">
            <w:pPr>
              <w:ind w:right="-720"/>
              <w:rPr>
                <w:rFonts w:cs="Arial"/>
                <w:szCs w:val="20"/>
              </w:rPr>
            </w:pPr>
            <w:r w:rsidRPr="00BB13ED">
              <w:rPr>
                <w:rFonts w:cs="Arial"/>
                <w:sz w:val="28"/>
                <w:szCs w:val="28"/>
              </w:rPr>
              <w:sym w:font="Wingdings" w:char="F0FE"/>
            </w:r>
            <w:r w:rsidR="00551D8A">
              <w:rPr>
                <w:rFonts w:cs="Arial"/>
                <w:szCs w:val="20"/>
              </w:rPr>
              <w:t>Quarter 3 (July 1 – September 30)</w:t>
            </w:r>
          </w:p>
          <w:p w14:paraId="16F15578" w14:textId="6398D005" w:rsidR="00551D8A" w:rsidRPr="00551D8A" w:rsidRDefault="00793B26" w:rsidP="000A720C">
            <w:pPr>
              <w:ind w:right="-720"/>
              <w:rPr>
                <w:rFonts w:cs="Arial"/>
                <w:szCs w:val="20"/>
              </w:rPr>
            </w:pPr>
            <w:r w:rsidRPr="00551D8A">
              <w:rPr>
                <w:rFonts w:cs="Arial"/>
                <w:sz w:val="36"/>
                <w:szCs w:val="36"/>
              </w:rPr>
              <w:t>□</w:t>
            </w:r>
            <w:r w:rsidR="00581B36">
              <w:rPr>
                <w:rFonts w:cs="Arial"/>
                <w:szCs w:val="20"/>
              </w:rPr>
              <w:t>Quarter 4 (October 1</w:t>
            </w:r>
            <w:r w:rsidR="00551D8A">
              <w:rPr>
                <w:rFonts w:cs="Arial"/>
                <w:szCs w:val="20"/>
              </w:rPr>
              <w:t xml:space="preserve"> – December 31)</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cs="Arial"/>
                <w:b/>
                <w:szCs w:val="20"/>
              </w:rPr>
            </w:pPr>
            <w:r w:rsidRPr="00C13753">
              <w:rPr>
                <w:rFonts w:cs="Arial"/>
                <w:b/>
                <w:szCs w:val="20"/>
              </w:rPr>
              <w:t>Project Title:</w:t>
            </w:r>
          </w:p>
          <w:p w14:paraId="2B3E6890" w14:textId="77777777" w:rsidR="00535598" w:rsidRPr="00C13753" w:rsidRDefault="00FA0047" w:rsidP="00551D8A">
            <w:pPr>
              <w:ind w:right="-720"/>
              <w:rPr>
                <w:rFonts w:cs="Arial"/>
                <w:b/>
                <w:szCs w:val="20"/>
              </w:rPr>
            </w:pPr>
            <w:r w:rsidRPr="00FA0047">
              <w:rPr>
                <w:rFonts w:cs="Arial"/>
                <w:b/>
                <w:szCs w:val="20"/>
              </w:rPr>
              <w:t>High Performance Computational Fluid Dynamics (CFD) Modeling Services for Highway Hydraulics</w:t>
            </w:r>
          </w:p>
          <w:p w14:paraId="1E51ECBF" w14:textId="77777777" w:rsidR="00743C01" w:rsidRPr="00B66A21" w:rsidRDefault="00743C01" w:rsidP="00551D8A">
            <w:pPr>
              <w:ind w:right="-720"/>
              <w:rPr>
                <w:rFonts w:cs="Arial"/>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cs="Arial"/>
                <w:b/>
                <w:szCs w:val="20"/>
              </w:rPr>
            </w:pPr>
            <w:r>
              <w:rPr>
                <w:rFonts w:cs="Arial"/>
                <w:b/>
                <w:szCs w:val="20"/>
              </w:rPr>
              <w:t>Name of Project Manager(s):</w:t>
            </w:r>
          </w:p>
          <w:p w14:paraId="6956A487" w14:textId="77777777" w:rsidR="00743C01" w:rsidRPr="00D3705C" w:rsidRDefault="00FA0047" w:rsidP="00551D8A">
            <w:pPr>
              <w:ind w:right="-720"/>
              <w:rPr>
                <w:rFonts w:cs="Arial"/>
                <w:i/>
                <w:szCs w:val="20"/>
              </w:rPr>
            </w:pPr>
            <w:r>
              <w:rPr>
                <w:rFonts w:cs="Arial"/>
                <w:b/>
                <w:szCs w:val="20"/>
              </w:rPr>
              <w:t xml:space="preserve"> </w:t>
            </w:r>
            <w:proofErr w:type="spellStart"/>
            <w:r w:rsidRPr="00D3705C">
              <w:rPr>
                <w:rFonts w:cs="Arial"/>
                <w:i/>
                <w:szCs w:val="20"/>
              </w:rPr>
              <w:t>Kornel</w:t>
            </w:r>
            <w:proofErr w:type="spellEnd"/>
            <w:r w:rsidRPr="00D3705C">
              <w:rPr>
                <w:rFonts w:cs="Arial"/>
                <w:i/>
                <w:szCs w:val="20"/>
              </w:rPr>
              <w:t xml:space="preserve"> Kerenyi</w:t>
            </w:r>
          </w:p>
        </w:tc>
        <w:tc>
          <w:tcPr>
            <w:tcW w:w="3330" w:type="dxa"/>
            <w:gridSpan w:val="2"/>
          </w:tcPr>
          <w:p w14:paraId="0E0871E3" w14:textId="77777777" w:rsidR="00743C01" w:rsidRDefault="00535598" w:rsidP="00551D8A">
            <w:pPr>
              <w:ind w:right="-720"/>
              <w:rPr>
                <w:rFonts w:cs="Arial"/>
                <w:b/>
                <w:szCs w:val="20"/>
              </w:rPr>
            </w:pPr>
            <w:r>
              <w:rPr>
                <w:rFonts w:cs="Arial"/>
                <w:b/>
                <w:szCs w:val="20"/>
              </w:rPr>
              <w:t>Phone Number:</w:t>
            </w:r>
          </w:p>
          <w:p w14:paraId="32A317E8" w14:textId="77777777" w:rsidR="00FA0047" w:rsidRPr="00D3705C" w:rsidRDefault="00D3705C" w:rsidP="00D3705C">
            <w:pPr>
              <w:ind w:right="-720"/>
              <w:rPr>
                <w:rFonts w:cs="Arial"/>
                <w:i/>
                <w:szCs w:val="20"/>
              </w:rPr>
            </w:pPr>
            <w:r>
              <w:rPr>
                <w:rFonts w:cs="Arial"/>
                <w:i/>
                <w:szCs w:val="20"/>
              </w:rPr>
              <w:t>(</w:t>
            </w:r>
            <w:r w:rsidR="00FA0047" w:rsidRPr="00D3705C">
              <w:rPr>
                <w:rFonts w:cs="Arial"/>
                <w:i/>
                <w:szCs w:val="20"/>
              </w:rPr>
              <w:t>202</w:t>
            </w:r>
            <w:r>
              <w:rPr>
                <w:rFonts w:cs="Arial"/>
                <w:i/>
                <w:szCs w:val="20"/>
              </w:rPr>
              <w:t xml:space="preserve">) </w:t>
            </w:r>
            <w:r w:rsidR="00FA0047" w:rsidRPr="00D3705C">
              <w:rPr>
                <w:rFonts w:cs="Arial"/>
                <w:i/>
                <w:szCs w:val="20"/>
              </w:rPr>
              <w:t>493-3142</w:t>
            </w:r>
          </w:p>
        </w:tc>
        <w:tc>
          <w:tcPr>
            <w:tcW w:w="3420" w:type="dxa"/>
          </w:tcPr>
          <w:p w14:paraId="66307AC3" w14:textId="77777777" w:rsidR="00743C01" w:rsidRDefault="00535598" w:rsidP="00551D8A">
            <w:pPr>
              <w:ind w:right="-720"/>
              <w:rPr>
                <w:rFonts w:cs="Arial"/>
                <w:b/>
                <w:szCs w:val="20"/>
              </w:rPr>
            </w:pPr>
            <w:r>
              <w:rPr>
                <w:rFonts w:cs="Arial"/>
                <w:b/>
                <w:szCs w:val="20"/>
              </w:rPr>
              <w:t>E-Mail</w:t>
            </w:r>
          </w:p>
          <w:p w14:paraId="5A635814" w14:textId="77777777" w:rsidR="00535598" w:rsidRPr="00D3705C" w:rsidRDefault="00D3705C" w:rsidP="00551D8A">
            <w:pPr>
              <w:ind w:right="-720"/>
              <w:rPr>
                <w:rFonts w:cs="Arial"/>
                <w:i/>
                <w:szCs w:val="20"/>
              </w:rPr>
            </w:pPr>
            <w:r w:rsidRPr="00D3705C">
              <w:rPr>
                <w:rFonts w:cs="Arial"/>
                <w:i/>
                <w:szCs w:val="20"/>
              </w:rPr>
              <w:t>k</w:t>
            </w:r>
            <w:r w:rsidR="00FA0047" w:rsidRPr="00D3705C">
              <w:rPr>
                <w:rFonts w:cs="Arial"/>
                <w:i/>
                <w:szCs w:val="20"/>
              </w:rPr>
              <w:t>ornel.</w:t>
            </w:r>
            <w:r w:rsidRPr="00D3705C">
              <w:rPr>
                <w:rFonts w:cs="Arial"/>
                <w:i/>
                <w:szCs w:val="20"/>
              </w:rPr>
              <w:t>k</w:t>
            </w:r>
            <w:r w:rsidR="00FA0047" w:rsidRPr="00D3705C">
              <w:rPr>
                <w:rFonts w:cs="Arial"/>
                <w:i/>
                <w:szCs w:val="20"/>
              </w:rPr>
              <w:t>erenyi@</w:t>
            </w:r>
            <w:r w:rsidRPr="00D3705C">
              <w:rPr>
                <w:rFonts w:cs="Arial"/>
                <w:i/>
                <w:szCs w:val="20"/>
              </w:rPr>
              <w:t>fhwa.dot</w:t>
            </w:r>
            <w:r w:rsidR="00FA0047" w:rsidRPr="00D3705C">
              <w:rPr>
                <w:rFonts w:cs="Arial"/>
                <w:i/>
                <w:szCs w:val="20"/>
              </w:rPr>
              <w:t>.gov</w:t>
            </w:r>
          </w:p>
          <w:p w14:paraId="78C900A9" w14:textId="77777777" w:rsidR="004156B2" w:rsidRPr="00B66A21" w:rsidRDefault="004156B2" w:rsidP="00551D8A">
            <w:pPr>
              <w:ind w:right="-720"/>
              <w:rPr>
                <w:rFonts w:cs="Arial"/>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cs="Arial"/>
                <w:b/>
                <w:szCs w:val="20"/>
              </w:rPr>
            </w:pPr>
            <w:r w:rsidRPr="00C13753">
              <w:rPr>
                <w:rFonts w:cs="Arial"/>
                <w:b/>
                <w:szCs w:val="20"/>
              </w:rPr>
              <w:t>Lead Agency Project ID:</w:t>
            </w:r>
          </w:p>
        </w:tc>
        <w:tc>
          <w:tcPr>
            <w:tcW w:w="3330" w:type="dxa"/>
            <w:gridSpan w:val="2"/>
          </w:tcPr>
          <w:p w14:paraId="0404A87B" w14:textId="77777777" w:rsidR="00535598" w:rsidRPr="00C13753" w:rsidRDefault="00535598" w:rsidP="0003476C">
            <w:pPr>
              <w:ind w:right="-720"/>
              <w:rPr>
                <w:rFonts w:cs="Arial"/>
                <w:b/>
                <w:szCs w:val="20"/>
              </w:rPr>
            </w:pPr>
            <w:r w:rsidRPr="00C13753">
              <w:rPr>
                <w:rFonts w:cs="Arial"/>
                <w:b/>
                <w:szCs w:val="20"/>
              </w:rPr>
              <w:t>Other Project ID (i.e., contract #):</w:t>
            </w:r>
          </w:p>
        </w:tc>
        <w:tc>
          <w:tcPr>
            <w:tcW w:w="3420" w:type="dxa"/>
          </w:tcPr>
          <w:p w14:paraId="25086061" w14:textId="77777777" w:rsidR="00535598" w:rsidRPr="00C13753" w:rsidRDefault="00535598" w:rsidP="0003476C">
            <w:pPr>
              <w:ind w:right="-720"/>
              <w:rPr>
                <w:rFonts w:cs="Arial"/>
                <w:b/>
                <w:szCs w:val="20"/>
              </w:rPr>
            </w:pPr>
            <w:r w:rsidRPr="00C13753">
              <w:rPr>
                <w:rFonts w:cs="Arial"/>
                <w:b/>
                <w:szCs w:val="20"/>
              </w:rPr>
              <w:t>Project Start Date:</w:t>
            </w:r>
          </w:p>
          <w:p w14:paraId="03B9E332" w14:textId="77777777" w:rsidR="00535598" w:rsidRPr="00B66A21" w:rsidRDefault="00D3705C" w:rsidP="0003476C">
            <w:pPr>
              <w:ind w:right="-720"/>
              <w:rPr>
                <w:rFonts w:cs="Arial"/>
                <w:szCs w:val="20"/>
              </w:rPr>
            </w:pPr>
            <w:r>
              <w:rPr>
                <w:rFonts w:cs="Arial"/>
                <w:szCs w:val="20"/>
              </w:rPr>
              <w:t xml:space="preserve"> </w:t>
            </w:r>
          </w:p>
          <w:p w14:paraId="06C3AD8D" w14:textId="77777777" w:rsidR="00535598" w:rsidRPr="00B66A21" w:rsidRDefault="00535598" w:rsidP="0003476C">
            <w:pPr>
              <w:ind w:right="-720"/>
              <w:rPr>
                <w:rFonts w:cs="Arial"/>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cs="Arial"/>
                <w:b/>
                <w:szCs w:val="20"/>
              </w:rPr>
            </w:pPr>
            <w:r w:rsidRPr="00C13753">
              <w:rPr>
                <w:rFonts w:cs="Arial"/>
                <w:b/>
                <w:szCs w:val="20"/>
              </w:rPr>
              <w:t>Original Project End Date:</w:t>
            </w:r>
          </w:p>
        </w:tc>
        <w:tc>
          <w:tcPr>
            <w:tcW w:w="3330" w:type="dxa"/>
            <w:gridSpan w:val="2"/>
          </w:tcPr>
          <w:p w14:paraId="0EA7084B" w14:textId="77777777" w:rsidR="00535598" w:rsidRPr="00C13753" w:rsidRDefault="00535598" w:rsidP="0003476C">
            <w:pPr>
              <w:ind w:right="-720"/>
              <w:rPr>
                <w:rFonts w:cs="Arial"/>
                <w:b/>
                <w:szCs w:val="20"/>
              </w:rPr>
            </w:pPr>
            <w:r w:rsidRPr="00C13753">
              <w:rPr>
                <w:rFonts w:cs="Arial"/>
                <w:b/>
                <w:szCs w:val="20"/>
              </w:rPr>
              <w:t>Current Project End Date:</w:t>
            </w:r>
          </w:p>
        </w:tc>
        <w:tc>
          <w:tcPr>
            <w:tcW w:w="3420" w:type="dxa"/>
          </w:tcPr>
          <w:p w14:paraId="65058402" w14:textId="77777777" w:rsidR="00535598" w:rsidRPr="00C13753" w:rsidRDefault="00535598" w:rsidP="0003476C">
            <w:pPr>
              <w:ind w:right="-720"/>
              <w:rPr>
                <w:rFonts w:cs="Arial"/>
                <w:b/>
                <w:szCs w:val="20"/>
              </w:rPr>
            </w:pPr>
            <w:r w:rsidRPr="00C13753">
              <w:rPr>
                <w:rFonts w:cs="Arial"/>
                <w:b/>
                <w:szCs w:val="20"/>
              </w:rPr>
              <w:t>Number of Extensions:</w:t>
            </w:r>
          </w:p>
          <w:p w14:paraId="02A2EA5D" w14:textId="77777777" w:rsidR="00535598" w:rsidRDefault="00535598" w:rsidP="0003476C">
            <w:pPr>
              <w:ind w:right="-720"/>
              <w:rPr>
                <w:rFonts w:cs="Arial"/>
                <w:szCs w:val="20"/>
              </w:rPr>
            </w:pPr>
          </w:p>
          <w:p w14:paraId="2D2B9C79" w14:textId="77777777" w:rsidR="00535598" w:rsidRPr="00B66A21" w:rsidRDefault="00535598" w:rsidP="0003476C">
            <w:pPr>
              <w:ind w:right="-720"/>
              <w:rPr>
                <w:rFonts w:cs="Arial"/>
                <w:szCs w:val="20"/>
              </w:rPr>
            </w:pPr>
          </w:p>
        </w:tc>
      </w:tr>
    </w:tbl>
    <w:p w14:paraId="4F67B50C" w14:textId="77777777" w:rsidR="00551D8A" w:rsidRPr="00B66A21" w:rsidRDefault="00551D8A" w:rsidP="00551D8A">
      <w:pPr>
        <w:spacing w:after="0"/>
        <w:ind w:left="-720" w:right="-720"/>
        <w:rPr>
          <w:rFonts w:cs="Arial"/>
          <w:szCs w:val="20"/>
        </w:rPr>
      </w:pPr>
    </w:p>
    <w:p w14:paraId="2D554428" w14:textId="77777777" w:rsidR="00743C01" w:rsidRPr="00B66A21" w:rsidRDefault="00743C01" w:rsidP="00551D8A">
      <w:pPr>
        <w:spacing w:after="0"/>
        <w:ind w:left="-720" w:right="-720"/>
        <w:rPr>
          <w:rFonts w:cs="Arial"/>
          <w:szCs w:val="20"/>
        </w:rPr>
      </w:pPr>
      <w:r w:rsidRPr="00B66A21">
        <w:rPr>
          <w:rFonts w:cs="Arial"/>
          <w:szCs w:val="20"/>
        </w:rPr>
        <w:t>Project schedule status:</w:t>
      </w:r>
    </w:p>
    <w:p w14:paraId="7F62B44A" w14:textId="77777777" w:rsidR="00743C01" w:rsidRPr="00B66A21" w:rsidRDefault="00BB13ED" w:rsidP="00551D8A">
      <w:pPr>
        <w:spacing w:after="0"/>
        <w:ind w:left="-720" w:right="-720"/>
        <w:rPr>
          <w:rFonts w:cs="Arial"/>
          <w:szCs w:val="20"/>
        </w:rPr>
      </w:pPr>
      <w:r w:rsidRPr="00BB13ED">
        <w:rPr>
          <w:rFonts w:cs="Arial"/>
          <w:sz w:val="32"/>
          <w:szCs w:val="32"/>
        </w:rPr>
        <w:sym w:font="Wingdings" w:char="F0FE"/>
      </w:r>
      <w:r w:rsidR="000A720C">
        <w:rPr>
          <w:rFonts w:cs="Arial"/>
          <w:sz w:val="36"/>
          <w:szCs w:val="36"/>
        </w:rPr>
        <w:t xml:space="preserve"> </w:t>
      </w:r>
      <w:r w:rsidR="00743C01" w:rsidRPr="00B66A21">
        <w:rPr>
          <w:rFonts w:cs="Arial"/>
          <w:szCs w:val="20"/>
        </w:rPr>
        <w:t>On schedule</w:t>
      </w:r>
      <w:r w:rsidR="00743C01" w:rsidRPr="00B66A21">
        <w:rPr>
          <w:rFonts w:cs="Arial"/>
          <w:szCs w:val="20"/>
        </w:rPr>
        <w:tab/>
      </w:r>
      <w:r w:rsidR="00743C01" w:rsidRPr="00B66A21">
        <w:rPr>
          <w:rFonts w:cs="Arial"/>
          <w:sz w:val="36"/>
          <w:szCs w:val="36"/>
        </w:rPr>
        <w:t xml:space="preserve">□ </w:t>
      </w:r>
      <w:r w:rsidR="00743C01" w:rsidRPr="00B66A21">
        <w:rPr>
          <w:rFonts w:cs="Arial"/>
          <w:szCs w:val="20"/>
        </w:rPr>
        <w:t>On revised schedule</w:t>
      </w:r>
      <w:r w:rsidR="00743C01" w:rsidRPr="00B66A21">
        <w:rPr>
          <w:rFonts w:cs="Arial"/>
          <w:szCs w:val="20"/>
        </w:rPr>
        <w:tab/>
      </w:r>
      <w:r w:rsidR="00743C01" w:rsidRPr="00B66A21">
        <w:rPr>
          <w:rFonts w:cs="Arial"/>
          <w:szCs w:val="20"/>
        </w:rPr>
        <w:tab/>
      </w:r>
      <w:r w:rsidR="00743C01" w:rsidRPr="00B66A21">
        <w:rPr>
          <w:rFonts w:cs="Arial"/>
          <w:sz w:val="36"/>
          <w:szCs w:val="36"/>
        </w:rPr>
        <w:t xml:space="preserve">□ </w:t>
      </w:r>
      <w:r w:rsidR="00743C01" w:rsidRPr="00B66A21">
        <w:rPr>
          <w:rFonts w:cs="Arial"/>
          <w:szCs w:val="20"/>
        </w:rPr>
        <w:t>Ahead of schedule</w:t>
      </w:r>
      <w:r w:rsidR="00743C01" w:rsidRPr="00B66A21">
        <w:rPr>
          <w:rFonts w:cs="Arial"/>
          <w:szCs w:val="20"/>
        </w:rPr>
        <w:tab/>
      </w:r>
      <w:r w:rsidR="00743C01" w:rsidRPr="00B66A21">
        <w:rPr>
          <w:rFonts w:cs="Arial"/>
          <w:szCs w:val="20"/>
        </w:rPr>
        <w:tab/>
      </w:r>
      <w:r w:rsidR="00743C01" w:rsidRPr="00B66A21">
        <w:rPr>
          <w:rFonts w:cs="Arial"/>
          <w:sz w:val="36"/>
          <w:szCs w:val="36"/>
        </w:rPr>
        <w:t>□</w:t>
      </w:r>
      <w:r w:rsidR="00743C01" w:rsidRPr="00B66A21">
        <w:rPr>
          <w:rFonts w:cs="Arial"/>
          <w:szCs w:val="20"/>
        </w:rPr>
        <w:t xml:space="preserve"> Behind schedule</w:t>
      </w:r>
    </w:p>
    <w:p w14:paraId="2AB3886D" w14:textId="77777777" w:rsidR="00743C01" w:rsidRPr="00B66A21" w:rsidRDefault="00743C01" w:rsidP="00551D8A">
      <w:pPr>
        <w:spacing w:after="0"/>
        <w:ind w:left="-720" w:right="-720"/>
        <w:rPr>
          <w:rFonts w:cs="Arial"/>
          <w:szCs w:val="20"/>
        </w:rPr>
      </w:pPr>
    </w:p>
    <w:p w14:paraId="10CF4DC9" w14:textId="77777777" w:rsidR="00743C01" w:rsidRPr="00B66A21" w:rsidRDefault="00B66A21" w:rsidP="00B66A21">
      <w:pPr>
        <w:tabs>
          <w:tab w:val="left" w:pos="1230"/>
        </w:tabs>
        <w:spacing w:after="0"/>
        <w:ind w:left="-720" w:right="-720"/>
        <w:rPr>
          <w:rFonts w:cs="Arial"/>
          <w:szCs w:val="20"/>
        </w:rPr>
      </w:pPr>
      <w:r>
        <w:rPr>
          <w:rFonts w:cs="Arial"/>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cs="Arial"/>
                <w:b/>
                <w:szCs w:val="20"/>
              </w:rPr>
            </w:pPr>
            <w:r w:rsidRPr="00C13753">
              <w:rPr>
                <w:rFonts w:cs="Arial"/>
                <w:b/>
                <w:szCs w:val="20"/>
              </w:rPr>
              <w:t xml:space="preserve">                  </w:t>
            </w:r>
            <w:r w:rsidR="00874EF7" w:rsidRPr="00C13753">
              <w:rPr>
                <w:rFonts w:cs="Arial"/>
                <w:b/>
                <w:szCs w:val="20"/>
              </w:rPr>
              <w:t>Total Project Budget</w:t>
            </w:r>
          </w:p>
        </w:tc>
        <w:tc>
          <w:tcPr>
            <w:tcW w:w="3330" w:type="dxa"/>
            <w:shd w:val="pct15" w:color="auto" w:fill="auto"/>
          </w:tcPr>
          <w:p w14:paraId="302AB7C6" w14:textId="77777777" w:rsidR="00874EF7" w:rsidRPr="00C13753" w:rsidRDefault="00B2185C" w:rsidP="00874EF7">
            <w:pPr>
              <w:ind w:right="-720"/>
              <w:rPr>
                <w:rFonts w:cs="Arial"/>
                <w:b/>
                <w:szCs w:val="20"/>
              </w:rPr>
            </w:pPr>
            <w:r w:rsidRPr="00C13753">
              <w:rPr>
                <w:rFonts w:cs="Arial"/>
                <w:b/>
                <w:szCs w:val="20"/>
              </w:rPr>
              <w:t xml:space="preserve">    </w:t>
            </w:r>
            <w:r w:rsidR="00874EF7" w:rsidRPr="00C13753">
              <w:rPr>
                <w:rFonts w:cs="Arial"/>
                <w:b/>
                <w:szCs w:val="20"/>
              </w:rPr>
              <w:t xml:space="preserve">Total </w:t>
            </w:r>
            <w:r w:rsidR="00B66A21" w:rsidRPr="00C13753">
              <w:rPr>
                <w:rFonts w:cs="Arial"/>
                <w:b/>
                <w:szCs w:val="20"/>
              </w:rPr>
              <w:t>Cost to Date for Project</w:t>
            </w:r>
          </w:p>
        </w:tc>
        <w:tc>
          <w:tcPr>
            <w:tcW w:w="3420" w:type="dxa"/>
            <w:shd w:val="pct15" w:color="auto" w:fill="auto"/>
          </w:tcPr>
          <w:p w14:paraId="06EE61A7" w14:textId="77777777" w:rsidR="00547EE3" w:rsidRDefault="00547EE3" w:rsidP="00547EE3">
            <w:pPr>
              <w:ind w:right="-720"/>
              <w:rPr>
                <w:rFonts w:cs="Arial"/>
                <w:b/>
                <w:szCs w:val="20"/>
              </w:rPr>
            </w:pPr>
            <w:r>
              <w:rPr>
                <w:rFonts w:cs="Arial"/>
                <w:b/>
                <w:szCs w:val="20"/>
              </w:rPr>
              <w:t xml:space="preserve">          </w:t>
            </w:r>
            <w:r w:rsidR="00B66A21" w:rsidRPr="00C13753">
              <w:rPr>
                <w:rFonts w:cs="Arial"/>
                <w:b/>
                <w:szCs w:val="20"/>
              </w:rPr>
              <w:t xml:space="preserve">Percentage of </w:t>
            </w:r>
            <w:r w:rsidR="00874EF7" w:rsidRPr="00C13753">
              <w:rPr>
                <w:rFonts w:cs="Arial"/>
                <w:b/>
                <w:szCs w:val="20"/>
              </w:rPr>
              <w:t>Work</w:t>
            </w:r>
            <w:r>
              <w:rPr>
                <w:rFonts w:cs="Arial"/>
                <w:b/>
                <w:szCs w:val="20"/>
              </w:rPr>
              <w:t xml:space="preserve"> </w:t>
            </w:r>
          </w:p>
          <w:p w14:paraId="1114B1A6" w14:textId="77777777" w:rsidR="00874EF7" w:rsidRPr="00C13753" w:rsidRDefault="00547EE3" w:rsidP="00547EE3">
            <w:pPr>
              <w:ind w:right="-720"/>
              <w:rPr>
                <w:rFonts w:cs="Arial"/>
                <w:b/>
                <w:szCs w:val="20"/>
              </w:rPr>
            </w:pPr>
            <w:r>
              <w:rPr>
                <w:rFonts w:cs="Arial"/>
                <w:b/>
                <w:szCs w:val="20"/>
              </w:rPr>
              <w:t xml:space="preserve">           </w:t>
            </w:r>
            <w:r w:rsidR="00874EF7" w:rsidRPr="00C13753">
              <w:rPr>
                <w:rFonts w:cs="Arial"/>
                <w:b/>
                <w:szCs w:val="20"/>
              </w:rPr>
              <w:t>Completed</w:t>
            </w:r>
            <w:r>
              <w:rPr>
                <w:rFonts w:cs="Arial"/>
                <w:b/>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cs="Arial"/>
                <w:szCs w:val="20"/>
              </w:rPr>
            </w:pPr>
            <w:r>
              <w:rPr>
                <w:rFonts w:cs="Arial"/>
                <w:szCs w:val="20"/>
              </w:rPr>
              <w:t xml:space="preserve"> </w:t>
            </w:r>
          </w:p>
        </w:tc>
        <w:tc>
          <w:tcPr>
            <w:tcW w:w="3330" w:type="dxa"/>
          </w:tcPr>
          <w:p w14:paraId="353D1145" w14:textId="77777777" w:rsidR="00874EF7" w:rsidRPr="00B66A21" w:rsidRDefault="00D3705C" w:rsidP="00551D8A">
            <w:pPr>
              <w:ind w:right="-720"/>
              <w:rPr>
                <w:rFonts w:cs="Arial"/>
                <w:szCs w:val="20"/>
              </w:rPr>
            </w:pPr>
            <w:r>
              <w:rPr>
                <w:rFonts w:cs="Arial"/>
                <w:szCs w:val="20"/>
              </w:rPr>
              <w:t xml:space="preserve"> </w:t>
            </w:r>
          </w:p>
        </w:tc>
        <w:tc>
          <w:tcPr>
            <w:tcW w:w="3420" w:type="dxa"/>
          </w:tcPr>
          <w:p w14:paraId="784E4C63" w14:textId="77777777" w:rsidR="00874EF7" w:rsidRPr="00B66A21" w:rsidRDefault="00D3705C" w:rsidP="00551D8A">
            <w:pPr>
              <w:ind w:right="-720"/>
              <w:rPr>
                <w:rFonts w:cs="Arial"/>
                <w:szCs w:val="20"/>
              </w:rPr>
            </w:pPr>
            <w:r>
              <w:rPr>
                <w:rFonts w:cs="Arial"/>
                <w:szCs w:val="20"/>
              </w:rPr>
              <w:t xml:space="preserve"> </w:t>
            </w:r>
          </w:p>
          <w:p w14:paraId="40CD854D" w14:textId="77777777" w:rsidR="00874EF7" w:rsidRPr="00B66A21" w:rsidRDefault="00874EF7" w:rsidP="00551D8A">
            <w:pPr>
              <w:ind w:right="-720"/>
              <w:rPr>
                <w:rFonts w:cs="Arial"/>
                <w:szCs w:val="20"/>
              </w:rPr>
            </w:pPr>
          </w:p>
        </w:tc>
      </w:tr>
    </w:tbl>
    <w:p w14:paraId="1EE3EDC0" w14:textId="77777777" w:rsidR="00743C01" w:rsidRDefault="00743C01" w:rsidP="00551D8A">
      <w:pPr>
        <w:spacing w:after="0"/>
        <w:ind w:left="-720" w:right="-720"/>
        <w:rPr>
          <w:rFonts w:cs="Arial"/>
          <w:szCs w:val="20"/>
        </w:rPr>
      </w:pPr>
    </w:p>
    <w:p w14:paraId="628A602B" w14:textId="77777777" w:rsidR="00B66A21" w:rsidRDefault="00B66A21" w:rsidP="00551D8A">
      <w:pPr>
        <w:spacing w:after="0"/>
        <w:ind w:left="-720" w:right="-720"/>
        <w:rPr>
          <w:rFonts w:cs="Arial"/>
          <w:szCs w:val="20"/>
        </w:rPr>
      </w:pPr>
      <w:r w:rsidRPr="004E14DC">
        <w:rPr>
          <w:rFonts w:cs="Arial"/>
          <w:b/>
          <w:i/>
          <w:szCs w:val="20"/>
        </w:rPr>
        <w:t>Quarterly</w:t>
      </w:r>
      <w:r>
        <w:rPr>
          <w:rFonts w:cs="Arial"/>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cs="Arial"/>
                <w:b/>
                <w:szCs w:val="20"/>
              </w:rPr>
            </w:pPr>
            <w:r>
              <w:rPr>
                <w:rFonts w:cs="Arial"/>
                <w:b/>
                <w:szCs w:val="20"/>
              </w:rPr>
              <w:t xml:space="preserve">               </w:t>
            </w:r>
            <w:r w:rsidR="00547EE3">
              <w:rPr>
                <w:rFonts w:cs="Arial"/>
                <w:b/>
                <w:szCs w:val="20"/>
              </w:rPr>
              <w:t xml:space="preserve">Total Project Expenses </w:t>
            </w:r>
          </w:p>
          <w:p w14:paraId="48BB85FF" w14:textId="77777777" w:rsidR="00B66A21" w:rsidRPr="00C13753" w:rsidRDefault="004144E6" w:rsidP="004144E6">
            <w:pPr>
              <w:ind w:right="-720"/>
              <w:rPr>
                <w:rFonts w:cs="Arial"/>
                <w:b/>
                <w:szCs w:val="20"/>
              </w:rPr>
            </w:pPr>
            <w:r>
              <w:rPr>
                <w:rFonts w:cs="Arial"/>
                <w:b/>
                <w:szCs w:val="20"/>
              </w:rPr>
              <w:t xml:space="preserve">          </w:t>
            </w:r>
            <w:r w:rsidR="00547EE3">
              <w:rPr>
                <w:rFonts w:cs="Arial"/>
                <w:b/>
                <w:szCs w:val="20"/>
              </w:rPr>
              <w:t>and Percentage This Quarter</w:t>
            </w:r>
          </w:p>
        </w:tc>
        <w:tc>
          <w:tcPr>
            <w:tcW w:w="3330" w:type="dxa"/>
            <w:shd w:val="pct15" w:color="auto" w:fill="auto"/>
          </w:tcPr>
          <w:p w14:paraId="2CB4D5CC" w14:textId="313E86D5" w:rsidR="00C13753" w:rsidRDefault="00B2185C" w:rsidP="004E14DC">
            <w:pPr>
              <w:ind w:right="-720"/>
              <w:rPr>
                <w:rFonts w:cs="Arial"/>
                <w:b/>
                <w:szCs w:val="20"/>
              </w:rPr>
            </w:pPr>
            <w:r w:rsidRPr="00C13753">
              <w:rPr>
                <w:rFonts w:cs="Arial"/>
                <w:b/>
                <w:szCs w:val="20"/>
              </w:rPr>
              <w:t xml:space="preserve"> </w:t>
            </w:r>
            <w:r w:rsidR="00C13753">
              <w:rPr>
                <w:rFonts w:cs="Arial"/>
                <w:b/>
                <w:szCs w:val="20"/>
              </w:rPr>
              <w:t xml:space="preserve">    </w:t>
            </w:r>
            <w:r w:rsidR="004E14DC" w:rsidRPr="00C13753">
              <w:rPr>
                <w:rFonts w:cs="Arial"/>
                <w:b/>
                <w:szCs w:val="20"/>
              </w:rPr>
              <w:t xml:space="preserve">Total Amount </w:t>
            </w:r>
            <w:r w:rsidR="00A43875" w:rsidRPr="00C13753">
              <w:rPr>
                <w:rFonts w:cs="Arial"/>
                <w:b/>
                <w:szCs w:val="20"/>
              </w:rPr>
              <w:t xml:space="preserve">of </w:t>
            </w:r>
            <w:r w:rsidR="00B66A21" w:rsidRPr="00C13753">
              <w:rPr>
                <w:rFonts w:cs="Arial"/>
                <w:b/>
                <w:szCs w:val="20"/>
              </w:rPr>
              <w:t xml:space="preserve">Funds </w:t>
            </w:r>
          </w:p>
          <w:p w14:paraId="2C2983BF" w14:textId="77777777" w:rsidR="00B66A21" w:rsidRPr="00C13753" w:rsidRDefault="00C13753" w:rsidP="00C13753">
            <w:pPr>
              <w:ind w:right="-720"/>
              <w:rPr>
                <w:rFonts w:cs="Arial"/>
                <w:b/>
                <w:szCs w:val="20"/>
              </w:rPr>
            </w:pPr>
            <w:r>
              <w:rPr>
                <w:rFonts w:cs="Arial"/>
                <w:b/>
                <w:szCs w:val="20"/>
              </w:rPr>
              <w:t xml:space="preserve">      </w:t>
            </w:r>
            <w:r w:rsidR="00B66A21" w:rsidRPr="00C13753">
              <w:rPr>
                <w:rFonts w:cs="Arial"/>
                <w:b/>
                <w:szCs w:val="20"/>
              </w:rPr>
              <w:t>Expended</w:t>
            </w:r>
            <w:r w:rsidR="004E14DC" w:rsidRPr="00C13753">
              <w:rPr>
                <w:rFonts w:cs="Arial"/>
                <w:b/>
                <w:szCs w:val="20"/>
              </w:rPr>
              <w:t xml:space="preserve"> This Quarter</w:t>
            </w:r>
          </w:p>
        </w:tc>
        <w:tc>
          <w:tcPr>
            <w:tcW w:w="3420" w:type="dxa"/>
            <w:shd w:val="pct15" w:color="auto" w:fill="auto"/>
          </w:tcPr>
          <w:p w14:paraId="1E6A0AA0" w14:textId="77777777" w:rsidR="004144E6" w:rsidRDefault="00547EE3" w:rsidP="00547EE3">
            <w:pPr>
              <w:ind w:right="-720"/>
              <w:rPr>
                <w:rFonts w:cs="Arial"/>
                <w:b/>
                <w:szCs w:val="20"/>
              </w:rPr>
            </w:pPr>
            <w:r>
              <w:rPr>
                <w:rFonts w:cs="Arial"/>
                <w:b/>
                <w:szCs w:val="20"/>
              </w:rPr>
              <w:t xml:space="preserve">       </w:t>
            </w:r>
            <w:r w:rsidR="004144E6">
              <w:rPr>
                <w:rFonts w:cs="Arial"/>
                <w:b/>
                <w:szCs w:val="20"/>
              </w:rPr>
              <w:t xml:space="preserve">  Total </w:t>
            </w:r>
            <w:r w:rsidR="004E14DC" w:rsidRPr="00C13753">
              <w:rPr>
                <w:rFonts w:cs="Arial"/>
                <w:b/>
                <w:szCs w:val="20"/>
              </w:rPr>
              <w:t>Percentage</w:t>
            </w:r>
            <w:r w:rsidR="00161153">
              <w:rPr>
                <w:rFonts w:cs="Arial"/>
                <w:b/>
                <w:szCs w:val="20"/>
              </w:rPr>
              <w:t xml:space="preserve"> </w:t>
            </w:r>
            <w:r w:rsidR="004E14DC" w:rsidRPr="00C13753">
              <w:rPr>
                <w:rFonts w:cs="Arial"/>
                <w:b/>
                <w:szCs w:val="20"/>
              </w:rPr>
              <w:t xml:space="preserve">of </w:t>
            </w:r>
          </w:p>
          <w:p w14:paraId="6FD30247" w14:textId="77777777" w:rsidR="000B665A" w:rsidRPr="00C13753" w:rsidRDefault="004144E6" w:rsidP="004144E6">
            <w:pPr>
              <w:ind w:right="-720"/>
              <w:rPr>
                <w:rFonts w:cs="Arial"/>
                <w:b/>
                <w:szCs w:val="20"/>
              </w:rPr>
            </w:pPr>
            <w:r>
              <w:rPr>
                <w:rFonts w:cs="Arial"/>
                <w:b/>
                <w:szCs w:val="20"/>
              </w:rPr>
              <w:t xml:space="preserve">          </w:t>
            </w:r>
            <w:r w:rsidR="00547EE3">
              <w:rPr>
                <w:rFonts w:cs="Arial"/>
                <w:b/>
                <w:szCs w:val="20"/>
              </w:rPr>
              <w:t>Time Used</w:t>
            </w:r>
            <w:r w:rsidR="000B665A">
              <w:rPr>
                <w:rFonts w:cs="Arial"/>
                <w:b/>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cs="Arial"/>
                <w:szCs w:val="20"/>
              </w:rPr>
            </w:pPr>
            <w:r>
              <w:rPr>
                <w:rFonts w:cs="Arial"/>
                <w:szCs w:val="20"/>
              </w:rPr>
              <w:t xml:space="preserve"> </w:t>
            </w:r>
          </w:p>
        </w:tc>
        <w:tc>
          <w:tcPr>
            <w:tcW w:w="3330" w:type="dxa"/>
          </w:tcPr>
          <w:p w14:paraId="629FD28C" w14:textId="77777777" w:rsidR="00B66A21" w:rsidRPr="00B66A21" w:rsidRDefault="00D3705C" w:rsidP="00874EF7">
            <w:pPr>
              <w:ind w:right="-720"/>
              <w:rPr>
                <w:rFonts w:cs="Arial"/>
                <w:szCs w:val="20"/>
              </w:rPr>
            </w:pPr>
            <w:r>
              <w:rPr>
                <w:rFonts w:cs="Arial"/>
                <w:szCs w:val="20"/>
              </w:rPr>
              <w:t xml:space="preserve"> </w:t>
            </w:r>
          </w:p>
        </w:tc>
        <w:tc>
          <w:tcPr>
            <w:tcW w:w="3420" w:type="dxa"/>
          </w:tcPr>
          <w:p w14:paraId="65862C40" w14:textId="77777777" w:rsidR="00B66A21" w:rsidRPr="00B66A21" w:rsidRDefault="00D3705C" w:rsidP="00874EF7">
            <w:pPr>
              <w:ind w:right="-720"/>
              <w:rPr>
                <w:rFonts w:cs="Arial"/>
                <w:szCs w:val="20"/>
              </w:rPr>
            </w:pPr>
            <w:r>
              <w:rPr>
                <w:rFonts w:cs="Arial"/>
                <w:szCs w:val="20"/>
              </w:rPr>
              <w:t xml:space="preserve"> </w:t>
            </w:r>
          </w:p>
          <w:p w14:paraId="3F95B197" w14:textId="77777777" w:rsidR="00B66A21" w:rsidRPr="00B66A21" w:rsidRDefault="00B66A21" w:rsidP="00874EF7">
            <w:pPr>
              <w:ind w:right="-720"/>
              <w:rPr>
                <w:rFonts w:cs="Arial"/>
                <w:szCs w:val="20"/>
              </w:rPr>
            </w:pPr>
          </w:p>
        </w:tc>
      </w:tr>
    </w:tbl>
    <w:p w14:paraId="38EE48AC" w14:textId="77777777" w:rsidR="00037FBC" w:rsidRDefault="00037FBC" w:rsidP="00551D8A">
      <w:pPr>
        <w:spacing w:after="0"/>
        <w:ind w:left="-720" w:right="-720"/>
        <w:rPr>
          <w:rFonts w:cs="Arial"/>
          <w:szCs w:val="20"/>
        </w:rPr>
      </w:pPr>
    </w:p>
    <w:p w14:paraId="084A4D2D" w14:textId="77777777" w:rsidR="00037FBC" w:rsidRDefault="00037FBC">
      <w:pPr>
        <w:rPr>
          <w:rFonts w:cs="Arial"/>
          <w:szCs w:val="20"/>
        </w:rPr>
      </w:pPr>
      <w:r>
        <w:rPr>
          <w:rFonts w:cs="Arial"/>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4D761507" w14:textId="77777777" w:rsidR="00E35E0F" w:rsidRDefault="00E35E0F" w:rsidP="00551D8A">
            <w:pPr>
              <w:ind w:right="-720"/>
              <w:rPr>
                <w:rFonts w:cs="Arial"/>
                <w:b/>
                <w:szCs w:val="20"/>
              </w:rPr>
            </w:pPr>
          </w:p>
          <w:p w14:paraId="7E12CC16" w14:textId="77777777" w:rsidR="00601EBD" w:rsidRDefault="00601EBD" w:rsidP="00D3705C">
            <w:pPr>
              <w:ind w:right="5"/>
              <w:rPr>
                <w:rFonts w:cs="Arial"/>
                <w:szCs w:val="20"/>
              </w:rPr>
            </w:pPr>
            <w:r w:rsidRPr="00601EBD">
              <w:rPr>
                <w:rFonts w:cs="Arial"/>
                <w:b/>
                <w:szCs w:val="20"/>
              </w:rPr>
              <w:t>Project Description</w:t>
            </w:r>
            <w:r>
              <w:rPr>
                <w:rFonts w:cs="Arial"/>
                <w:szCs w:val="20"/>
              </w:rPr>
              <w:t>:</w:t>
            </w:r>
          </w:p>
          <w:p w14:paraId="4EEA37B2" w14:textId="77777777" w:rsidR="00BA622C" w:rsidRDefault="00BA622C" w:rsidP="00D3705C">
            <w:pPr>
              <w:ind w:right="5"/>
              <w:rPr>
                <w:rFonts w:cs="Arial"/>
                <w:szCs w:val="20"/>
              </w:rPr>
            </w:pPr>
          </w:p>
          <w:p w14:paraId="29576C45" w14:textId="77777777" w:rsidR="00BA622C" w:rsidRDefault="00BA622C" w:rsidP="00D3705C">
            <w:pPr>
              <w:ind w:right="5"/>
              <w:rPr>
                <w:rFonts w:cs="Arial"/>
                <w:szCs w:val="20"/>
              </w:rPr>
            </w:pPr>
            <w:r w:rsidRPr="00BA622C">
              <w:rPr>
                <w:rFonts w:cs="Arial"/>
                <w:szCs w:val="20"/>
              </w:rPr>
              <w:t>The Federal Highway Administration established an Inter-Agency Agreement (IAA) with the Department of Energy’s (DOE) Argonne National Laboratory (ANL) Transportation Analysis Research Computing Center (TRACC) to get access and support for High Performance Computational Fluid Dynamics (CFD) modeling for highway hydraulics research conducted at the Turner-Fairbank Highway Research Center (TFHRC) Hydraulics Laboratory. TRACC was established in October 2006 to serve as a high-performance computing center for use by U.S. Department of Transportation (USDOT) research teams, including those from Argonne and their university partners. The objective of this cooperative project is to</w:t>
            </w:r>
            <w:r>
              <w:rPr>
                <w:rFonts w:cs="Arial"/>
                <w:szCs w:val="20"/>
              </w:rPr>
              <w:t>:</w:t>
            </w:r>
          </w:p>
          <w:p w14:paraId="6DC7E2F9" w14:textId="77777777" w:rsidR="00BA622C" w:rsidRDefault="00BA622C" w:rsidP="00D3705C">
            <w:pPr>
              <w:ind w:right="5"/>
              <w:rPr>
                <w:rFonts w:cs="Arial"/>
                <w:szCs w:val="20"/>
              </w:rPr>
            </w:pPr>
          </w:p>
          <w:p w14:paraId="3EA31C1A" w14:textId="77777777" w:rsidR="00BA622C" w:rsidRDefault="00BA622C" w:rsidP="00D3705C">
            <w:pPr>
              <w:pStyle w:val="ListParagraph"/>
              <w:numPr>
                <w:ilvl w:val="0"/>
                <w:numId w:val="1"/>
              </w:numPr>
              <w:ind w:right="5"/>
              <w:rPr>
                <w:rFonts w:cs="Arial"/>
                <w:szCs w:val="20"/>
              </w:rPr>
            </w:pPr>
            <w:r w:rsidRPr="00BA622C">
              <w:rPr>
                <w:rFonts w:cs="Arial"/>
                <w:szCs w:val="20"/>
              </w:rPr>
              <w:t>Provide research and analysis for a variety of highway hydraulics projects manage</w:t>
            </w:r>
            <w:r w:rsidR="00CF54CD">
              <w:rPr>
                <w:rFonts w:cs="Arial"/>
                <w:szCs w:val="20"/>
              </w:rPr>
              <w:t>d or coordinated by State DOTs.</w:t>
            </w:r>
          </w:p>
          <w:p w14:paraId="7D392419" w14:textId="0B30AD21" w:rsidR="00BA622C" w:rsidRDefault="00BA622C" w:rsidP="00D3705C">
            <w:pPr>
              <w:pStyle w:val="ListParagraph"/>
              <w:numPr>
                <w:ilvl w:val="0"/>
                <w:numId w:val="1"/>
              </w:numPr>
              <w:ind w:right="5"/>
              <w:rPr>
                <w:rFonts w:cs="Arial"/>
                <w:szCs w:val="20"/>
              </w:rPr>
            </w:pPr>
            <w:r w:rsidRPr="00BA622C">
              <w:rPr>
                <w:rFonts w:cs="Arial"/>
                <w:szCs w:val="20"/>
              </w:rPr>
              <w:t xml:space="preserve">Provide and maintain a </w:t>
            </w:r>
            <w:r w:rsidR="00452B4E" w:rsidRPr="00BA622C">
              <w:rPr>
                <w:rFonts w:cs="Arial"/>
                <w:szCs w:val="20"/>
              </w:rPr>
              <w:t>high-performance</w:t>
            </w:r>
            <w:r w:rsidRPr="00BA622C">
              <w:rPr>
                <w:rFonts w:cs="Arial"/>
                <w:szCs w:val="20"/>
              </w:rPr>
              <w:t xml:space="preserve"> Computational Fluid Dynamics (CFD) computing environment for application to highway hydraulics infrastructure and related projects</w:t>
            </w:r>
          </w:p>
          <w:p w14:paraId="3D39C52A" w14:textId="77777777" w:rsidR="00BA622C" w:rsidRDefault="00BA622C" w:rsidP="00D3705C">
            <w:pPr>
              <w:pStyle w:val="ListParagraph"/>
              <w:numPr>
                <w:ilvl w:val="0"/>
                <w:numId w:val="1"/>
              </w:numPr>
              <w:ind w:right="5"/>
              <w:rPr>
                <w:rFonts w:cs="Arial"/>
                <w:szCs w:val="20"/>
              </w:rPr>
            </w:pPr>
            <w:r w:rsidRPr="00BA622C">
              <w:rPr>
                <w:rFonts w:cs="Arial"/>
                <w:szCs w:val="20"/>
              </w:rPr>
              <w:t>Support and seek to broaden the use of CFD among State Department of Transportation employees.</w:t>
            </w:r>
          </w:p>
          <w:p w14:paraId="1A31F99C" w14:textId="77777777" w:rsidR="00BA622C" w:rsidRDefault="00BA622C" w:rsidP="00D3705C">
            <w:pPr>
              <w:ind w:right="5"/>
              <w:rPr>
                <w:rFonts w:cs="Arial"/>
                <w:szCs w:val="20"/>
              </w:rPr>
            </w:pPr>
          </w:p>
          <w:p w14:paraId="2A38A04E" w14:textId="77777777" w:rsidR="00BA622C" w:rsidRDefault="00BA622C" w:rsidP="00D3705C">
            <w:pPr>
              <w:ind w:right="5"/>
              <w:rPr>
                <w:rFonts w:cs="Arial"/>
                <w:szCs w:val="20"/>
              </w:rPr>
            </w:pPr>
            <w:r>
              <w:rPr>
                <w:rFonts w:cs="Arial"/>
                <w:szCs w:val="20"/>
              </w:rPr>
              <w:t>The work includes:</w:t>
            </w:r>
          </w:p>
          <w:p w14:paraId="71DA9F02" w14:textId="77777777" w:rsidR="00BA622C" w:rsidRDefault="00BA622C" w:rsidP="00D3705C">
            <w:pPr>
              <w:ind w:right="5"/>
              <w:rPr>
                <w:rFonts w:cs="Arial"/>
                <w:szCs w:val="20"/>
              </w:rPr>
            </w:pPr>
          </w:p>
          <w:p w14:paraId="505243A4" w14:textId="77777777" w:rsidR="00BA622C" w:rsidRDefault="00BA622C" w:rsidP="00D3705C">
            <w:pPr>
              <w:pStyle w:val="ListParagraph"/>
              <w:numPr>
                <w:ilvl w:val="0"/>
                <w:numId w:val="2"/>
              </w:numPr>
              <w:ind w:right="5"/>
              <w:rPr>
                <w:rFonts w:cs="Arial"/>
                <w:szCs w:val="20"/>
              </w:rPr>
            </w:pPr>
            <w:r w:rsidRPr="00BA622C">
              <w:rPr>
                <w:rFonts w:cs="Arial"/>
                <w:szCs w:val="20"/>
              </w:rPr>
              <w:t>Computational Mechanics Research on a Variety of Projects: The TRACC scientific staff in the computational mechanics focus area will perform research, analysis, and parametric computations as required for projects managed or coordinated by State DOTs.</w:t>
            </w:r>
          </w:p>
          <w:p w14:paraId="54FDDF93" w14:textId="77777777" w:rsidR="00BA622C" w:rsidRDefault="00BA622C" w:rsidP="00D3705C">
            <w:pPr>
              <w:pStyle w:val="ListParagraph"/>
              <w:numPr>
                <w:ilvl w:val="0"/>
                <w:numId w:val="2"/>
              </w:numPr>
              <w:ind w:right="5"/>
              <w:rPr>
                <w:rFonts w:cs="Arial"/>
                <w:szCs w:val="20"/>
              </w:rPr>
            </w:pPr>
            <w:r w:rsidRPr="00BA622C">
              <w:rPr>
                <w:rFonts w:cs="Arial"/>
                <w:szCs w:val="20"/>
              </w:rPr>
              <w:t>Computational Mechanics Research Support: The TRACC support team consisting of highly qualified engineers in the CFD focus areas will provide guidance to users of CFD software on an as needed or periodic basis determined by the State DOTs.</w:t>
            </w:r>
          </w:p>
          <w:p w14:paraId="20B887DE" w14:textId="77777777" w:rsidR="00BA622C" w:rsidRDefault="00BA622C" w:rsidP="00D3705C">
            <w:pPr>
              <w:pStyle w:val="ListParagraph"/>
              <w:numPr>
                <w:ilvl w:val="0"/>
                <w:numId w:val="2"/>
              </w:numPr>
              <w:ind w:right="5"/>
              <w:rPr>
                <w:rFonts w:cs="Arial"/>
                <w:szCs w:val="20"/>
              </w:rPr>
            </w:pPr>
            <w:r w:rsidRPr="00BA622C">
              <w:rPr>
                <w:rFonts w:cs="Arial"/>
                <w:szCs w:val="20"/>
              </w:rPr>
              <w:t>Computing Support: The TRACC team will use the TRACC clusters for work done on projects; The TRACC system administrator will maintain the clusters and work closely with the Argonne system administrator’s community; The TRACC system administrator will also install the latest versions of the STAR-CCM+ CFD software and other software that may be required for accomplishing projects.</w:t>
            </w:r>
          </w:p>
          <w:p w14:paraId="6FCB4F1B" w14:textId="77777777" w:rsidR="00BA622C" w:rsidRPr="00BA622C" w:rsidRDefault="00BA622C" w:rsidP="00D3705C">
            <w:pPr>
              <w:pStyle w:val="ListParagraph"/>
              <w:ind w:right="5"/>
              <w:rPr>
                <w:rFonts w:cs="Arial"/>
                <w:szCs w:val="20"/>
              </w:rPr>
            </w:pPr>
          </w:p>
          <w:p w14:paraId="0B6B96CE" w14:textId="77777777" w:rsidR="00601EBD" w:rsidRDefault="00601EBD" w:rsidP="00D3705C">
            <w:pPr>
              <w:ind w:right="5"/>
              <w:rPr>
                <w:rFonts w:cs="Arial"/>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720C" w:rsidRPr="000A720C" w14:paraId="45F6283F" w14:textId="77777777" w:rsidTr="00BA622C">
              <w:trPr>
                <w:tblCellSpacing w:w="15" w:type="dxa"/>
              </w:trPr>
              <w:tc>
                <w:tcPr>
                  <w:tcW w:w="0" w:type="auto"/>
                  <w:vAlign w:val="center"/>
                </w:tcPr>
                <w:p w14:paraId="1C53430D" w14:textId="77777777" w:rsidR="000A720C" w:rsidRPr="000A720C" w:rsidRDefault="000A720C" w:rsidP="00D3705C">
                  <w:pPr>
                    <w:spacing w:after="240" w:line="240" w:lineRule="auto"/>
                    <w:ind w:right="5"/>
                    <w:rPr>
                      <w:rFonts w:eastAsia="Times New Roman" w:cs="Arial"/>
                      <w:szCs w:val="20"/>
                    </w:rPr>
                  </w:pPr>
                </w:p>
              </w:tc>
            </w:tr>
            <w:tr w:rsidR="000A720C" w:rsidRPr="000A720C" w14:paraId="33CC921F" w14:textId="77777777" w:rsidTr="00BA622C">
              <w:trPr>
                <w:tblCellSpacing w:w="15" w:type="dxa"/>
              </w:trPr>
              <w:tc>
                <w:tcPr>
                  <w:tcW w:w="0" w:type="auto"/>
                  <w:vAlign w:val="center"/>
                </w:tcPr>
                <w:p w14:paraId="271C2E2E" w14:textId="77777777" w:rsidR="000A720C" w:rsidRPr="000A720C" w:rsidRDefault="000A720C" w:rsidP="000A720C">
                  <w:pPr>
                    <w:spacing w:after="0" w:line="240" w:lineRule="auto"/>
                    <w:rPr>
                      <w:rFonts w:eastAsia="Times New Roman" w:cs="Arial"/>
                      <w:szCs w:val="20"/>
                    </w:rPr>
                  </w:pPr>
                </w:p>
              </w:tc>
            </w:tr>
            <w:tr w:rsidR="000A720C" w:rsidRPr="000A720C" w14:paraId="47F6EC41" w14:textId="77777777" w:rsidTr="00BA622C">
              <w:trPr>
                <w:tblCellSpacing w:w="15" w:type="dxa"/>
              </w:trPr>
              <w:tc>
                <w:tcPr>
                  <w:tcW w:w="0" w:type="auto"/>
                  <w:vAlign w:val="center"/>
                </w:tcPr>
                <w:p w14:paraId="39E7645D" w14:textId="77777777" w:rsidR="000A720C" w:rsidRPr="000A720C" w:rsidRDefault="000A720C" w:rsidP="000A720C">
                  <w:pPr>
                    <w:spacing w:after="0" w:line="240" w:lineRule="auto"/>
                    <w:rPr>
                      <w:rFonts w:eastAsia="Times New Roman" w:cs="Arial"/>
                      <w:szCs w:val="20"/>
                    </w:rPr>
                  </w:pPr>
                </w:p>
              </w:tc>
            </w:tr>
          </w:tbl>
          <w:p w14:paraId="0076C6AD" w14:textId="77777777" w:rsidR="00601EBD" w:rsidRDefault="00601EBD" w:rsidP="00551D8A">
            <w:pPr>
              <w:ind w:right="-720"/>
              <w:rPr>
                <w:rFonts w:cs="Arial"/>
                <w:szCs w:val="20"/>
              </w:rPr>
            </w:pPr>
          </w:p>
        </w:tc>
      </w:tr>
    </w:tbl>
    <w:p w14:paraId="233E314D" w14:textId="77777777" w:rsidR="00037FBC" w:rsidRDefault="00037FBC" w:rsidP="00551D8A">
      <w:pPr>
        <w:spacing w:after="0"/>
        <w:ind w:left="-720" w:right="-720"/>
        <w:rPr>
          <w:rFonts w:cs="Arial"/>
          <w:szCs w:val="20"/>
        </w:rPr>
      </w:pPr>
    </w:p>
    <w:p w14:paraId="0EEB3988" w14:textId="77777777" w:rsidR="00C82DD9" w:rsidRDefault="00C82DD9" w:rsidP="001D150C">
      <w:pPr>
        <w:spacing w:after="0"/>
        <w:ind w:right="-720"/>
        <w:rPr>
          <w:rFonts w:cs="Arial"/>
          <w:szCs w:val="20"/>
        </w:rPr>
      </w:pPr>
    </w:p>
    <w:p w14:paraId="0F8FB203" w14:textId="77777777" w:rsidR="001D150C" w:rsidRDefault="001D150C" w:rsidP="001D150C">
      <w:pPr>
        <w:spacing w:after="0"/>
        <w:ind w:right="-720"/>
        <w:rPr>
          <w:rFonts w:cs="Arial"/>
          <w:szCs w:val="20"/>
        </w:rPr>
      </w:pPr>
    </w:p>
    <w:p w14:paraId="1A3F6402" w14:textId="77777777" w:rsidR="00C82DD9" w:rsidRDefault="00C82DD9" w:rsidP="00551D8A">
      <w:pPr>
        <w:spacing w:after="0"/>
        <w:ind w:left="-720" w:right="-720"/>
        <w:rPr>
          <w:rFonts w:cs="Arial"/>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77777777" w:rsidR="00E35E0F" w:rsidRPr="00C82DD9" w:rsidRDefault="00E35E0F" w:rsidP="00652DC0">
            <w:pPr>
              <w:ind w:right="5"/>
              <w:rPr>
                <w:rFonts w:cs="Arial"/>
                <w:b/>
                <w:szCs w:val="20"/>
              </w:rPr>
            </w:pPr>
          </w:p>
          <w:p w14:paraId="667854E6" w14:textId="77777777" w:rsidR="00601EBD" w:rsidRPr="00C82DD9" w:rsidRDefault="00601EBD" w:rsidP="00652DC0">
            <w:pPr>
              <w:ind w:right="5"/>
              <w:rPr>
                <w:rFonts w:cs="Arial"/>
                <w:szCs w:val="20"/>
              </w:rPr>
            </w:pPr>
            <w:r w:rsidRPr="00C82DD9">
              <w:rPr>
                <w:rFonts w:cs="Arial"/>
                <w:b/>
                <w:szCs w:val="20"/>
              </w:rPr>
              <w:t>Progress this Quarter (includes meetings, work plan status, contract status, significant progress, etc.):</w:t>
            </w:r>
          </w:p>
          <w:p w14:paraId="7095062E" w14:textId="77777777" w:rsidR="00601EBD" w:rsidRPr="00C82DD9" w:rsidRDefault="00601EBD" w:rsidP="00652DC0">
            <w:pPr>
              <w:ind w:right="5"/>
              <w:rPr>
                <w:rFonts w:cs="Arial"/>
                <w:szCs w:val="20"/>
              </w:rPr>
            </w:pPr>
          </w:p>
          <w:p w14:paraId="6D0DE389" w14:textId="06029477" w:rsidR="008D596B" w:rsidRPr="00C67A97" w:rsidRDefault="00427459" w:rsidP="00C67A97">
            <w:pPr>
              <w:ind w:right="5"/>
              <w:rPr>
                <w:rFonts w:eastAsia="Times New Roman" w:cs="Arial"/>
                <w:b/>
                <w:szCs w:val="20"/>
              </w:rPr>
            </w:pPr>
            <w:r w:rsidRPr="00C82DD9">
              <w:rPr>
                <w:rFonts w:eastAsia="Times New Roman" w:cs="Arial"/>
                <w:b/>
                <w:szCs w:val="20"/>
              </w:rPr>
              <w:t xml:space="preserve">1: </w:t>
            </w:r>
            <w:r w:rsidRPr="001D150C">
              <w:rPr>
                <w:rFonts w:eastAsia="Times New Roman" w:cs="Arial"/>
                <w:b/>
                <w:szCs w:val="20"/>
              </w:rPr>
              <w:t>Computational Mechanics Research on a Variety of Projects</w:t>
            </w:r>
          </w:p>
          <w:p w14:paraId="4E17C6FB" w14:textId="21CA27EE" w:rsidR="001D150C" w:rsidRPr="0021293D" w:rsidRDefault="00C67A97" w:rsidP="008247FE">
            <w:pPr>
              <w:ind w:right="5"/>
              <w:rPr>
                <w:rFonts w:eastAsia="Times New Roman" w:cs="Arial"/>
                <w:b/>
                <w:szCs w:val="20"/>
              </w:rPr>
            </w:pPr>
            <w:r>
              <w:rPr>
                <w:rFonts w:eastAsia="Times New Roman" w:cs="Arial"/>
                <w:b/>
                <w:szCs w:val="20"/>
              </w:rPr>
              <w:t>1.1</w:t>
            </w:r>
            <w:r w:rsidR="001D150C" w:rsidRPr="0021293D">
              <w:rPr>
                <w:rFonts w:eastAsia="Times New Roman" w:cs="Arial"/>
                <w:b/>
                <w:szCs w:val="20"/>
              </w:rPr>
              <w:t xml:space="preserve">: </w:t>
            </w:r>
            <w:r w:rsidR="008247FE" w:rsidRPr="008247FE">
              <w:rPr>
                <w:rFonts w:eastAsia="Times New Roman" w:cs="Arial"/>
                <w:b/>
                <w:szCs w:val="20"/>
              </w:rPr>
              <w:t xml:space="preserve"> </w:t>
            </w:r>
            <w:r w:rsidR="00CB4405">
              <w:rPr>
                <w:rFonts w:eastAsia="Times New Roman" w:cs="Arial"/>
                <w:b/>
                <w:szCs w:val="20"/>
              </w:rPr>
              <w:t>Hydraulic Study of a SCDOT C</w:t>
            </w:r>
            <w:r>
              <w:rPr>
                <w:rFonts w:eastAsia="Times New Roman" w:cs="Arial"/>
                <w:b/>
                <w:szCs w:val="20"/>
              </w:rPr>
              <w:t xml:space="preserve">atch </w:t>
            </w:r>
            <w:r w:rsidR="00CB4405">
              <w:rPr>
                <w:rFonts w:eastAsia="Times New Roman" w:cs="Arial"/>
                <w:b/>
                <w:szCs w:val="20"/>
              </w:rPr>
              <w:t>B</w:t>
            </w:r>
            <w:r>
              <w:rPr>
                <w:rFonts w:eastAsia="Times New Roman" w:cs="Arial"/>
                <w:b/>
                <w:szCs w:val="20"/>
              </w:rPr>
              <w:t>asin CB16, CB17, and Type 1</w:t>
            </w:r>
          </w:p>
          <w:p w14:paraId="2BF6802A" w14:textId="656E76AB" w:rsidR="00CB4405" w:rsidRDefault="00C67A97" w:rsidP="00CB4405">
            <w:r>
              <w:t xml:space="preserve">Proper design of surface drainage of roadways is essential to minimize flooding and provide traffic safety. Inlets collect the excess storm water from drainage area and discharge it to storm drains. Knowing the hydraulic efficiency of inlets, defined as the percentage of intercepted flow to the total street flow, is necessary </w:t>
            </w:r>
            <w:r w:rsidR="00CB4405">
              <w:t>in drainage design.</w:t>
            </w:r>
            <w:r>
              <w:t xml:space="preserve"> </w:t>
            </w:r>
            <w:r w:rsidR="00CB4405">
              <w:t xml:space="preserve">With this knowledge, </w:t>
            </w:r>
            <w:r>
              <w:t xml:space="preserve">the inlet spacing can be determined such that the system can transport all or majority of the road surface flow during rain events. </w:t>
            </w:r>
            <w:r>
              <w:rPr>
                <w:color w:val="000000" w:themeColor="text1"/>
                <w:szCs w:val="24"/>
              </w:rPr>
              <w:t xml:space="preserve">Catch basins Type 16 and 17 have the same cross-section </w:t>
            </w:r>
            <w:r w:rsidR="00CB4405">
              <w:rPr>
                <w:color w:val="000000" w:themeColor="text1"/>
                <w:szCs w:val="24"/>
              </w:rPr>
              <w:t>showed on the left in Figure 1</w:t>
            </w:r>
            <w:r>
              <w:rPr>
                <w:color w:val="000000" w:themeColor="text1"/>
                <w:szCs w:val="24"/>
              </w:rPr>
              <w:t xml:space="preserve">. They differ with the length of the opening, which is 4 feet for Type 16, and 8 feet for Type 17. </w:t>
            </w:r>
            <w:r w:rsidR="00CB4405">
              <w:rPr>
                <w:color w:val="000000" w:themeColor="text1"/>
                <w:szCs w:val="24"/>
              </w:rPr>
              <w:t xml:space="preserve">Catch basin Type 1 characterizes with a grate covering part of the inlet and a fully open portion on the curb edge, protected with a hood. </w:t>
            </w:r>
            <w:r>
              <w:rPr>
                <w:szCs w:val="24"/>
              </w:rPr>
              <w:t>A cross-section through the inlet is shown</w:t>
            </w:r>
            <w:r w:rsidR="00CB4405">
              <w:rPr>
                <w:szCs w:val="24"/>
              </w:rPr>
              <w:t xml:space="preserve"> on the right</w:t>
            </w:r>
            <w:r>
              <w:rPr>
                <w:szCs w:val="24"/>
              </w:rPr>
              <w:t xml:space="preserve"> in </w:t>
            </w:r>
            <w:r w:rsidR="00CB4405">
              <w:rPr>
                <w:szCs w:val="24"/>
              </w:rPr>
              <w:t>Figure 1</w:t>
            </w:r>
            <w:r>
              <w:rPr>
                <w:color w:val="000000" w:themeColor="text1"/>
                <w:szCs w:val="24"/>
              </w:rPr>
              <w:t>.</w:t>
            </w:r>
            <w:r w:rsidR="00CB4405">
              <w:t xml:space="preserve"> </w:t>
            </w:r>
          </w:p>
          <w:p w14:paraId="59CB7A5A" w14:textId="77777777" w:rsidR="00452B4E" w:rsidRDefault="00452B4E" w:rsidP="00CB4405"/>
          <w:p w14:paraId="4C3AA148" w14:textId="2D3657B8" w:rsidR="00CB4405" w:rsidRDefault="00CB4405" w:rsidP="00CB4405">
            <w:pPr>
              <w:rPr>
                <w:szCs w:val="24"/>
              </w:rPr>
            </w:pPr>
            <w:r>
              <w:t xml:space="preserve">The main goal of the study is to perform a hydraulic efficiency analysis of the three types of catch basins with the use of Computational Fluid Dynamics. </w:t>
            </w:r>
            <w:r>
              <w:rPr>
                <w:color w:val="000000" w:themeColor="text1"/>
                <w:szCs w:val="24"/>
              </w:rPr>
              <w:t xml:space="preserve">CFD analysis will yield the following results: efficiency </w:t>
            </w:r>
            <w:r w:rsidRPr="00731B40">
              <w:rPr>
                <w:szCs w:val="24"/>
              </w:rPr>
              <w:t>curves</w:t>
            </w:r>
            <w:r>
              <w:rPr>
                <w:szCs w:val="24"/>
              </w:rPr>
              <w:t xml:space="preserve"> as function of the spread or volume flow rate, the </w:t>
            </w:r>
            <w:r w:rsidRPr="00731B40">
              <w:rPr>
                <w:szCs w:val="24"/>
              </w:rPr>
              <w:t>longitudinal slope</w:t>
            </w:r>
            <w:r>
              <w:rPr>
                <w:szCs w:val="24"/>
              </w:rPr>
              <w:t>,</w:t>
            </w:r>
            <w:r w:rsidRPr="00731B40">
              <w:rPr>
                <w:szCs w:val="24"/>
              </w:rPr>
              <w:t xml:space="preserve"> and </w:t>
            </w:r>
            <w:r>
              <w:rPr>
                <w:szCs w:val="24"/>
              </w:rPr>
              <w:t xml:space="preserve">the </w:t>
            </w:r>
            <w:r w:rsidRPr="00731B40">
              <w:rPr>
                <w:szCs w:val="24"/>
              </w:rPr>
              <w:t>shoulder width</w:t>
            </w:r>
            <w:r>
              <w:rPr>
                <w:color w:val="000000" w:themeColor="text1"/>
                <w:szCs w:val="24"/>
              </w:rPr>
              <w:t>, and</w:t>
            </w:r>
            <w:r>
              <w:rPr>
                <w:szCs w:val="24"/>
              </w:rPr>
              <w:t xml:space="preserve"> the flow spread</w:t>
            </w:r>
            <w:r w:rsidRPr="00C91733">
              <w:rPr>
                <w:szCs w:val="24"/>
              </w:rPr>
              <w:t xml:space="preserve"> </w:t>
            </w:r>
            <w:r w:rsidRPr="00731B40">
              <w:rPr>
                <w:szCs w:val="24"/>
              </w:rPr>
              <w:t>along the roadway</w:t>
            </w:r>
            <w:r w:rsidRPr="00F61304">
              <w:rPr>
                <w:szCs w:val="24"/>
              </w:rPr>
              <w:t xml:space="preserve"> </w:t>
            </w:r>
            <w:r>
              <w:rPr>
                <w:szCs w:val="24"/>
              </w:rPr>
              <w:t xml:space="preserve">in the vicinity the catch basin inlet. </w:t>
            </w:r>
          </w:p>
          <w:p w14:paraId="13EA604F" w14:textId="043BF595" w:rsidR="00C67A97" w:rsidRPr="00CB4405" w:rsidRDefault="00C67A97" w:rsidP="00C67A97">
            <w:pPr>
              <w:rPr>
                <w:color w:val="000000" w:themeColor="text1"/>
                <w:szCs w:val="24"/>
              </w:rPr>
            </w:pPr>
          </w:p>
          <w:p w14:paraId="6CF7B36C" w14:textId="051560DE" w:rsidR="00C67A97" w:rsidRDefault="00C67A97" w:rsidP="00C67A97">
            <w:pPr>
              <w:jc w:val="center"/>
            </w:pPr>
            <w:r>
              <w:lastRenderedPageBreak/>
              <w:t xml:space="preserve"> </w:t>
            </w:r>
            <w:r w:rsidRPr="00C67A97">
              <w:rPr>
                <w:noProof/>
              </w:rPr>
              <w:drawing>
                <wp:inline distT="0" distB="0" distL="0" distR="0" wp14:anchorId="115EE99F" wp14:editId="33E7E2D1">
                  <wp:extent cx="2955472" cy="1621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4066" b="6627"/>
                          <a:stretch/>
                        </pic:blipFill>
                        <pic:spPr bwMode="auto">
                          <a:xfrm>
                            <a:off x="0" y="0"/>
                            <a:ext cx="2962267" cy="162513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C67A97">
              <w:rPr>
                <w:noProof/>
              </w:rPr>
              <w:drawing>
                <wp:inline distT="0" distB="0" distL="0" distR="0" wp14:anchorId="320D46F3" wp14:editId="29BF6640">
                  <wp:extent cx="2759528" cy="957324"/>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215" r="39559" b="4910"/>
                          <a:stretch/>
                        </pic:blipFill>
                        <pic:spPr bwMode="auto">
                          <a:xfrm>
                            <a:off x="0" y="0"/>
                            <a:ext cx="2766512" cy="959747"/>
                          </a:xfrm>
                          <a:prstGeom prst="rect">
                            <a:avLst/>
                          </a:prstGeom>
                          <a:noFill/>
                          <a:ln>
                            <a:noFill/>
                          </a:ln>
                          <a:extLst>
                            <a:ext uri="{53640926-AAD7-44D8-BBD7-CCE9431645EC}">
                              <a14:shadowObscured xmlns:a14="http://schemas.microsoft.com/office/drawing/2010/main"/>
                            </a:ext>
                          </a:extLst>
                        </pic:spPr>
                      </pic:pic>
                    </a:graphicData>
                  </a:graphic>
                </wp:inline>
              </w:drawing>
            </w:r>
          </w:p>
          <w:p w14:paraId="0B92DFD8" w14:textId="2FABEA94" w:rsidR="00956243" w:rsidRDefault="00C67A97" w:rsidP="00956243">
            <w:r>
              <w:t>Figure 1</w:t>
            </w:r>
            <w:r w:rsidR="00337770">
              <w:t xml:space="preserve">. </w:t>
            </w:r>
            <w:r>
              <w:t>Cross section through the inlets Type 16 (17), and Type 1</w:t>
            </w:r>
          </w:p>
          <w:p w14:paraId="0C68CDA6" w14:textId="77777777" w:rsidR="00CB4405" w:rsidRDefault="00CB4405" w:rsidP="00CB4405"/>
          <w:p w14:paraId="1D3716D7" w14:textId="77777777" w:rsidR="00452B4E" w:rsidRDefault="00CB4405" w:rsidP="00CB4405">
            <w:pPr>
              <w:rPr>
                <w:szCs w:val="24"/>
              </w:rPr>
            </w:pPr>
            <w:r>
              <w:rPr>
                <w:szCs w:val="24"/>
              </w:rPr>
              <w:t>The results of the analysis will be combined in a spreadsheet with programmed calculations that will allow the engineers to design drainage on South Carolina roads. Additionally, a</w:t>
            </w:r>
            <w:r w:rsidRPr="00F40DD5">
              <w:rPr>
                <w:szCs w:val="24"/>
              </w:rPr>
              <w:t xml:space="preserve"> manual </w:t>
            </w:r>
            <w:r>
              <w:rPr>
                <w:szCs w:val="24"/>
              </w:rPr>
              <w:t xml:space="preserve">will </w:t>
            </w:r>
            <w:r w:rsidRPr="00F40DD5">
              <w:rPr>
                <w:szCs w:val="24"/>
              </w:rPr>
              <w:t xml:space="preserve">be </w:t>
            </w:r>
            <w:r>
              <w:rPr>
                <w:szCs w:val="24"/>
              </w:rPr>
              <w:t>provided to SCDOT, which will</w:t>
            </w:r>
            <w:r w:rsidRPr="00F40DD5">
              <w:rPr>
                <w:szCs w:val="24"/>
              </w:rPr>
              <w:t xml:space="preserve"> include information</w:t>
            </w:r>
            <w:r>
              <w:rPr>
                <w:szCs w:val="24"/>
              </w:rPr>
              <w:t xml:space="preserve"> about the methods of development of the efficiency curves and drainage calculations, </w:t>
            </w:r>
            <w:proofErr w:type="gramStart"/>
            <w:r>
              <w:rPr>
                <w:szCs w:val="24"/>
              </w:rPr>
              <w:t>and also</w:t>
            </w:r>
            <w:proofErr w:type="gramEnd"/>
            <w:r>
              <w:rPr>
                <w:szCs w:val="24"/>
              </w:rPr>
              <w:t xml:space="preserve"> instructions on how to use them in the design process.</w:t>
            </w:r>
            <w:r w:rsidRPr="00F40DD5">
              <w:rPr>
                <w:szCs w:val="24"/>
              </w:rPr>
              <w:t xml:space="preserve"> This will allow SCDOT to modify and create new design information due to changes in roadway and hydraulic design requirements. </w:t>
            </w:r>
            <w:r>
              <w:rPr>
                <w:szCs w:val="24"/>
              </w:rPr>
              <w:t>Also</w:t>
            </w:r>
            <w:r w:rsidRPr="00F40DD5">
              <w:rPr>
                <w:szCs w:val="24"/>
              </w:rPr>
              <w:t xml:space="preserve">, </w:t>
            </w:r>
            <w:r>
              <w:rPr>
                <w:szCs w:val="24"/>
              </w:rPr>
              <w:t xml:space="preserve">a description of the analysis case runs will be included, covering </w:t>
            </w:r>
            <w:r w:rsidRPr="00F40DD5">
              <w:rPr>
                <w:szCs w:val="24"/>
              </w:rPr>
              <w:t xml:space="preserve">all data from the </w:t>
            </w:r>
            <w:r>
              <w:rPr>
                <w:szCs w:val="24"/>
              </w:rPr>
              <w:t>simulations</w:t>
            </w:r>
            <w:r w:rsidRPr="00F40DD5">
              <w:rPr>
                <w:szCs w:val="24"/>
              </w:rPr>
              <w:t xml:space="preserve"> and programing explanations.</w:t>
            </w:r>
          </w:p>
          <w:p w14:paraId="24B8C2A7" w14:textId="6E21AEAD" w:rsidR="00CB4405" w:rsidRPr="00326EB3" w:rsidRDefault="00CB4405" w:rsidP="00CB4405">
            <w:pPr>
              <w:rPr>
                <w:szCs w:val="24"/>
              </w:rPr>
            </w:pPr>
            <w:r>
              <w:rPr>
                <w:szCs w:val="24"/>
              </w:rPr>
              <w:t xml:space="preserve"> </w:t>
            </w:r>
          </w:p>
          <w:p w14:paraId="5F103C76" w14:textId="6573F079" w:rsidR="00CB4405" w:rsidRDefault="00CB4405" w:rsidP="00CB4405">
            <w:r w:rsidRPr="006B7D78">
              <w:t xml:space="preserve">The computational model </w:t>
            </w:r>
            <w:r>
              <w:t xml:space="preserve">used in the study </w:t>
            </w:r>
            <w:r w:rsidRPr="006B7D78">
              <w:t xml:space="preserve">resembles the one used in </w:t>
            </w:r>
            <w:r>
              <w:t xml:space="preserve">the previous research of catch basin CB25 </w:t>
            </w:r>
            <w:r w:rsidRPr="006B7D78">
              <w:t>[</w:t>
            </w:r>
            <w:r>
              <w:t>1]</w:t>
            </w:r>
            <w:r w:rsidRPr="006B7D78">
              <w:t>.</w:t>
            </w:r>
            <w:r>
              <w:t xml:space="preserve"> It is a full-scale model of a section of a road with an inlet. The width of the section is limited by a road crown on one side, and a curb on the other side. </w:t>
            </w:r>
          </w:p>
          <w:p w14:paraId="2BDD3EE8" w14:textId="77777777" w:rsidR="00452B4E" w:rsidRDefault="00452B4E" w:rsidP="00CB4405"/>
          <w:p w14:paraId="2478494B" w14:textId="15B1AD5A" w:rsidR="00CB4405" w:rsidRDefault="00CB4405" w:rsidP="00CB4405">
            <w:r>
              <w:t xml:space="preserve">[1] Sitek M.A., Lottes S.A., Sinha N., Hydraulic Study of the </w:t>
            </w:r>
            <w:r w:rsidRPr="00E67A03">
              <w:t xml:space="preserve">South Carolina </w:t>
            </w:r>
            <w:r>
              <w:t>DOT Catch Basin Type 25, technical report ANL-19/20, 2019</w:t>
            </w:r>
          </w:p>
          <w:p w14:paraId="4174598B" w14:textId="77777777" w:rsidR="00C67A97" w:rsidRDefault="00C67A97" w:rsidP="00FF0302"/>
          <w:p w14:paraId="536FB80A" w14:textId="5AD40505" w:rsidR="00320459" w:rsidRDefault="00C67A97" w:rsidP="0067433A">
            <w:pPr>
              <w:ind w:left="-23" w:right="5" w:firstLine="23"/>
              <w:rPr>
                <w:rFonts w:eastAsia="Times New Roman" w:cs="Arial"/>
                <w:b/>
                <w:szCs w:val="20"/>
              </w:rPr>
            </w:pPr>
            <w:r>
              <w:rPr>
                <w:rFonts w:eastAsia="Times New Roman" w:cs="Arial"/>
                <w:b/>
                <w:szCs w:val="20"/>
              </w:rPr>
              <w:t>1.2</w:t>
            </w:r>
            <w:r w:rsidRPr="0021293D">
              <w:rPr>
                <w:rFonts w:eastAsia="Times New Roman" w:cs="Arial"/>
                <w:b/>
                <w:szCs w:val="20"/>
              </w:rPr>
              <w:t xml:space="preserve">: </w:t>
            </w:r>
            <w:r w:rsidRPr="008247FE">
              <w:rPr>
                <w:rFonts w:eastAsia="Times New Roman" w:cs="Arial"/>
                <w:b/>
                <w:szCs w:val="20"/>
              </w:rPr>
              <w:t xml:space="preserve"> </w:t>
            </w:r>
            <w:r w:rsidR="00CB4405">
              <w:rPr>
                <w:rFonts w:eastAsia="Times New Roman" w:cs="Arial"/>
                <w:b/>
                <w:szCs w:val="20"/>
              </w:rPr>
              <w:t>Three-Dimensional CFD Analysis of Construction Design Alternatives for an ERDC Coastal and Hydraulics Laboratory Flow Accelerator</w:t>
            </w:r>
          </w:p>
          <w:p w14:paraId="50B5DE5B" w14:textId="2B76DA3B" w:rsidR="008243FB" w:rsidRDefault="00EC2ED4" w:rsidP="008243FB">
            <w:r>
              <w:t>Three-dimensional Computational Fluid Dynamics (CFD) analysis was used for design of an Engineer Research and Development Center (ERDC) Coastal and Hydraulics Laboratory flow accelerator for a flume with a 10 ft wide channel. The design is based on the plans of the existing Turner-Fairbank Highway Research Center (TFHRC) J. Sterling Jones Hydraulics Research Laboratory fiberglass flume inlet, and it was scaled up to meet the ERDC experimental requirements.</w:t>
            </w:r>
          </w:p>
          <w:p w14:paraId="2BA5CCB3" w14:textId="61C301CD" w:rsidR="008243FB" w:rsidRDefault="008243FB" w:rsidP="008243FB">
            <w:r>
              <w:t xml:space="preserve">The flow enters the TFHRC hydraulic flume through a PVC pipe into a perforated distribution pipe in the reservoir that spans the inlet region from the bottom </w:t>
            </w:r>
            <w:r w:rsidRPr="006055DD">
              <w:t xml:space="preserve">to the top of the accelerator and is capped on the top to eliminate spillage of water. The </w:t>
            </w:r>
            <w:r>
              <w:t>distribution pipe is perforated with</w:t>
            </w:r>
            <w:r w:rsidRPr="006055DD">
              <w:t xml:space="preserve"> </w:t>
            </w:r>
            <w:proofErr w:type="gramStart"/>
            <w:r w:rsidR="00CF77CF">
              <w:t>one inch</w:t>
            </w:r>
            <w:proofErr w:type="gramEnd"/>
            <w:r w:rsidRPr="006055DD">
              <w:t xml:space="preserve"> diameter</w:t>
            </w:r>
            <w:r>
              <w:t xml:space="preserve"> circular holes.</w:t>
            </w:r>
            <w:r w:rsidRPr="006055DD">
              <w:t xml:space="preserve"> </w:t>
            </w:r>
            <w:r>
              <w:t>The shape of the back wall of the accelerator is defined by</w:t>
            </w:r>
            <w:r w:rsidR="00712E94">
              <w:t xml:space="preserve"> two symmetric spiral functions that</w:t>
            </w:r>
            <w:r>
              <w:t xml:space="preserve"> is followed by a straight section, which ends with </w:t>
            </w:r>
            <w:r w:rsidRPr="00AE2E03">
              <w:t>three</w:t>
            </w:r>
            <w:r>
              <w:t xml:space="preserve"> frames, where</w:t>
            </w:r>
            <w:r w:rsidRPr="00AE2E03">
              <w:t xml:space="preserve"> honeycomb</w:t>
            </w:r>
            <w:r>
              <w:t xml:space="preserve">s can be installed. Currently, one honeycomb is installed in the downstream frame and it efficiently reduces the lateral turbulence. The frames also allow for installation of mesh screens whose goal is to additionally straighten the flow by reducing the axial turbulence. The honeycomb and screens straighten the flow before it gets into the converging part of the accelerator where the walls converge laterally and vertically. The discharge in the TFHRC flume is usually about 30 </w:t>
            </w:r>
            <w:proofErr w:type="spellStart"/>
            <w:r>
              <w:t>cfs</w:t>
            </w:r>
            <w:proofErr w:type="spellEnd"/>
            <w:r>
              <w:t>.</w:t>
            </w:r>
          </w:p>
          <w:p w14:paraId="1129062B" w14:textId="77777777" w:rsidR="00452B4E" w:rsidRDefault="00452B4E" w:rsidP="008243FB"/>
          <w:p w14:paraId="0EB0EC5A" w14:textId="20C4A33F" w:rsidR="008243FB" w:rsidRDefault="008243FB" w:rsidP="008243FB">
            <w:r>
              <w:t xml:space="preserve">The researchers at the ERDC are in need of a </w:t>
            </w:r>
            <w:proofErr w:type="gramStart"/>
            <w:r>
              <w:t>10 foot wide</w:t>
            </w:r>
            <w:proofErr w:type="gramEnd"/>
            <w:r>
              <w:t xml:space="preserve"> flume channel to perform experiments in a wide variety of flow conditions with a discharge into the flume of about 60 </w:t>
            </w:r>
            <w:proofErr w:type="spellStart"/>
            <w:r>
              <w:t>cfs</w:t>
            </w:r>
            <w:proofErr w:type="spellEnd"/>
            <w:r>
              <w:t xml:space="preserve">. The new design of the flume inlet needs to accommodate the higher flow rates and retain the uniformity of the flow in the channel, i.e. the velocity of the flow in the test section should have very low components in the two directions perpendicular to the main flow direction. </w:t>
            </w:r>
          </w:p>
          <w:p w14:paraId="694EADB0" w14:textId="429C4921" w:rsidR="008243FB" w:rsidRDefault="008243FB" w:rsidP="008243FB">
            <w:pPr>
              <w:jc w:val="center"/>
            </w:pPr>
            <w:r>
              <w:rPr>
                <w:noProof/>
              </w:rPr>
              <w:lastRenderedPageBreak/>
              <w:drawing>
                <wp:inline distT="0" distB="0" distL="0" distR="0" wp14:anchorId="05D40511" wp14:editId="4272A121">
                  <wp:extent cx="4588329" cy="1997590"/>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7200" cy="2001452"/>
                          </a:xfrm>
                          <a:prstGeom prst="rect">
                            <a:avLst/>
                          </a:prstGeom>
                        </pic:spPr>
                      </pic:pic>
                    </a:graphicData>
                  </a:graphic>
                </wp:inline>
              </w:drawing>
            </w:r>
          </w:p>
          <w:p w14:paraId="475FEFC8" w14:textId="77777777" w:rsidR="008243FB" w:rsidRDefault="008243FB" w:rsidP="008243FB">
            <w:pPr>
              <w:jc w:val="left"/>
            </w:pPr>
            <w:r>
              <w:t>Figure 2. CFD model of one of the proposed designs of the ERDC flow accelerator</w:t>
            </w:r>
          </w:p>
          <w:p w14:paraId="06742A39" w14:textId="77777777" w:rsidR="008243FB" w:rsidRDefault="008243FB" w:rsidP="008243FB">
            <w:pPr>
              <w:jc w:val="left"/>
            </w:pPr>
          </w:p>
          <w:p w14:paraId="063AAB58" w14:textId="77777777" w:rsidR="00452B4E" w:rsidRDefault="008243FB" w:rsidP="008243FB">
            <w:r>
              <w:t>Three flow conditions were identified by the ERDC researchers as relevant in the experimental setup and therefore they were chosen as input values to the CFD model. They span from shallow to deeper flows at different slopes and will allow comprehensive analysis of the effectiveness of the proposed design. As the first design candidate, a scaled-up TFHRC flume geometry was considered. The scaling factor was equal 10/6 all three dimensions. Additionally, the flume height was increased to 1.2 m</w:t>
            </w:r>
            <w:r w:rsidR="00CF77CF">
              <w:t>,</w:t>
            </w:r>
            <w:r>
              <w:t xml:space="preserve"> </w:t>
            </w:r>
            <w:proofErr w:type="gramStart"/>
            <w:r>
              <w:t>The</w:t>
            </w:r>
            <w:proofErr w:type="gramEnd"/>
            <w:r>
              <w:t xml:space="preserve"> resistance characteristics of the inner parts of the TFHRC flume, i.e. the honeycomb and screens, were kept unchanged, only the diameter of the inlet pipe was modified to 36 inches, as per ERDC requirements.</w:t>
            </w:r>
          </w:p>
          <w:p w14:paraId="47FE9917" w14:textId="6DDE5A4A" w:rsidR="008243FB" w:rsidRDefault="008243FB" w:rsidP="008243FB">
            <w:r>
              <w:t xml:space="preserve"> </w:t>
            </w:r>
          </w:p>
          <w:p w14:paraId="011761D9" w14:textId="13CBF629" w:rsidR="008243FB" w:rsidRDefault="008243FB" w:rsidP="008243FB">
            <w:r>
              <w:t xml:space="preserve">Secondly, several modifications </w:t>
            </w:r>
            <w:r w:rsidR="00CF77CF">
              <w:t>a</w:t>
            </w:r>
            <w:r>
              <w:t xml:space="preserve">re applied to the flow straighteners: the shape and size of the perforations in the distribution pipe, </w:t>
            </w:r>
            <w:r w:rsidR="00CF77CF">
              <w:t xml:space="preserve">and </w:t>
            </w:r>
            <w:r>
              <w:t xml:space="preserve">its position in relation to the flow, the number of wire screens, the number of honeycombs, as well as the diameter and length of the tubes that form them. The results </w:t>
            </w:r>
            <w:r w:rsidR="00CF77CF">
              <w:t>are</w:t>
            </w:r>
            <w:r>
              <w:t xml:space="preserve"> analyzed to assess which combination gives the most uniform flow pattern in the testing zone of the flume.</w:t>
            </w:r>
            <w:r w:rsidR="00712E94">
              <w:t xml:space="preserve"> </w:t>
            </w:r>
            <w:r>
              <w:t xml:space="preserve">Next, </w:t>
            </w:r>
            <w:r w:rsidR="00CF77CF">
              <w:t>the model was simplified</w:t>
            </w:r>
            <w:r>
              <w:t xml:space="preserve"> to include only the converging part of the accelerator and the straight rectangular channel. The downstream surface of the honeycomb was transformed into an inlet surface </w:t>
            </w:r>
            <w:r w:rsidR="00CF77CF">
              <w:t xml:space="preserve">with assigned uniform velocity. </w:t>
            </w:r>
            <w:r>
              <w:t xml:space="preserve">Two cases were compared: with the geometry of the converging part unchanged, and stretched three times in the main flow direction. This modification makes it possible to assess if under the assumption of a ‘perfect’ flow coming from the honeycomb + screen combination (1) flow separation points occur in the original geometry, and if so, (2) will they disappear if the slopes of the wall curvatures are reduced to minimum under the existing size restrictions (the flume length will be limited by the size of the building). </w:t>
            </w:r>
          </w:p>
          <w:p w14:paraId="12AF364C" w14:textId="77777777" w:rsidR="00452B4E" w:rsidRDefault="00452B4E" w:rsidP="008243FB">
            <w:bookmarkStart w:id="0" w:name="_GoBack"/>
            <w:bookmarkEnd w:id="0"/>
          </w:p>
          <w:p w14:paraId="57454163" w14:textId="1473DC64" w:rsidR="00712E94" w:rsidRDefault="00712E94" w:rsidP="00712E94">
            <w:r>
              <w:t xml:space="preserve">An analysis of the influence of the distribution pipe and the shape of the contraction on the water flow in the flume showed that a more porous distribution pipe with circular perforations works best out of the tested options, moreover, and that the shape of the scaled up contraction of the TFHRC flume is sufficient. Three honeycombs with different porosity and inertial resistance were studied and it was established that a honeycomb made of </w:t>
            </w:r>
            <w:r>
              <w:rPr>
                <w:rFonts w:cs="Arial"/>
              </w:rPr>
              <w:t>Ø</w:t>
            </w:r>
            <w:r>
              <w:t xml:space="preserve"> 2”, 20-inch long pipes gives the best results out of the tested cases.</w:t>
            </w:r>
          </w:p>
          <w:p w14:paraId="2BFAEB45" w14:textId="77777777" w:rsidR="00712E94" w:rsidRDefault="00712E94" w:rsidP="008243FB"/>
          <w:p w14:paraId="1FDDFFDC" w14:textId="461E2B5D" w:rsidR="008243FB" w:rsidRDefault="00E75053" w:rsidP="00E75053">
            <w:pPr>
              <w:ind w:left="-23" w:right="5" w:firstLine="23"/>
              <w:jc w:val="center"/>
              <w:rPr>
                <w:rFonts w:eastAsia="Times New Roman" w:cs="Arial"/>
                <w:szCs w:val="20"/>
              </w:rPr>
            </w:pPr>
            <w:r>
              <w:rPr>
                <w:noProof/>
              </w:rPr>
              <w:drawing>
                <wp:inline distT="0" distB="0" distL="0" distR="0" wp14:anchorId="2E6D8337" wp14:editId="2CDA19D8">
                  <wp:extent cx="4169229" cy="1959003"/>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78468" cy="1963344"/>
                          </a:xfrm>
                          <a:prstGeom prst="rect">
                            <a:avLst/>
                          </a:prstGeom>
                        </pic:spPr>
                      </pic:pic>
                    </a:graphicData>
                  </a:graphic>
                </wp:inline>
              </w:drawing>
            </w:r>
          </w:p>
          <w:p w14:paraId="0E727BF6" w14:textId="736AE1B7" w:rsidR="00E75053" w:rsidRPr="00CB4405" w:rsidRDefault="00E75053" w:rsidP="00E75053">
            <w:pPr>
              <w:ind w:left="-23" w:right="5" w:firstLine="23"/>
              <w:jc w:val="left"/>
              <w:rPr>
                <w:rFonts w:eastAsia="Times New Roman" w:cs="Arial"/>
                <w:szCs w:val="20"/>
              </w:rPr>
            </w:pPr>
            <w:r>
              <w:rPr>
                <w:rFonts w:eastAsia="Times New Roman" w:cs="Arial"/>
                <w:szCs w:val="20"/>
              </w:rPr>
              <w:t xml:space="preserve">Figure 3. </w:t>
            </w:r>
            <w:r>
              <w:t xml:space="preserve">Contour plots of velocity component </w:t>
            </w:r>
            <w:proofErr w:type="spellStart"/>
            <w:r w:rsidR="00712E94">
              <w:t>Vx</w:t>
            </w:r>
            <w:proofErr w:type="spellEnd"/>
            <w:r w:rsidR="00712E94">
              <w:t xml:space="preserve"> (along the channel)</w:t>
            </w:r>
            <w:r>
              <w:t xml:space="preserve"> in the ERDC flume model with two honeycombs (</w:t>
            </w:r>
            <w:r>
              <w:rPr>
                <w:rFonts w:cs="Arial"/>
              </w:rPr>
              <w:t>Ø</w:t>
            </w:r>
            <w:r>
              <w:t xml:space="preserve"> 2”, 20-inch long) and two wire screens</w:t>
            </w:r>
          </w:p>
          <w:p w14:paraId="1CA1DA38" w14:textId="77777777" w:rsidR="00C67A97" w:rsidRPr="0067433A" w:rsidRDefault="00C67A97" w:rsidP="0067433A">
            <w:pPr>
              <w:ind w:left="-23" w:right="5" w:firstLine="23"/>
              <w:rPr>
                <w:rFonts w:eastAsia="Times New Roman" w:cs="Arial"/>
                <w:szCs w:val="20"/>
              </w:rPr>
            </w:pPr>
          </w:p>
          <w:p w14:paraId="2463B818" w14:textId="77777777" w:rsidR="00601EBD" w:rsidRPr="00C82DD9" w:rsidRDefault="00C82DD9" w:rsidP="00652DC0">
            <w:pPr>
              <w:ind w:right="5"/>
              <w:rPr>
                <w:rFonts w:cs="Arial"/>
                <w:b/>
                <w:szCs w:val="20"/>
              </w:rPr>
            </w:pPr>
            <w:r w:rsidRPr="001D150C">
              <w:rPr>
                <w:rFonts w:cs="Arial"/>
                <w:b/>
                <w:szCs w:val="20"/>
              </w:rPr>
              <w:t xml:space="preserve">2: Computational </w:t>
            </w:r>
            <w:r w:rsidRPr="00C82DD9">
              <w:rPr>
                <w:rFonts w:cs="Arial"/>
                <w:b/>
                <w:szCs w:val="20"/>
              </w:rPr>
              <w:t>Mechanics Research Support</w:t>
            </w:r>
          </w:p>
          <w:p w14:paraId="0C083204" w14:textId="77777777" w:rsidR="00601EBD" w:rsidRPr="00C82DD9" w:rsidRDefault="00601EBD" w:rsidP="00652DC0">
            <w:pPr>
              <w:ind w:right="5"/>
              <w:rPr>
                <w:rFonts w:cs="Arial"/>
                <w:szCs w:val="20"/>
              </w:rPr>
            </w:pPr>
          </w:p>
          <w:p w14:paraId="2A7044F9" w14:textId="77777777" w:rsidR="00C82DD9" w:rsidRPr="001D150C" w:rsidRDefault="00C82DD9" w:rsidP="0013360C">
            <w:pPr>
              <w:ind w:right="5"/>
              <w:rPr>
                <w:rFonts w:eastAsia="Times New Roman" w:cs="Arial"/>
                <w:szCs w:val="20"/>
              </w:rPr>
            </w:pPr>
            <w:r w:rsidRPr="00C82DD9">
              <w:rPr>
                <w:rFonts w:eastAsia="Times New Roman" w:cs="Arial"/>
                <w:szCs w:val="20"/>
              </w:rPr>
              <w:t xml:space="preserve">Argonne Transportation Research and Analysis Computing Center (TRACC) computational mechanics staff ran nationwide videoconferences every other Thursday that were open to state Department of Transportation staff and </w:t>
            </w:r>
            <w:r w:rsidRPr="00C82DD9">
              <w:rPr>
                <w:rFonts w:eastAsia="Times New Roman" w:cs="Arial"/>
                <w:szCs w:val="20"/>
              </w:rPr>
              <w:lastRenderedPageBreak/>
              <w:t xml:space="preserve">university researchers supported by the Federal Highway Administration </w:t>
            </w:r>
            <w:proofErr w:type="gramStart"/>
            <w:r w:rsidRPr="00C82DD9">
              <w:rPr>
                <w:rFonts w:eastAsia="Times New Roman" w:cs="Arial"/>
                <w:szCs w:val="20"/>
              </w:rPr>
              <w:t>or  state</w:t>
            </w:r>
            <w:proofErr w:type="gramEnd"/>
            <w:r w:rsidRPr="00C82DD9">
              <w:rPr>
                <w:rFonts w:eastAsia="Times New Roman" w:cs="Arial"/>
                <w:szCs w:val="20"/>
              </w:rPr>
              <w:t xml:space="preserve"> DOTs. The videoconferences provide a venue to discuss approaches and issues related to hydraulics modeling projects. Topics during this reporting period included</w:t>
            </w:r>
            <w:r w:rsidR="001D150C">
              <w:rPr>
                <w:rFonts w:eastAsia="Times New Roman" w:cs="Arial"/>
                <w:szCs w:val="20"/>
              </w:rPr>
              <w:t>, but were not limited to:</w:t>
            </w:r>
          </w:p>
          <w:p w14:paraId="5DB5E5CF" w14:textId="70DC50DD" w:rsidR="005E03AD" w:rsidRDefault="005E03AD" w:rsidP="00AD0B8F">
            <w:pPr>
              <w:pStyle w:val="ListParagraph"/>
              <w:numPr>
                <w:ilvl w:val="0"/>
                <w:numId w:val="3"/>
              </w:numPr>
              <w:ind w:right="5"/>
              <w:rPr>
                <w:rFonts w:eastAsia="Times New Roman" w:cs="Arial"/>
                <w:color w:val="000000" w:themeColor="text1"/>
                <w:szCs w:val="20"/>
              </w:rPr>
            </w:pPr>
            <w:r>
              <w:rPr>
                <w:rFonts w:eastAsia="Times New Roman" w:cs="Arial"/>
                <w:color w:val="000000" w:themeColor="text1"/>
                <w:szCs w:val="20"/>
              </w:rPr>
              <w:t>new methodologies of scour modeling</w:t>
            </w:r>
          </w:p>
          <w:p w14:paraId="38500668" w14:textId="5A61B72B" w:rsidR="005E03AD" w:rsidRDefault="008247FE" w:rsidP="00AD0B8F">
            <w:pPr>
              <w:pStyle w:val="ListParagraph"/>
              <w:numPr>
                <w:ilvl w:val="0"/>
                <w:numId w:val="3"/>
              </w:numPr>
              <w:ind w:right="5"/>
              <w:rPr>
                <w:rFonts w:eastAsia="Times New Roman" w:cs="Arial"/>
                <w:color w:val="000000" w:themeColor="text1"/>
                <w:szCs w:val="20"/>
              </w:rPr>
            </w:pPr>
            <w:r>
              <w:rPr>
                <w:rFonts w:eastAsia="Times New Roman" w:cs="Arial"/>
                <w:color w:val="000000" w:themeColor="text1"/>
                <w:szCs w:val="20"/>
              </w:rPr>
              <w:t>river bank erosion rate prediction</w:t>
            </w:r>
          </w:p>
          <w:p w14:paraId="23DA8608" w14:textId="2FB27EB9" w:rsidR="001D150C" w:rsidRPr="005E03AD" w:rsidRDefault="005E03AD" w:rsidP="00AD0B8F">
            <w:pPr>
              <w:pStyle w:val="ListParagraph"/>
              <w:numPr>
                <w:ilvl w:val="0"/>
                <w:numId w:val="3"/>
              </w:numPr>
              <w:ind w:right="5"/>
              <w:rPr>
                <w:rFonts w:eastAsia="Times New Roman" w:cs="Arial"/>
                <w:color w:val="000000" w:themeColor="text1"/>
                <w:szCs w:val="20"/>
              </w:rPr>
            </w:pPr>
            <w:r>
              <w:rPr>
                <w:rFonts w:eastAsia="Times New Roman" w:cs="Arial"/>
                <w:color w:val="000000" w:themeColor="text1"/>
                <w:szCs w:val="20"/>
              </w:rPr>
              <w:t xml:space="preserve">approaches to modeling and mitigating hydroplaning risk </w:t>
            </w:r>
          </w:p>
          <w:p w14:paraId="4787DF2B" w14:textId="77777777" w:rsidR="00601EBD" w:rsidRPr="00C82DD9" w:rsidRDefault="00601EBD" w:rsidP="00652DC0">
            <w:pPr>
              <w:ind w:right="5"/>
              <w:rPr>
                <w:rFonts w:cs="Arial"/>
                <w:szCs w:val="20"/>
              </w:rPr>
            </w:pPr>
          </w:p>
          <w:p w14:paraId="56ECEF5B" w14:textId="77777777" w:rsidR="00601EBD" w:rsidRPr="00906DBF" w:rsidRDefault="00906DBF" w:rsidP="00652DC0">
            <w:pPr>
              <w:ind w:right="5"/>
              <w:rPr>
                <w:rFonts w:cs="Arial"/>
                <w:b/>
                <w:szCs w:val="20"/>
              </w:rPr>
            </w:pPr>
            <w:r w:rsidRPr="000A720C">
              <w:rPr>
                <w:rFonts w:eastAsia="Times New Roman" w:cs="Arial"/>
                <w:b/>
                <w:szCs w:val="20"/>
              </w:rPr>
              <w:t>3: Computing Support</w:t>
            </w:r>
          </w:p>
          <w:p w14:paraId="0AE27C49" w14:textId="77777777" w:rsidR="00601EBD" w:rsidRPr="00C82DD9" w:rsidRDefault="00601EBD" w:rsidP="00652DC0">
            <w:pPr>
              <w:ind w:right="5"/>
              <w:rPr>
                <w:rFonts w:cs="Arial"/>
                <w:szCs w:val="20"/>
              </w:rPr>
            </w:pPr>
          </w:p>
          <w:p w14:paraId="38A109ED" w14:textId="1F411700" w:rsidR="00601EBD" w:rsidRPr="00C82DD9" w:rsidRDefault="00071FBC" w:rsidP="00422996">
            <w:pPr>
              <w:ind w:right="5"/>
              <w:rPr>
                <w:rFonts w:cs="Arial"/>
                <w:szCs w:val="20"/>
              </w:rPr>
            </w:pPr>
            <w:r w:rsidRPr="00071FBC">
              <w:rPr>
                <w:rFonts w:eastAsia="Times New Roman" w:cs="Arial"/>
                <w:szCs w:val="20"/>
              </w:rPr>
              <w:t>Routine cluster maintenance including software and hardware upgrades, security patching against cyber threats, and development of custom tools to increase users' productivity. Currently working on upgrading</w:t>
            </w:r>
            <w:r w:rsidR="00422996">
              <w:rPr>
                <w:rFonts w:eastAsia="Times New Roman" w:cs="Arial"/>
                <w:szCs w:val="20"/>
              </w:rPr>
              <w:t xml:space="preserve"> the</w:t>
            </w:r>
            <w:r w:rsidRPr="00071FBC">
              <w:rPr>
                <w:rFonts w:eastAsia="Times New Roman" w:cs="Arial"/>
                <w:szCs w:val="20"/>
              </w:rPr>
              <w:t xml:space="preserve"> TRACC cluster</w:t>
            </w:r>
            <w:r w:rsidR="00422996">
              <w:rPr>
                <w:rFonts w:eastAsia="Times New Roman" w:cs="Arial"/>
                <w:szCs w:val="20"/>
              </w:rPr>
              <w:t>s</w:t>
            </w:r>
            <w:r w:rsidRPr="00071FBC">
              <w:rPr>
                <w:rFonts w:eastAsia="Times New Roman" w:cs="Arial"/>
                <w:szCs w:val="20"/>
              </w:rPr>
              <w:t xml:space="preserve"> to support the latest scientific and engineering software utilizing industry's best practice guidelines in Open Source software and virtualization.</w:t>
            </w:r>
            <w:r>
              <w:rPr>
                <w:rFonts w:eastAsia="Times New Roman" w:cs="Arial"/>
                <w:szCs w:val="20"/>
              </w:rPr>
              <w:t xml:space="preserve"> </w:t>
            </w:r>
          </w:p>
        </w:tc>
      </w:tr>
      <w:tr w:rsidR="0088310D" w:rsidRPr="0088310D" w14:paraId="6207821C" w14:textId="77777777" w:rsidTr="7F0EB5DF">
        <w:tc>
          <w:tcPr>
            <w:tcW w:w="10903" w:type="dxa"/>
          </w:tcPr>
          <w:p w14:paraId="2E800F37" w14:textId="5CC08F0D" w:rsidR="00E35E0F" w:rsidRPr="0088310D" w:rsidRDefault="00E35E0F" w:rsidP="00652DC0">
            <w:pPr>
              <w:ind w:right="5"/>
              <w:rPr>
                <w:rFonts w:cs="Arial"/>
                <w:b/>
                <w:szCs w:val="20"/>
              </w:rPr>
            </w:pPr>
          </w:p>
          <w:p w14:paraId="6B373846" w14:textId="77777777" w:rsidR="00601EBD" w:rsidRPr="0088310D" w:rsidRDefault="00601EBD" w:rsidP="00652DC0">
            <w:pPr>
              <w:ind w:right="5"/>
              <w:rPr>
                <w:rFonts w:cs="Arial"/>
                <w:szCs w:val="20"/>
              </w:rPr>
            </w:pPr>
            <w:r w:rsidRPr="0088310D">
              <w:rPr>
                <w:rFonts w:cs="Arial"/>
                <w:b/>
                <w:szCs w:val="20"/>
              </w:rPr>
              <w:t>Anticipated work next quarter</w:t>
            </w:r>
            <w:r w:rsidRPr="0088310D">
              <w:rPr>
                <w:rFonts w:cs="Arial"/>
                <w:szCs w:val="20"/>
              </w:rPr>
              <w:t>:</w:t>
            </w:r>
          </w:p>
          <w:p w14:paraId="0FE54E0E" w14:textId="77777777" w:rsidR="009E6F32" w:rsidRPr="0088310D" w:rsidRDefault="009E6F32" w:rsidP="00652DC0">
            <w:pPr>
              <w:ind w:right="5"/>
              <w:rPr>
                <w:rFonts w:cs="Arial"/>
                <w:szCs w:val="20"/>
              </w:rPr>
            </w:pPr>
          </w:p>
          <w:p w14:paraId="3CCA782B" w14:textId="77777777" w:rsidR="009E6F32" w:rsidRPr="0088310D" w:rsidRDefault="009E6F32" w:rsidP="00652DC0">
            <w:pPr>
              <w:ind w:right="5"/>
              <w:rPr>
                <w:rFonts w:eastAsia="Times New Roman" w:cs="Arial"/>
                <w:b/>
                <w:szCs w:val="20"/>
              </w:rPr>
            </w:pPr>
            <w:r w:rsidRPr="0088310D">
              <w:rPr>
                <w:rFonts w:eastAsia="Times New Roman" w:cs="Arial"/>
                <w:b/>
                <w:szCs w:val="20"/>
              </w:rPr>
              <w:t xml:space="preserve"> 1: Computational Mechanics Research on a Variety of Projects</w:t>
            </w:r>
          </w:p>
          <w:p w14:paraId="682219AA" w14:textId="77777777" w:rsidR="009E6F32" w:rsidRPr="0088310D" w:rsidRDefault="009E6F32" w:rsidP="00652DC0">
            <w:pPr>
              <w:ind w:right="5"/>
              <w:rPr>
                <w:rFonts w:eastAsia="Times New Roman" w:cs="Arial"/>
                <w:szCs w:val="20"/>
              </w:rPr>
            </w:pPr>
          </w:p>
          <w:p w14:paraId="6A872633" w14:textId="32DB6062" w:rsidR="002A07AF" w:rsidRDefault="00370AE9" w:rsidP="0088310D">
            <w:pPr>
              <w:pStyle w:val="ListParagraph"/>
              <w:numPr>
                <w:ilvl w:val="0"/>
                <w:numId w:val="5"/>
              </w:numPr>
              <w:ind w:right="5"/>
              <w:rPr>
                <w:rFonts w:eastAsia="Times New Roman" w:cs="Arial"/>
                <w:szCs w:val="20"/>
              </w:rPr>
            </w:pPr>
            <w:r>
              <w:rPr>
                <w:rFonts w:eastAsia="Times New Roman" w:cs="Arial"/>
                <w:szCs w:val="20"/>
              </w:rPr>
              <w:t>analysis of water film thickness on pavements</w:t>
            </w:r>
          </w:p>
          <w:p w14:paraId="250D6F5D" w14:textId="734C4569" w:rsidR="005A3370" w:rsidRDefault="005A3370" w:rsidP="0088310D">
            <w:pPr>
              <w:pStyle w:val="ListParagraph"/>
              <w:numPr>
                <w:ilvl w:val="0"/>
                <w:numId w:val="5"/>
              </w:numPr>
              <w:ind w:right="5"/>
              <w:rPr>
                <w:rFonts w:eastAsia="Times New Roman" w:cs="Arial"/>
                <w:szCs w:val="20"/>
              </w:rPr>
            </w:pPr>
            <w:r>
              <w:rPr>
                <w:rFonts w:eastAsia="Times New Roman" w:cs="Arial"/>
                <w:szCs w:val="20"/>
              </w:rPr>
              <w:t>stream stability and channel migration</w:t>
            </w:r>
          </w:p>
          <w:p w14:paraId="5B9ACD3D" w14:textId="77777777" w:rsidR="0088310D" w:rsidRPr="0088310D" w:rsidRDefault="0088310D" w:rsidP="0088310D">
            <w:pPr>
              <w:pStyle w:val="ListParagraph"/>
              <w:ind w:right="5"/>
              <w:rPr>
                <w:rFonts w:eastAsia="Times New Roman" w:cs="Arial"/>
                <w:szCs w:val="20"/>
              </w:rPr>
            </w:pPr>
          </w:p>
          <w:p w14:paraId="40D3728C" w14:textId="77777777" w:rsidR="00EF4187" w:rsidRPr="0088310D" w:rsidRDefault="00EF4187" w:rsidP="00652DC0">
            <w:pPr>
              <w:ind w:right="5"/>
              <w:rPr>
                <w:rFonts w:cs="Arial"/>
                <w:b/>
                <w:szCs w:val="20"/>
              </w:rPr>
            </w:pPr>
            <w:r w:rsidRPr="0088310D">
              <w:rPr>
                <w:rFonts w:cs="Arial"/>
                <w:b/>
                <w:szCs w:val="20"/>
              </w:rPr>
              <w:t>2: Computational Mechanics Research Support</w:t>
            </w:r>
          </w:p>
          <w:p w14:paraId="74BA8F4E" w14:textId="77777777" w:rsidR="00601EBD" w:rsidRPr="0088310D" w:rsidRDefault="00601EBD" w:rsidP="00652DC0">
            <w:pPr>
              <w:ind w:right="5"/>
              <w:rPr>
                <w:rFonts w:cs="Arial"/>
                <w:szCs w:val="20"/>
              </w:rPr>
            </w:pPr>
          </w:p>
          <w:p w14:paraId="2A83C775" w14:textId="77777777" w:rsidR="00601EBD" w:rsidRPr="0088310D" w:rsidRDefault="00EF4187" w:rsidP="00652DC0">
            <w:pPr>
              <w:ind w:right="5"/>
              <w:rPr>
                <w:rFonts w:cs="Arial"/>
                <w:szCs w:val="20"/>
              </w:rPr>
            </w:pPr>
            <w:r w:rsidRPr="0088310D">
              <w:rPr>
                <w:rFonts w:cs="Arial"/>
                <w:szCs w:val="20"/>
              </w:rPr>
              <w:t xml:space="preserve">This </w:t>
            </w:r>
            <w:r w:rsidR="006D1B38" w:rsidRPr="0088310D">
              <w:rPr>
                <w:rFonts w:cs="Arial"/>
                <w:szCs w:val="20"/>
              </w:rPr>
              <w:t>work</w:t>
            </w:r>
            <w:r w:rsidRPr="0088310D">
              <w:rPr>
                <w:rFonts w:cs="Arial"/>
                <w:szCs w:val="20"/>
              </w:rPr>
              <w:t xml:space="preserve"> will</w:t>
            </w:r>
            <w:r w:rsidR="006D1B38" w:rsidRPr="0088310D">
              <w:rPr>
                <w:rFonts w:cs="Arial"/>
                <w:szCs w:val="20"/>
              </w:rPr>
              <w:t xml:space="preserve"> continue</w:t>
            </w:r>
            <w:r w:rsidRPr="0088310D">
              <w:rPr>
                <w:rFonts w:cs="Arial"/>
                <w:szCs w:val="20"/>
              </w:rPr>
              <w:t>.</w:t>
            </w:r>
          </w:p>
          <w:p w14:paraId="415DE57E" w14:textId="77777777" w:rsidR="00601EBD" w:rsidRPr="0088310D" w:rsidRDefault="00601EBD" w:rsidP="00652DC0">
            <w:pPr>
              <w:ind w:right="5"/>
              <w:rPr>
                <w:rFonts w:cs="Arial"/>
                <w:szCs w:val="20"/>
              </w:rPr>
            </w:pPr>
          </w:p>
          <w:p w14:paraId="3B954472" w14:textId="77777777" w:rsidR="00EF4187" w:rsidRPr="0088310D" w:rsidRDefault="00EF4187" w:rsidP="00652DC0">
            <w:pPr>
              <w:ind w:right="5"/>
              <w:rPr>
                <w:rFonts w:cs="Arial"/>
                <w:b/>
                <w:szCs w:val="20"/>
              </w:rPr>
            </w:pPr>
            <w:r w:rsidRPr="0088310D">
              <w:rPr>
                <w:rFonts w:eastAsia="Times New Roman" w:cs="Arial"/>
                <w:b/>
                <w:szCs w:val="20"/>
              </w:rPr>
              <w:t>Task 3: Computing Support</w:t>
            </w:r>
          </w:p>
          <w:p w14:paraId="46E850E5" w14:textId="77777777" w:rsidR="00EF4187" w:rsidRPr="0088310D" w:rsidRDefault="00EF4187" w:rsidP="00652DC0">
            <w:pPr>
              <w:ind w:right="5"/>
              <w:rPr>
                <w:rFonts w:cs="Arial"/>
                <w:szCs w:val="20"/>
              </w:rPr>
            </w:pPr>
          </w:p>
          <w:p w14:paraId="4D5297A4" w14:textId="77777777" w:rsidR="00EF4187" w:rsidRPr="0088310D" w:rsidRDefault="00EF4187" w:rsidP="00652DC0">
            <w:pPr>
              <w:ind w:right="5"/>
              <w:rPr>
                <w:rFonts w:cs="Arial"/>
                <w:szCs w:val="20"/>
              </w:rPr>
            </w:pPr>
            <w:r w:rsidRPr="0088310D">
              <w:rPr>
                <w:rFonts w:cs="Arial"/>
                <w:szCs w:val="20"/>
              </w:rPr>
              <w:t xml:space="preserve">This </w:t>
            </w:r>
            <w:r w:rsidR="006D1B38" w:rsidRPr="0088310D">
              <w:rPr>
                <w:rFonts w:cs="Arial"/>
                <w:szCs w:val="20"/>
              </w:rPr>
              <w:t>work</w:t>
            </w:r>
            <w:r w:rsidRPr="0088310D">
              <w:rPr>
                <w:rFonts w:cs="Arial"/>
                <w:szCs w:val="20"/>
              </w:rPr>
              <w:t xml:space="preserve"> will continue.</w:t>
            </w:r>
          </w:p>
          <w:p w14:paraId="48DE626D" w14:textId="77777777" w:rsidR="00601EBD" w:rsidRPr="0088310D" w:rsidRDefault="00601EBD" w:rsidP="00652DC0">
            <w:pPr>
              <w:ind w:right="5"/>
              <w:rPr>
                <w:rFonts w:cs="Arial"/>
                <w:szCs w:val="20"/>
              </w:rPr>
            </w:pPr>
          </w:p>
          <w:p w14:paraId="279C457A" w14:textId="77777777" w:rsidR="00601EBD" w:rsidRPr="0088310D" w:rsidRDefault="00601EBD" w:rsidP="00652DC0">
            <w:pPr>
              <w:ind w:right="5"/>
              <w:rPr>
                <w:rFonts w:cs="Arial"/>
                <w:szCs w:val="20"/>
              </w:rPr>
            </w:pPr>
          </w:p>
        </w:tc>
      </w:tr>
      <w:tr w:rsidR="009E6F32" w14:paraId="430CF934" w14:textId="77777777" w:rsidTr="7F0EB5DF">
        <w:tc>
          <w:tcPr>
            <w:tcW w:w="10903" w:type="dxa"/>
          </w:tcPr>
          <w:p w14:paraId="02475AEB" w14:textId="77777777" w:rsidR="009E6F32" w:rsidRDefault="009E6F32" w:rsidP="00551D8A">
            <w:pPr>
              <w:ind w:right="-720"/>
              <w:rPr>
                <w:rFonts w:cs="Arial"/>
                <w:b/>
                <w:szCs w:val="20"/>
              </w:rPr>
            </w:pPr>
          </w:p>
        </w:tc>
      </w:tr>
    </w:tbl>
    <w:p w14:paraId="398E3FC4" w14:textId="77777777" w:rsidR="00037FBC" w:rsidRDefault="00037FBC" w:rsidP="00551D8A">
      <w:pPr>
        <w:spacing w:after="0"/>
        <w:ind w:left="-720" w:right="-720"/>
        <w:rPr>
          <w:rFonts w:cs="Arial"/>
          <w:szCs w:val="20"/>
        </w:rPr>
      </w:pPr>
    </w:p>
    <w:tbl>
      <w:tblPr>
        <w:tblStyle w:val="TableGrid"/>
        <w:tblW w:w="10908" w:type="dxa"/>
        <w:tblInd w:w="-720" w:type="dxa"/>
        <w:tblLook w:val="04A0" w:firstRow="1" w:lastRow="0" w:firstColumn="1" w:lastColumn="0" w:noHBand="0" w:noVBand="1"/>
      </w:tblPr>
      <w:tblGrid>
        <w:gridCol w:w="10908"/>
      </w:tblGrid>
      <w:tr w:rsidR="00601EBD" w14:paraId="7DB80E4B" w14:textId="77777777" w:rsidTr="00601EBD">
        <w:tc>
          <w:tcPr>
            <w:tcW w:w="10908" w:type="dxa"/>
          </w:tcPr>
          <w:p w14:paraId="7D09E64A" w14:textId="77777777" w:rsidR="00E35E0F" w:rsidRDefault="00E35E0F" w:rsidP="00551D8A">
            <w:pPr>
              <w:ind w:right="-720"/>
              <w:rPr>
                <w:rFonts w:cs="Arial"/>
                <w:b/>
                <w:szCs w:val="20"/>
              </w:rPr>
            </w:pPr>
          </w:p>
          <w:p w14:paraId="48D89B5E" w14:textId="49B9B279" w:rsidR="00073FE2" w:rsidRDefault="00073FE2" w:rsidP="00652DC0">
            <w:pPr>
              <w:ind w:right="5"/>
              <w:rPr>
                <w:rFonts w:eastAsia="Times New Roman" w:cs="Arial"/>
                <w:szCs w:val="20"/>
              </w:rPr>
            </w:pPr>
          </w:p>
          <w:p w14:paraId="16745EB4" w14:textId="77777777" w:rsidR="00CB499B" w:rsidRPr="0048154F" w:rsidRDefault="00CB499B" w:rsidP="0048154F">
            <w:pPr>
              <w:rPr>
                <w:rFonts w:eastAsia="Times New Roman" w:cs="Arial"/>
                <w:szCs w:val="20"/>
              </w:rPr>
            </w:pPr>
          </w:p>
          <w:p w14:paraId="068FE7D0" w14:textId="77777777" w:rsidR="00601EBD" w:rsidRDefault="00601EBD" w:rsidP="00551D8A">
            <w:pPr>
              <w:ind w:right="-720"/>
              <w:rPr>
                <w:rFonts w:cs="Arial"/>
                <w:b/>
                <w:szCs w:val="20"/>
              </w:rPr>
            </w:pPr>
          </w:p>
        </w:tc>
      </w:tr>
      <w:tr w:rsidR="00601EBD" w14:paraId="43E83358" w14:textId="77777777" w:rsidTr="00601EBD">
        <w:tc>
          <w:tcPr>
            <w:tcW w:w="10908" w:type="dxa"/>
          </w:tcPr>
          <w:p w14:paraId="64D92043" w14:textId="77777777" w:rsidR="00E35E0F" w:rsidRDefault="00E35E0F" w:rsidP="00551D8A">
            <w:pPr>
              <w:ind w:right="-720"/>
              <w:rPr>
                <w:rFonts w:cs="Arial"/>
                <w:b/>
                <w:szCs w:val="20"/>
              </w:rPr>
            </w:pPr>
          </w:p>
          <w:p w14:paraId="773202A9" w14:textId="77777777" w:rsidR="00E35E0F" w:rsidRDefault="00601EBD" w:rsidP="00551D8A">
            <w:pPr>
              <w:ind w:right="-720"/>
              <w:rPr>
                <w:rFonts w:cs="Arial"/>
                <w:b/>
                <w:szCs w:val="20"/>
              </w:rPr>
            </w:pPr>
            <w:r>
              <w:rPr>
                <w:rFonts w:cs="Arial"/>
                <w:b/>
                <w:szCs w:val="20"/>
              </w:rPr>
              <w:t xml:space="preserve">Circumstance affecting project or budget.  (Please describe any challenges encountered or anticipated that </w:t>
            </w:r>
          </w:p>
          <w:p w14:paraId="752CB9A1" w14:textId="77777777" w:rsidR="00E35E0F" w:rsidRDefault="00601EBD" w:rsidP="00551D8A">
            <w:pPr>
              <w:ind w:right="-720"/>
              <w:rPr>
                <w:rFonts w:cs="Arial"/>
                <w:b/>
                <w:szCs w:val="20"/>
              </w:rPr>
            </w:pPr>
            <w:r>
              <w:rPr>
                <w:rFonts w:cs="Arial"/>
                <w:b/>
                <w:szCs w:val="20"/>
              </w:rPr>
              <w:t>might affect the completion of the project within the tim</w:t>
            </w:r>
            <w:r w:rsidR="00E35E0F">
              <w:rPr>
                <w:rFonts w:cs="Arial"/>
                <w:b/>
                <w:szCs w:val="20"/>
              </w:rPr>
              <w:t xml:space="preserve">e, scope and fiscal constraints </w:t>
            </w:r>
            <w:r>
              <w:rPr>
                <w:rFonts w:cs="Arial"/>
                <w:b/>
                <w:szCs w:val="20"/>
              </w:rPr>
              <w:t xml:space="preserve">set forth in the </w:t>
            </w:r>
          </w:p>
          <w:p w14:paraId="710FF4C9" w14:textId="77777777" w:rsidR="00601EBD" w:rsidRDefault="00601EBD" w:rsidP="00551D8A">
            <w:pPr>
              <w:ind w:right="-720"/>
              <w:rPr>
                <w:rFonts w:cs="Arial"/>
                <w:b/>
                <w:szCs w:val="20"/>
              </w:rPr>
            </w:pPr>
            <w:r>
              <w:rPr>
                <w:rFonts w:cs="Arial"/>
                <w:b/>
                <w:szCs w:val="20"/>
              </w:rPr>
              <w:t>agreement, along with recommended solutions to those problems).</w:t>
            </w:r>
          </w:p>
          <w:p w14:paraId="380B3643" w14:textId="77777777" w:rsidR="00601EBD" w:rsidRDefault="00601EBD" w:rsidP="00551D8A">
            <w:pPr>
              <w:ind w:right="-720"/>
              <w:rPr>
                <w:rFonts w:cs="Arial"/>
                <w:b/>
                <w:szCs w:val="20"/>
              </w:rPr>
            </w:pPr>
          </w:p>
          <w:p w14:paraId="753C687E" w14:textId="77777777" w:rsidR="00601EBD" w:rsidRDefault="009F1032" w:rsidP="00551D8A">
            <w:pPr>
              <w:ind w:right="-720"/>
              <w:rPr>
                <w:rFonts w:cs="Arial"/>
                <w:b/>
                <w:szCs w:val="20"/>
              </w:rPr>
            </w:pPr>
            <w:r>
              <w:rPr>
                <w:rFonts w:cs="Arial"/>
                <w:b/>
                <w:szCs w:val="20"/>
              </w:rPr>
              <w:t>None.</w:t>
            </w:r>
          </w:p>
          <w:p w14:paraId="2463A6D3" w14:textId="77777777" w:rsidR="00601EBD" w:rsidRDefault="00601EBD" w:rsidP="00551D8A">
            <w:pPr>
              <w:ind w:right="-720"/>
              <w:rPr>
                <w:rFonts w:cs="Arial"/>
                <w:b/>
                <w:szCs w:val="20"/>
              </w:rPr>
            </w:pPr>
          </w:p>
          <w:p w14:paraId="52E1DD58" w14:textId="77777777" w:rsidR="00E35E0F" w:rsidRDefault="00E35E0F" w:rsidP="00551D8A">
            <w:pPr>
              <w:ind w:right="-720"/>
              <w:rPr>
                <w:rFonts w:cs="Arial"/>
                <w:b/>
                <w:szCs w:val="20"/>
              </w:rPr>
            </w:pPr>
          </w:p>
          <w:p w14:paraId="0830D8B0" w14:textId="77777777" w:rsidR="0021446D" w:rsidRDefault="0021446D" w:rsidP="00551D8A">
            <w:pPr>
              <w:ind w:right="-720"/>
              <w:rPr>
                <w:rFonts w:cs="Arial"/>
                <w:b/>
                <w:szCs w:val="20"/>
              </w:rPr>
            </w:pPr>
          </w:p>
          <w:p w14:paraId="7FA1743A" w14:textId="77777777" w:rsidR="0021446D" w:rsidRDefault="0021446D" w:rsidP="00551D8A">
            <w:pPr>
              <w:ind w:right="-720"/>
              <w:rPr>
                <w:rFonts w:cs="Arial"/>
                <w:b/>
                <w:szCs w:val="20"/>
              </w:rPr>
            </w:pPr>
          </w:p>
          <w:p w14:paraId="42BCB9D4" w14:textId="77777777" w:rsidR="0021446D" w:rsidRDefault="0021446D" w:rsidP="00551D8A">
            <w:pPr>
              <w:ind w:right="-720"/>
              <w:rPr>
                <w:rFonts w:cs="Arial"/>
                <w:b/>
                <w:szCs w:val="20"/>
              </w:rPr>
            </w:pPr>
          </w:p>
          <w:p w14:paraId="5998C030" w14:textId="77777777" w:rsidR="0021446D" w:rsidRDefault="0021446D" w:rsidP="00551D8A">
            <w:pPr>
              <w:ind w:right="-720"/>
              <w:rPr>
                <w:rFonts w:cs="Arial"/>
                <w:b/>
                <w:szCs w:val="20"/>
              </w:rPr>
            </w:pPr>
          </w:p>
          <w:p w14:paraId="697DA1A7" w14:textId="77777777" w:rsidR="0021446D" w:rsidRDefault="0021446D" w:rsidP="00551D8A">
            <w:pPr>
              <w:ind w:right="-720"/>
              <w:rPr>
                <w:rFonts w:cs="Arial"/>
                <w:b/>
                <w:szCs w:val="20"/>
              </w:rPr>
            </w:pPr>
          </w:p>
          <w:p w14:paraId="79DFF0A2" w14:textId="77777777" w:rsidR="0021446D" w:rsidRDefault="0021446D" w:rsidP="00551D8A">
            <w:pPr>
              <w:ind w:right="-720"/>
              <w:rPr>
                <w:rFonts w:cs="Arial"/>
                <w:b/>
                <w:szCs w:val="20"/>
              </w:rPr>
            </w:pPr>
          </w:p>
          <w:p w14:paraId="4AAA4C85" w14:textId="77777777" w:rsidR="0021446D" w:rsidRDefault="0021446D" w:rsidP="00551D8A">
            <w:pPr>
              <w:ind w:right="-720"/>
              <w:rPr>
                <w:rFonts w:cs="Arial"/>
                <w:b/>
                <w:szCs w:val="20"/>
              </w:rPr>
            </w:pPr>
          </w:p>
          <w:p w14:paraId="6EDB0086" w14:textId="77777777" w:rsidR="0021446D" w:rsidRDefault="0021446D" w:rsidP="00551D8A">
            <w:pPr>
              <w:ind w:right="-720"/>
              <w:rPr>
                <w:rFonts w:cs="Arial"/>
                <w:b/>
                <w:szCs w:val="20"/>
              </w:rPr>
            </w:pPr>
          </w:p>
          <w:p w14:paraId="6CD153CF" w14:textId="77777777" w:rsidR="00601EBD" w:rsidRDefault="00601EBD" w:rsidP="00551D8A">
            <w:pPr>
              <w:ind w:right="-720"/>
              <w:rPr>
                <w:rFonts w:cs="Arial"/>
                <w:b/>
                <w:szCs w:val="20"/>
              </w:rPr>
            </w:pPr>
          </w:p>
          <w:p w14:paraId="089B215E" w14:textId="636F4056" w:rsidR="00601EBD" w:rsidRDefault="00601EBD" w:rsidP="00551D8A">
            <w:pPr>
              <w:ind w:right="-720"/>
              <w:rPr>
                <w:rFonts w:cs="Arial"/>
                <w:b/>
                <w:szCs w:val="20"/>
              </w:rPr>
            </w:pPr>
          </w:p>
        </w:tc>
      </w:tr>
    </w:tbl>
    <w:p w14:paraId="3A438ABC" w14:textId="2855BC57" w:rsidR="00E35E0F" w:rsidRPr="00743C01" w:rsidRDefault="00E35E0F" w:rsidP="00320459">
      <w:pPr>
        <w:spacing w:after="0"/>
        <w:ind w:right="-720"/>
        <w:rPr>
          <w:rFonts w:cs="Arial"/>
          <w:szCs w:val="20"/>
        </w:rPr>
      </w:pPr>
    </w:p>
    <w:sectPr w:rsidR="00E35E0F" w:rsidRPr="00743C01" w:rsidSect="0098577B">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13AC4" w14:textId="77777777" w:rsidR="00AA5362" w:rsidRDefault="00AA5362" w:rsidP="00106C83">
      <w:pPr>
        <w:spacing w:after="0" w:line="240" w:lineRule="auto"/>
      </w:pPr>
      <w:r>
        <w:separator/>
      </w:r>
    </w:p>
  </w:endnote>
  <w:endnote w:type="continuationSeparator" w:id="0">
    <w:p w14:paraId="2AB17449" w14:textId="77777777" w:rsidR="00AA5362" w:rsidRDefault="00AA536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E2D4" w14:textId="089B6CCF" w:rsidR="00A43875" w:rsidRDefault="00A43875" w:rsidP="00E371D1">
    <w:pPr>
      <w:pStyle w:val="Footer"/>
      <w:ind w:left="-810"/>
    </w:pPr>
    <w:r>
      <w:t xml:space="preserve">TPF </w:t>
    </w:r>
    <w:r w:rsidR="00CC4E9A">
      <w:t>– 5(279) Q</w:t>
    </w:r>
    <w:r w:rsidR="00452B4E">
      <w:t>3</w:t>
    </w:r>
    <w:r w:rsidR="00CC4E9A">
      <w:t xml:space="preserve"> 201</w:t>
    </w:r>
    <w:r w:rsidR="00452B4E">
      <w:t>9</w:t>
    </w:r>
    <w:r w:rsidR="00F30AAF">
      <w:t xml:space="preserve"> 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74747" w14:textId="77777777" w:rsidR="00AA5362" w:rsidRDefault="00AA5362" w:rsidP="00106C83">
      <w:pPr>
        <w:spacing w:after="0" w:line="240" w:lineRule="auto"/>
      </w:pPr>
      <w:r>
        <w:separator/>
      </w:r>
    </w:p>
  </w:footnote>
  <w:footnote w:type="continuationSeparator" w:id="0">
    <w:p w14:paraId="766D7C96" w14:textId="77777777" w:rsidR="00AA5362" w:rsidRDefault="00AA536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5304"/>
    <w:multiLevelType w:val="hybridMultilevel"/>
    <w:tmpl w:val="A086C114"/>
    <w:lvl w:ilvl="0" w:tplc="45DC73C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3AC7"/>
    <w:rsid w:val="00037FBC"/>
    <w:rsid w:val="00050BFF"/>
    <w:rsid w:val="000567EC"/>
    <w:rsid w:val="00064AD5"/>
    <w:rsid w:val="00071FBC"/>
    <w:rsid w:val="000736BB"/>
    <w:rsid w:val="00073FE2"/>
    <w:rsid w:val="00080439"/>
    <w:rsid w:val="000911A3"/>
    <w:rsid w:val="000940CD"/>
    <w:rsid w:val="00094907"/>
    <w:rsid w:val="00094911"/>
    <w:rsid w:val="000A3A94"/>
    <w:rsid w:val="000A720C"/>
    <w:rsid w:val="000B665A"/>
    <w:rsid w:val="000C6F7E"/>
    <w:rsid w:val="000E6DCB"/>
    <w:rsid w:val="00106C83"/>
    <w:rsid w:val="00114B5B"/>
    <w:rsid w:val="00121105"/>
    <w:rsid w:val="0013360C"/>
    <w:rsid w:val="001547D0"/>
    <w:rsid w:val="00161153"/>
    <w:rsid w:val="00176FB7"/>
    <w:rsid w:val="001B5234"/>
    <w:rsid w:val="001B7C44"/>
    <w:rsid w:val="001C631B"/>
    <w:rsid w:val="001D150C"/>
    <w:rsid w:val="001D63F4"/>
    <w:rsid w:val="0021293D"/>
    <w:rsid w:val="0021446D"/>
    <w:rsid w:val="00217EEC"/>
    <w:rsid w:val="00226C16"/>
    <w:rsid w:val="00293FD8"/>
    <w:rsid w:val="002A07AF"/>
    <w:rsid w:val="002A79C8"/>
    <w:rsid w:val="002B2E90"/>
    <w:rsid w:val="002E0895"/>
    <w:rsid w:val="002F165A"/>
    <w:rsid w:val="00320459"/>
    <w:rsid w:val="00337770"/>
    <w:rsid w:val="00341EFB"/>
    <w:rsid w:val="0034204F"/>
    <w:rsid w:val="00355987"/>
    <w:rsid w:val="00361F09"/>
    <w:rsid w:val="00370AE9"/>
    <w:rsid w:val="0038705A"/>
    <w:rsid w:val="003912C1"/>
    <w:rsid w:val="00396627"/>
    <w:rsid w:val="003D7EA5"/>
    <w:rsid w:val="004144E6"/>
    <w:rsid w:val="004156B2"/>
    <w:rsid w:val="00422996"/>
    <w:rsid w:val="00427459"/>
    <w:rsid w:val="00437734"/>
    <w:rsid w:val="00452B4E"/>
    <w:rsid w:val="00455645"/>
    <w:rsid w:val="0047123E"/>
    <w:rsid w:val="0048154F"/>
    <w:rsid w:val="00485898"/>
    <w:rsid w:val="004924A7"/>
    <w:rsid w:val="004D139D"/>
    <w:rsid w:val="004D2037"/>
    <w:rsid w:val="004D6EBD"/>
    <w:rsid w:val="004E14DC"/>
    <w:rsid w:val="004F49D5"/>
    <w:rsid w:val="004F5017"/>
    <w:rsid w:val="0051196E"/>
    <w:rsid w:val="00535598"/>
    <w:rsid w:val="00547EE3"/>
    <w:rsid w:val="00551030"/>
    <w:rsid w:val="00551D8A"/>
    <w:rsid w:val="00581B36"/>
    <w:rsid w:val="00583E8E"/>
    <w:rsid w:val="005A3370"/>
    <w:rsid w:val="005E03AD"/>
    <w:rsid w:val="00601EBD"/>
    <w:rsid w:val="00635959"/>
    <w:rsid w:val="006413E6"/>
    <w:rsid w:val="00647BF3"/>
    <w:rsid w:val="00652DC0"/>
    <w:rsid w:val="00654635"/>
    <w:rsid w:val="0067433A"/>
    <w:rsid w:val="00682C5E"/>
    <w:rsid w:val="006A36A3"/>
    <w:rsid w:val="006B106E"/>
    <w:rsid w:val="006D1B38"/>
    <w:rsid w:val="006E4EA4"/>
    <w:rsid w:val="00701EEA"/>
    <w:rsid w:val="00712E94"/>
    <w:rsid w:val="007159E2"/>
    <w:rsid w:val="00743C01"/>
    <w:rsid w:val="00790C4A"/>
    <w:rsid w:val="00793B26"/>
    <w:rsid w:val="007A21B6"/>
    <w:rsid w:val="007A4AA2"/>
    <w:rsid w:val="007E5BD2"/>
    <w:rsid w:val="00802EEB"/>
    <w:rsid w:val="008166AA"/>
    <w:rsid w:val="008243FB"/>
    <w:rsid w:val="008247FE"/>
    <w:rsid w:val="008425FA"/>
    <w:rsid w:val="00872F18"/>
    <w:rsid w:val="00874EF7"/>
    <w:rsid w:val="00876EFD"/>
    <w:rsid w:val="00877A25"/>
    <w:rsid w:val="0088310D"/>
    <w:rsid w:val="008B57FC"/>
    <w:rsid w:val="008C6019"/>
    <w:rsid w:val="008D596B"/>
    <w:rsid w:val="00906DBF"/>
    <w:rsid w:val="009104CC"/>
    <w:rsid w:val="0091391D"/>
    <w:rsid w:val="00956243"/>
    <w:rsid w:val="00981283"/>
    <w:rsid w:val="0098577B"/>
    <w:rsid w:val="009D3C31"/>
    <w:rsid w:val="009D422D"/>
    <w:rsid w:val="009E6837"/>
    <w:rsid w:val="009E6F32"/>
    <w:rsid w:val="009F007A"/>
    <w:rsid w:val="009F1032"/>
    <w:rsid w:val="009F3AE6"/>
    <w:rsid w:val="009F71B0"/>
    <w:rsid w:val="00A320DF"/>
    <w:rsid w:val="00A43875"/>
    <w:rsid w:val="00A63677"/>
    <w:rsid w:val="00A767C8"/>
    <w:rsid w:val="00A82904"/>
    <w:rsid w:val="00A905A3"/>
    <w:rsid w:val="00AA5362"/>
    <w:rsid w:val="00AA7480"/>
    <w:rsid w:val="00AC6B1E"/>
    <w:rsid w:val="00AE3C07"/>
    <w:rsid w:val="00AE46B0"/>
    <w:rsid w:val="00B02944"/>
    <w:rsid w:val="00B178A4"/>
    <w:rsid w:val="00B2185C"/>
    <w:rsid w:val="00B242E2"/>
    <w:rsid w:val="00B54617"/>
    <w:rsid w:val="00B63AF7"/>
    <w:rsid w:val="00B66A21"/>
    <w:rsid w:val="00B70B6E"/>
    <w:rsid w:val="00BA622C"/>
    <w:rsid w:val="00BB13ED"/>
    <w:rsid w:val="00C13753"/>
    <w:rsid w:val="00C30D99"/>
    <w:rsid w:val="00C316D4"/>
    <w:rsid w:val="00C47901"/>
    <w:rsid w:val="00C6258F"/>
    <w:rsid w:val="00C67A97"/>
    <w:rsid w:val="00C71B20"/>
    <w:rsid w:val="00C72490"/>
    <w:rsid w:val="00C82DD9"/>
    <w:rsid w:val="00C86566"/>
    <w:rsid w:val="00CA55F7"/>
    <w:rsid w:val="00CB4405"/>
    <w:rsid w:val="00CB499B"/>
    <w:rsid w:val="00CB6945"/>
    <w:rsid w:val="00CC0487"/>
    <w:rsid w:val="00CC4E9A"/>
    <w:rsid w:val="00CC6332"/>
    <w:rsid w:val="00CF54CD"/>
    <w:rsid w:val="00CF77CF"/>
    <w:rsid w:val="00D05A62"/>
    <w:rsid w:val="00D05DC0"/>
    <w:rsid w:val="00D252A8"/>
    <w:rsid w:val="00D34C68"/>
    <w:rsid w:val="00D3705C"/>
    <w:rsid w:val="00D90098"/>
    <w:rsid w:val="00DC1B11"/>
    <w:rsid w:val="00E247A0"/>
    <w:rsid w:val="00E35E0F"/>
    <w:rsid w:val="00E371D1"/>
    <w:rsid w:val="00E40644"/>
    <w:rsid w:val="00E53738"/>
    <w:rsid w:val="00E6178F"/>
    <w:rsid w:val="00E665E9"/>
    <w:rsid w:val="00E75053"/>
    <w:rsid w:val="00EC2ED4"/>
    <w:rsid w:val="00ED5F67"/>
    <w:rsid w:val="00EF08AE"/>
    <w:rsid w:val="00EF4187"/>
    <w:rsid w:val="00EF5790"/>
    <w:rsid w:val="00F126B0"/>
    <w:rsid w:val="00F21046"/>
    <w:rsid w:val="00F30AAF"/>
    <w:rsid w:val="00F60B88"/>
    <w:rsid w:val="00F823CE"/>
    <w:rsid w:val="00F83F8D"/>
    <w:rsid w:val="00FA0047"/>
    <w:rsid w:val="00FA4BA7"/>
    <w:rsid w:val="00FD5EA2"/>
    <w:rsid w:val="00FE4749"/>
    <w:rsid w:val="00FF0302"/>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41C37"/>
  <w15:docId w15:val="{4219E93C-BD45-4031-A8EE-E5BFC89C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566"/>
    <w:pPr>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link w:val="ListParagraphChar"/>
    <w:uiPriority w:val="34"/>
    <w:qFormat/>
    <w:rsid w:val="00BA622C"/>
    <w:pPr>
      <w:ind w:left="720"/>
      <w:contextualSpacing/>
    </w:pPr>
  </w:style>
  <w:style w:type="paragraph" w:styleId="NormalWeb">
    <w:name w:val="Normal (Web)"/>
    <w:basedOn w:val="Normal"/>
    <w:uiPriority w:val="99"/>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link w:val="CaptionChar"/>
    <w:autoRedefine/>
    <w:uiPriority w:val="35"/>
    <w:unhideWhenUsed/>
    <w:qFormat/>
    <w:rsid w:val="009104CC"/>
    <w:pPr>
      <w:keepNext/>
      <w:spacing w:after="0"/>
      <w:jc w:val="left"/>
    </w:pPr>
    <w:rPr>
      <w:rFonts w:ascii="Georgia" w:eastAsia="Times New Roman" w:hAnsi="Georgia" w:cs="Times New Roman"/>
      <w:bCs/>
      <w:sz w:val="22"/>
      <w:szCs w:val="18"/>
    </w:rPr>
  </w:style>
  <w:style w:type="character" w:customStyle="1" w:styleId="CaptionChar">
    <w:name w:val="Caption Char"/>
    <w:basedOn w:val="DefaultParagraphFont"/>
    <w:link w:val="Caption"/>
    <w:uiPriority w:val="35"/>
    <w:rsid w:val="009104CC"/>
    <w:rPr>
      <w:rFonts w:ascii="Georgia" w:eastAsia="Times New Roman" w:hAnsi="Georgia" w:cs="Times New Roman"/>
      <w:bCs/>
      <w:szCs w:val="18"/>
    </w:rPr>
  </w:style>
  <w:style w:type="character" w:customStyle="1" w:styleId="ListParagraphChar">
    <w:name w:val="List Paragraph Char"/>
    <w:basedOn w:val="DefaultParagraphFont"/>
    <w:link w:val="ListParagraph"/>
    <w:uiPriority w:val="34"/>
    <w:rsid w:val="00F126B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4678">
      <w:bodyDiv w:val="1"/>
      <w:marLeft w:val="0"/>
      <w:marRight w:val="0"/>
      <w:marTop w:val="0"/>
      <w:marBottom w:val="0"/>
      <w:divBdr>
        <w:top w:val="none" w:sz="0" w:space="0" w:color="auto"/>
        <w:left w:val="none" w:sz="0" w:space="0" w:color="auto"/>
        <w:bottom w:val="none" w:sz="0" w:space="0" w:color="auto"/>
        <w:right w:val="none" w:sz="0" w:space="0" w:color="auto"/>
      </w:divBdr>
      <w:divsChild>
        <w:div w:id="708146298">
          <w:marLeft w:val="0"/>
          <w:marRight w:val="0"/>
          <w:marTop w:val="0"/>
          <w:marBottom w:val="0"/>
          <w:divBdr>
            <w:top w:val="none" w:sz="0" w:space="0" w:color="auto"/>
            <w:left w:val="none" w:sz="0" w:space="0" w:color="auto"/>
            <w:bottom w:val="none" w:sz="0" w:space="0" w:color="auto"/>
            <w:right w:val="none" w:sz="0" w:space="0" w:color="auto"/>
          </w:divBdr>
        </w:div>
        <w:div w:id="614946575">
          <w:marLeft w:val="0"/>
          <w:marRight w:val="0"/>
          <w:marTop w:val="0"/>
          <w:marBottom w:val="0"/>
          <w:divBdr>
            <w:top w:val="none" w:sz="0" w:space="0" w:color="auto"/>
            <w:left w:val="none" w:sz="0" w:space="0" w:color="auto"/>
            <w:bottom w:val="none" w:sz="0" w:space="0" w:color="auto"/>
            <w:right w:val="none" w:sz="0" w:space="0" w:color="auto"/>
          </w:divBdr>
        </w:div>
      </w:divsChild>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728577200">
      <w:bodyDiv w:val="1"/>
      <w:marLeft w:val="0"/>
      <w:marRight w:val="0"/>
      <w:marTop w:val="0"/>
      <w:marBottom w:val="0"/>
      <w:divBdr>
        <w:top w:val="none" w:sz="0" w:space="0" w:color="auto"/>
        <w:left w:val="none" w:sz="0" w:space="0" w:color="auto"/>
        <w:bottom w:val="none" w:sz="0" w:space="0" w:color="auto"/>
        <w:right w:val="none" w:sz="0" w:space="0" w:color="auto"/>
      </w:divBdr>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042679795">
      <w:bodyDiv w:val="1"/>
      <w:marLeft w:val="0"/>
      <w:marRight w:val="0"/>
      <w:marTop w:val="0"/>
      <w:marBottom w:val="0"/>
      <w:divBdr>
        <w:top w:val="none" w:sz="0" w:space="0" w:color="auto"/>
        <w:left w:val="none" w:sz="0" w:space="0" w:color="auto"/>
        <w:bottom w:val="none" w:sz="0" w:space="0" w:color="auto"/>
        <w:right w:val="none" w:sz="0" w:space="0" w:color="auto"/>
      </w:divBdr>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478034688">
      <w:bodyDiv w:val="1"/>
      <w:marLeft w:val="0"/>
      <w:marRight w:val="0"/>
      <w:marTop w:val="0"/>
      <w:marBottom w:val="0"/>
      <w:divBdr>
        <w:top w:val="none" w:sz="0" w:space="0" w:color="auto"/>
        <w:left w:val="none" w:sz="0" w:space="0" w:color="auto"/>
        <w:bottom w:val="none" w:sz="0" w:space="0" w:color="auto"/>
        <w:right w:val="none" w:sz="0" w:space="0" w:color="auto"/>
      </w:divBdr>
      <w:divsChild>
        <w:div w:id="1823615050">
          <w:marLeft w:val="0"/>
          <w:marRight w:val="0"/>
          <w:marTop w:val="0"/>
          <w:marBottom w:val="0"/>
          <w:divBdr>
            <w:top w:val="none" w:sz="0" w:space="0" w:color="auto"/>
            <w:left w:val="none" w:sz="0" w:space="0" w:color="auto"/>
            <w:bottom w:val="none" w:sz="0" w:space="0" w:color="auto"/>
            <w:right w:val="none" w:sz="0" w:space="0" w:color="auto"/>
          </w:divBdr>
        </w:div>
        <w:div w:id="852643029">
          <w:marLeft w:val="0"/>
          <w:marRight w:val="0"/>
          <w:marTop w:val="0"/>
          <w:marBottom w:val="0"/>
          <w:divBdr>
            <w:top w:val="none" w:sz="0" w:space="0" w:color="auto"/>
            <w:left w:val="none" w:sz="0" w:space="0" w:color="auto"/>
            <w:bottom w:val="none" w:sz="0" w:space="0" w:color="auto"/>
            <w:right w:val="none" w:sz="0" w:space="0" w:color="auto"/>
          </w:divBdr>
        </w:div>
        <w:div w:id="869338426">
          <w:marLeft w:val="0"/>
          <w:marRight w:val="0"/>
          <w:marTop w:val="0"/>
          <w:marBottom w:val="0"/>
          <w:divBdr>
            <w:top w:val="none" w:sz="0" w:space="0" w:color="auto"/>
            <w:left w:val="none" w:sz="0" w:space="0" w:color="auto"/>
            <w:bottom w:val="none" w:sz="0" w:space="0" w:color="auto"/>
            <w:right w:val="none" w:sz="0" w:space="0" w:color="auto"/>
          </w:divBdr>
        </w:div>
        <w:div w:id="1796833058">
          <w:marLeft w:val="0"/>
          <w:marRight w:val="0"/>
          <w:marTop w:val="0"/>
          <w:marBottom w:val="0"/>
          <w:divBdr>
            <w:top w:val="none" w:sz="0" w:space="0" w:color="auto"/>
            <w:left w:val="none" w:sz="0" w:space="0" w:color="auto"/>
            <w:bottom w:val="none" w:sz="0" w:space="0" w:color="auto"/>
            <w:right w:val="none" w:sz="0" w:space="0" w:color="auto"/>
          </w:divBdr>
        </w:div>
      </w:divsChild>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26BEE-046A-46EF-A2E4-4C716891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Steven Lottes</cp:lastModifiedBy>
  <cp:revision>9</cp:revision>
  <cp:lastPrinted>2011-06-21T20:32:00Z</cp:lastPrinted>
  <dcterms:created xsi:type="dcterms:W3CDTF">2019-12-16T19:45:00Z</dcterms:created>
  <dcterms:modified xsi:type="dcterms:W3CDTF">2019-12-17T17:52:00Z</dcterms:modified>
</cp:coreProperties>
</file>