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54F862AB" w:rsidR="00AA4D6E" w:rsidRPr="000D0360" w:rsidRDefault="00B84797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0D036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B84797">
              <w:rPr>
                <w:rFonts w:ascii="Arial" w:hAnsi="Arial" w:cs="Arial"/>
                <w:sz w:val="20"/>
                <w:szCs w:val="20"/>
              </w:rPr>
              <w:t>Quarter 1 (January 1 – March 31, 201</w:t>
            </w:r>
            <w:r w:rsidR="000D0360" w:rsidRPr="00B84797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A17B9A" w14:textId="42D16D54" w:rsidR="00AA4D6E" w:rsidRPr="008A2D0F" w:rsidRDefault="008A2D0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8A2D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8A2D0F">
              <w:rPr>
                <w:rFonts w:ascii="Arial" w:hAnsi="Arial" w:cs="Arial"/>
                <w:sz w:val="20"/>
                <w:szCs w:val="20"/>
              </w:rPr>
              <w:t>Quarter 2 (April 1 – June 30, 201</w:t>
            </w:r>
            <w:r w:rsidR="000D0360" w:rsidRPr="008A2D0F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8A2D0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539D16CB" w:rsidR="00AA4D6E" w:rsidRPr="008A2D0F" w:rsidRDefault="008A2D0F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A2D0F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8A2D0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8A2D0F">
              <w:rPr>
                <w:rFonts w:ascii="Arial" w:hAnsi="Arial" w:cs="Arial"/>
                <w:b/>
                <w:sz w:val="20"/>
                <w:szCs w:val="20"/>
              </w:rPr>
              <w:t>Quarter 3 (July 1 – September 30, 201</w:t>
            </w:r>
            <w:r w:rsidR="000D0360" w:rsidRPr="008A2D0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A4D6E" w:rsidRPr="008A2D0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7D11192" w14:textId="0FE26230" w:rsidR="000C209F" w:rsidRPr="000D0360" w:rsidRDefault="000D0360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D036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0D036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Quarter 4 (October 1 – December 31, 201</w:t>
            </w:r>
            <w:r w:rsidRPr="000D0360">
              <w:rPr>
                <w:rFonts w:ascii="Arial" w:hAnsi="Arial" w:cs="Arial"/>
                <w:sz w:val="20"/>
                <w:szCs w:val="20"/>
              </w:rPr>
              <w:t>9</w:t>
            </w:r>
            <w:r w:rsidR="00AA4D6E" w:rsidRPr="000D03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391C982F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2020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020A">
              <w:rPr>
                <w:rFonts w:ascii="Arial" w:hAnsi="Arial" w:cs="Arial"/>
                <w:sz w:val="20"/>
                <w:szCs w:val="20"/>
              </w:rPr>
              <w:t>43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17433C0C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D2F6D" w:rsidRPr="00FD2F6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49EA74CF" w:rsidR="004519AB" w:rsidRPr="0085570C" w:rsidRDefault="004519AB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891A09">
              <w:rPr>
                <w:rFonts w:ascii="Arial" w:hAnsi="Arial" w:cs="Arial"/>
                <w:sz w:val="20"/>
                <w:szCs w:val="20"/>
              </w:rPr>
              <w:t>65</w:t>
            </w:r>
            <w:r w:rsidR="003068E9" w:rsidRPr="002B2F5C">
              <w:rPr>
                <w:rFonts w:ascii="Arial" w:hAnsi="Arial" w:cs="Arial"/>
                <w:sz w:val="20"/>
                <w:szCs w:val="20"/>
              </w:rPr>
              <w:t>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69A3A34B" w14:textId="432D186F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74E16">
              <w:rPr>
                <w:rFonts w:ascii="Arial" w:hAnsi="Arial" w:cs="Arial"/>
                <w:sz w:val="20"/>
                <w:szCs w:val="20"/>
              </w:rPr>
              <w:t>51,420.45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31333F4C" w:rsidR="000C209F" w:rsidRPr="005D4104" w:rsidRDefault="00891A09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E5AE3">
              <w:rPr>
                <w:rFonts w:ascii="Arial" w:hAnsi="Arial" w:cs="Arial"/>
                <w:sz w:val="20"/>
                <w:szCs w:val="20"/>
              </w:rPr>
              <w:t>5</w:t>
            </w:r>
            <w:r w:rsidR="00845B7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143BAE4B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C93A52">
              <w:rPr>
                <w:rFonts w:ascii="Arial" w:hAnsi="Arial" w:cs="Arial"/>
                <w:sz w:val="20"/>
                <w:szCs w:val="20"/>
              </w:rPr>
              <w:t>11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7B38DBF6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891A09">
              <w:rPr>
                <w:rFonts w:ascii="Arial" w:hAnsi="Arial" w:cs="Arial"/>
                <w:sz w:val="20"/>
                <w:szCs w:val="20"/>
              </w:rPr>
              <w:t>4</w:t>
            </w:r>
            <w:r w:rsidR="00DE35C8">
              <w:rPr>
                <w:rFonts w:ascii="Arial" w:hAnsi="Arial" w:cs="Arial"/>
                <w:sz w:val="20"/>
                <w:szCs w:val="20"/>
              </w:rPr>
              <w:t>6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6E568FCD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C93A52">
              <w:rPr>
                <w:rFonts w:ascii="Arial" w:hAnsi="Arial" w:cs="Arial"/>
                <w:sz w:val="20"/>
                <w:szCs w:val="20"/>
              </w:rPr>
              <w:t>15,000</w:t>
            </w:r>
            <w:r w:rsidR="00DE35C8">
              <w:rPr>
                <w:rFonts w:ascii="Arial" w:hAnsi="Arial" w:cs="Arial"/>
                <w:sz w:val="20"/>
                <w:szCs w:val="20"/>
              </w:rPr>
              <w:t>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2D4FE017" w:rsidR="000C209F" w:rsidRPr="00360664" w:rsidRDefault="007E4E90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E5AE3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7F141AB9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77B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77777777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In progress. </w:t>
            </w:r>
            <w:r w:rsidR="00311494">
              <w:rPr>
                <w:rFonts w:ascii="Arial" w:hAnsi="Arial" w:cs="Arial"/>
                <w:sz w:val="20"/>
                <w:szCs w:val="20"/>
              </w:rPr>
              <w:t>This task</w:t>
            </w:r>
            <w:r w:rsidR="00C64D98">
              <w:rPr>
                <w:rFonts w:ascii="Arial" w:hAnsi="Arial" w:cs="Arial"/>
                <w:sz w:val="20"/>
                <w:szCs w:val="20"/>
              </w:rPr>
              <w:t xml:space="preserve"> will continue as other data are added to the dataset.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102FA10E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41E18">
              <w:rPr>
                <w:rFonts w:ascii="Arial" w:hAnsi="Arial" w:cs="Arial"/>
                <w:sz w:val="20"/>
                <w:szCs w:val="20"/>
              </w:rPr>
              <w:t>Continuing.</w:t>
            </w:r>
          </w:p>
          <w:p w14:paraId="6606FFC9" w14:textId="2F0A97CF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E470D">
              <w:rPr>
                <w:rFonts w:ascii="Arial" w:hAnsi="Arial" w:cs="Arial"/>
                <w:sz w:val="20"/>
                <w:szCs w:val="20"/>
              </w:rPr>
              <w:t>Continuing</w:t>
            </w:r>
            <w:r w:rsidR="00F777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061F4844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5AE3">
              <w:rPr>
                <w:rFonts w:ascii="Arial" w:hAnsi="Arial" w:cs="Arial"/>
                <w:sz w:val="20"/>
                <w:szCs w:val="20"/>
              </w:rPr>
              <w:t>Uploaded sample data set to UCLA database</w:t>
            </w:r>
            <w:r w:rsidR="00F777B2">
              <w:rPr>
                <w:rFonts w:ascii="Arial" w:hAnsi="Arial" w:cs="Arial"/>
                <w:sz w:val="20"/>
                <w:szCs w:val="20"/>
              </w:rPr>
              <w:t>.</w:t>
            </w:r>
            <w:r w:rsidR="001E5F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FC5">
              <w:rPr>
                <w:rFonts w:ascii="Arial" w:hAnsi="Arial" w:cs="Arial"/>
                <w:sz w:val="20"/>
                <w:szCs w:val="20"/>
              </w:rPr>
              <w:t>Task 7 Progress Memo was submitted.</w:t>
            </w:r>
          </w:p>
          <w:p w14:paraId="23A8F477" w14:textId="79157BAC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Not started</w:t>
            </w:r>
            <w:r w:rsidR="00397A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883DCF" w14:textId="08E8591F" w:rsidR="00477F21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E5AE3">
              <w:rPr>
                <w:rFonts w:ascii="Arial" w:hAnsi="Arial" w:cs="Arial"/>
                <w:sz w:val="20"/>
                <w:szCs w:val="20"/>
              </w:rPr>
              <w:t xml:space="preserve"> Started – Technical approach defended to U of U graduate committee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4B1E86" w14:textId="77777777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interim report finalized.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F67C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435045">
              <w:rPr>
                <w:rFonts w:ascii="Arial" w:hAnsi="Arial" w:cs="Arial"/>
                <w:sz w:val="20"/>
                <w:szCs w:val="20"/>
              </w:rPr>
              <w:t>None were held this quarter.</w:t>
            </w:r>
          </w:p>
          <w:p w14:paraId="5ABDA62B" w14:textId="77777777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423F2" w14:textId="3AAFC61E" w:rsidR="00C03C4A" w:rsidRDefault="00C03C4A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18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DD171D8" w14:textId="2A503669" w:rsidR="001A7068" w:rsidRPr="0078688E" w:rsidRDefault="001A7068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C20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 w:rsidRPr="006B3C2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777777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Continue to inventory methods of quantifying uncertainty and data quality</w:t>
            </w:r>
            <w:r w:rsidR="00F03A5B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5546FC08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In progress. BYU</w:t>
            </w:r>
            <w:r w:rsidR="00D05A91" w:rsidRPr="00302A6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working on 2010 Maule, Chile; 2011 Tohoku, Japan, 2010 Darfield and 2011 Christ</w:t>
            </w:r>
            <w:r w:rsidR="00046A7F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hurch Earthquakes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373ECA10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Obtaining data in progress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6222FDEF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A5B" w:rsidRPr="00302A69">
              <w:rPr>
                <w:rFonts w:ascii="Arial" w:hAnsi="Arial" w:cs="Arial"/>
                <w:sz w:val="20"/>
                <w:szCs w:val="20"/>
              </w:rPr>
              <w:t>Continue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A91" w:rsidRPr="00302A6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>population of data set</w:t>
            </w:r>
            <w:r w:rsidR="00EE52F0" w:rsidRPr="00302A69">
              <w:rPr>
                <w:rFonts w:ascii="Arial" w:hAnsi="Arial" w:cs="Arial"/>
                <w:sz w:val="20"/>
                <w:szCs w:val="20"/>
              </w:rPr>
              <w:t xml:space="preserve"> for U.S. Case histories</w:t>
            </w:r>
            <w:r w:rsidR="003E5AE3">
              <w:rPr>
                <w:rFonts w:ascii="Arial" w:hAnsi="Arial" w:cs="Arial"/>
                <w:sz w:val="20"/>
                <w:szCs w:val="20"/>
              </w:rPr>
              <w:t xml:space="preserve"> and uploading to UCLA database</w:t>
            </w:r>
            <w:r w:rsidR="001E5F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CA38B9" w14:textId="08849A60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97B" w:rsidRPr="00302A69">
              <w:rPr>
                <w:rFonts w:ascii="Arial" w:hAnsi="Arial" w:cs="Arial"/>
                <w:sz w:val="20"/>
                <w:szCs w:val="20"/>
              </w:rPr>
              <w:t>Not started.</w:t>
            </w:r>
          </w:p>
          <w:p w14:paraId="2DE722A3" w14:textId="75B2FB50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5AE3">
              <w:rPr>
                <w:rFonts w:ascii="Arial" w:hAnsi="Arial" w:cs="Arial"/>
                <w:sz w:val="20"/>
                <w:szCs w:val="20"/>
              </w:rPr>
              <w:t>Begin work on screening criteria</w:t>
            </w:r>
            <w:r w:rsidR="001E5F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E5FC5" w:rsidRPr="00302A69">
              <w:rPr>
                <w:rFonts w:ascii="Arial" w:hAnsi="Arial" w:cs="Arial"/>
                <w:sz w:val="20"/>
                <w:szCs w:val="20"/>
              </w:rPr>
              <w:t xml:space="preserve">Complete and submit the Task </w:t>
            </w:r>
            <w:r w:rsidR="001E5FC5">
              <w:rPr>
                <w:rFonts w:ascii="Arial" w:hAnsi="Arial" w:cs="Arial"/>
                <w:sz w:val="20"/>
                <w:szCs w:val="20"/>
              </w:rPr>
              <w:t>9</w:t>
            </w:r>
            <w:r w:rsidR="001E5FC5" w:rsidRPr="00302A69">
              <w:rPr>
                <w:rFonts w:ascii="Arial" w:hAnsi="Arial" w:cs="Arial"/>
                <w:sz w:val="20"/>
                <w:szCs w:val="20"/>
              </w:rPr>
              <w:t xml:space="preserve"> Progress Memo.</w:t>
            </w:r>
          </w:p>
          <w:p w14:paraId="17C6B67B" w14:textId="4E991DC6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Continuing.</w:t>
            </w:r>
            <w:r w:rsidR="009B28B3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 Consider holding a TAC web conference to discuss progress to date, next steps, and questions.</w:t>
            </w:r>
          </w:p>
          <w:p w14:paraId="3E840B7C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04504731" w:rsidR="00B24B51" w:rsidRPr="00302A69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6EF" w:rsidRPr="00302A69">
              <w:rPr>
                <w:rFonts w:ascii="Arial" w:hAnsi="Arial" w:cs="Arial"/>
                <w:sz w:val="20"/>
                <w:szCs w:val="20"/>
              </w:rPr>
              <w:t xml:space="preserve">No changes </w:t>
            </w:r>
            <w:r w:rsidR="00841E18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7446EF" w:rsidRPr="00302A69">
              <w:rPr>
                <w:rFonts w:ascii="Arial" w:hAnsi="Arial" w:cs="Arial"/>
                <w:sz w:val="20"/>
                <w:szCs w:val="20"/>
              </w:rPr>
              <w:t>planned.</w:t>
            </w:r>
          </w:p>
          <w:p w14:paraId="6658C851" w14:textId="23FA3F27" w:rsidR="007446EF" w:rsidRPr="00302A69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96"/>
      </w:tblGrid>
      <w:tr w:rsidR="000C209F" w:rsidRPr="00360664" w14:paraId="7C9F6853" w14:textId="77777777" w:rsidTr="00360664">
        <w:tc>
          <w:tcPr>
            <w:tcW w:w="10908" w:type="dxa"/>
          </w:tcPr>
          <w:p w14:paraId="2AA6C93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3698A4" w14:textId="77777777" w:rsidR="00B51BA0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E5FC5">
              <w:rPr>
                <w:rFonts w:ascii="Arial" w:hAnsi="Arial" w:cs="Arial"/>
                <w:b/>
                <w:sz w:val="20"/>
                <w:szCs w:val="20"/>
              </w:rPr>
              <w:t>Significant Results</w:t>
            </w:r>
            <w:r w:rsidR="00B51BA0" w:rsidRPr="001E5FC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334E04" w14:textId="77777777" w:rsidR="00B51BA0" w:rsidRDefault="00B51BA0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FBF53" w14:textId="77777777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488F07" w14:textId="3EA6CD12" w:rsidR="002F38BB" w:rsidRPr="003E5AE3" w:rsidRDefault="003E5AE3" w:rsidP="00F77F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5AE3">
              <w:rPr>
                <w:rFonts w:ascii="Arial" w:hAnsi="Arial" w:cs="Arial"/>
                <w:b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E5AE3">
              <w:rPr>
                <w:rFonts w:ascii="Arial" w:hAnsi="Arial" w:cs="Arial"/>
                <w:b/>
                <w:sz w:val="20"/>
                <w:szCs w:val="20"/>
              </w:rPr>
              <w:t>versity of Utah</w:t>
            </w:r>
          </w:p>
          <w:p w14:paraId="49196BC7" w14:textId="75C92227" w:rsidR="002F38BB" w:rsidRPr="00AF0275" w:rsidRDefault="002F38BB" w:rsidP="00F77FD2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11480" w:type="dxa"/>
              <w:tblLook w:val="04A0" w:firstRow="1" w:lastRow="0" w:firstColumn="1" w:lastColumn="0" w:noHBand="0" w:noVBand="1"/>
            </w:tblPr>
            <w:tblGrid>
              <w:gridCol w:w="2480"/>
              <w:gridCol w:w="1560"/>
              <w:gridCol w:w="1660"/>
              <w:gridCol w:w="1300"/>
              <w:gridCol w:w="1440"/>
              <w:gridCol w:w="1100"/>
              <w:gridCol w:w="1940"/>
            </w:tblGrid>
            <w:tr w:rsidR="00EE5D2A" w:rsidRPr="00EE5D2A" w14:paraId="7F80CD3F" w14:textId="77777777" w:rsidTr="00EE5D2A">
              <w:trPr>
                <w:trHeight w:val="100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76E2E94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Case history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7A1B9BF2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Site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103A8B0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Displacement vectors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30F4459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Boreholes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261F691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Subsurface data rows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1E101F2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Topology points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6B88F08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Cross-checked</w:t>
                  </w:r>
                </w:p>
              </w:tc>
            </w:tr>
            <w:tr w:rsidR="00EE5D2A" w:rsidRPr="00EE5D2A" w14:paraId="303E9A6C" w14:textId="77777777" w:rsidTr="00EE5D2A">
              <w:trPr>
                <w:trHeight w:val="300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4EF87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1964 Niigata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F2D4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989EC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179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11570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44434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359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5697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429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C957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In progress</w:t>
                  </w:r>
                </w:p>
              </w:tc>
            </w:tr>
            <w:tr w:rsidR="00EE5D2A" w:rsidRPr="00EE5D2A" w14:paraId="6FACB520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B6F0E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43EB2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G10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A174C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654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0B1F2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B657D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1574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536EC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256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CE76B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Completed</w:t>
                  </w:r>
                </w:p>
              </w:tc>
            </w:tr>
            <w:tr w:rsidR="00EE5D2A" w:rsidRPr="00EE5D2A" w14:paraId="0E078088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AD6F6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96C5A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H9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29D40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B84FD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B943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92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D2DDA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235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DFBF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Completed</w:t>
                  </w:r>
                </w:p>
              </w:tc>
            </w:tr>
            <w:tr w:rsidR="00EE5D2A" w:rsidRPr="00EE5D2A" w14:paraId="1D6BD341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DAA06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491FD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J9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7FF7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442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F0F35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B337E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192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746BD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297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5ADA0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In progress</w:t>
                  </w:r>
                </w:p>
              </w:tc>
            </w:tr>
            <w:tr w:rsidR="00EE5D2A" w:rsidRPr="00EE5D2A" w14:paraId="09523495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9436B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04A72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K8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C9F3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285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C4CF2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4B102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6DED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302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8EB21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5854C892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B7FC1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A4ECE8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55F88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1715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92BDA5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145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62FA4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2279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A28D0D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1519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DF6C9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2D2F1D4E" w14:textId="77777777" w:rsidTr="00EE5D2A">
              <w:trPr>
                <w:trHeight w:val="1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F775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1E01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F38B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5E795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623B2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832BC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2E2A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577D9CEC" w14:textId="77777777" w:rsidTr="00EE5D2A">
              <w:trPr>
                <w:trHeight w:val="600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8408F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1983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Noshiro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9889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South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DA931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266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4927F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8F871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462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3FA04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176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F4B2D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56DA360E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F9FA2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FD892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North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3436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147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BCD2A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59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388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848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8716B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348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7F408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310FA478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58A2D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F6BA6D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FED2BD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413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718B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187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33B0C6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1310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B56A30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524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BA244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65767D9D" w14:textId="77777777" w:rsidTr="00EE5D2A">
              <w:trPr>
                <w:trHeight w:val="13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56B2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8CB60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FCB8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F376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1E64C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0E179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CC7B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344B442B" w14:textId="77777777" w:rsidTr="00EE5D2A">
              <w:trPr>
                <w:trHeight w:val="564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BDCA7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1971 San Fernando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D670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Jensen water plant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35BCE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9BAE9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85F98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494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C270A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67C05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DE7338A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82E8A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254AD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Juvenile hall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7FC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F32B4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F97D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121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01A9B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7ABD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55A22758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B0FAF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598BAA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F3DB2A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148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FB483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F0D815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615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42835B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13CB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3EDDC435" w14:textId="77777777" w:rsidTr="00EE5D2A">
              <w:trPr>
                <w:trHeight w:val="16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CC3B0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1502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C2B5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C6FC7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D0886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0D6DC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38172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706CDAAB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CFB32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1964 Alaska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8FD941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3280C6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270AC8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7977A1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411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934271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C808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1A5FF1E" w14:textId="77777777" w:rsidTr="00EE5D2A">
              <w:trPr>
                <w:trHeight w:val="19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0DC18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6A8D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92F6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C6BD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B206C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9C01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0B82C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4CF3A41C" w14:textId="77777777" w:rsidTr="00EE5D2A">
              <w:trPr>
                <w:trHeight w:val="690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38D30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1979 Imperial Valley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05798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Heber road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52E1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67C6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2F56E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135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25D3E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3E313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2395F83E" w14:textId="77777777" w:rsidTr="00EE5D2A">
              <w:trPr>
                <w:trHeight w:val="690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EBB3C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5D429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River park site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D1995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NA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F5693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D13F9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804B2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NA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D0213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FAA7715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61392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BD9F30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4CD19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51198D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F21948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197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64AB9E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AD71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2A982803" w14:textId="77777777" w:rsidTr="00EE5D2A">
              <w:trPr>
                <w:trHeight w:val="19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A71F6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6D2DF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88BA9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6A06B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919E7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78DCE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BE463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019DEF9E" w14:textId="77777777" w:rsidTr="00EE5D2A">
              <w:trPr>
                <w:trHeight w:val="282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3BCF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lastRenderedPageBreak/>
                    <w:t>1983 Borah peak, Idaho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B4A98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Whiskey springs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D814B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A0135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13B0E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54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773B4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A020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32A64EBD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FE1EA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EB6EA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Pence Ranch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00A43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A7D1B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26315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409BF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AB609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5858A1E5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276B1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045628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E1757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46508D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10DE1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54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9243AB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EC968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ECA76AD" w14:textId="77777777" w:rsidTr="00EE5D2A">
              <w:trPr>
                <w:trHeight w:val="15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47C60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3D8D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22D76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AF14F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C318B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758E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97F0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5632C2E8" w14:textId="77777777" w:rsidTr="00EE5D2A">
              <w:trPr>
                <w:trHeight w:val="564"/>
              </w:trPr>
              <w:tc>
                <w:tcPr>
                  <w:tcW w:w="2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37837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1906 San Francisco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BC5EE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Mission creek zone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918D7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EE293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FE1E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92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46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8990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2035B9CE" w14:textId="77777777" w:rsidTr="00EE5D2A">
              <w:trPr>
                <w:trHeight w:val="564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6C2EA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47737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South of market area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25AD8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7E829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481F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80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DAD9E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NA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E5CEA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B61BC6E" w14:textId="77777777" w:rsidTr="00EE5D2A">
              <w:trPr>
                <w:trHeight w:val="564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25E53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D7062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Foot of market area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3251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2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81A11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NOTE -&gt;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0CE33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NA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681E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0BD413A3" w14:textId="77777777" w:rsidTr="00EE5D2A">
              <w:trPr>
                <w:trHeight w:val="282"/>
              </w:trPr>
              <w:tc>
                <w:tcPr>
                  <w:tcW w:w="24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868F1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2B677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42D872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1A739E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658FD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172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AF52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ACCA2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12D214CB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02033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416AB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A8726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39DDE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ABD9C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CE8BB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6EF18183" w14:textId="77777777" w:rsidTr="00EE5D2A">
              <w:trPr>
                <w:trHeight w:val="121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745D2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1987 Superstition Hills, California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67DD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7087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CD534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011A6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53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5F613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flatfiles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21A63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1D0B4A68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02650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EA2FF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3F8EBE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53F1D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72287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862E4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A084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54BC71C3" w14:textId="77777777" w:rsidTr="00EE5D2A">
              <w:trPr>
                <w:trHeight w:val="94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32326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1989 Loma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Prieta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, California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3685E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7894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AB672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A130A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236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3C58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flatfiles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4D2CC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3EDA642C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65360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5C15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6725E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26266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9CE1D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91B2F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B020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1264E150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41AF5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1999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ChiChi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Taiwan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F0A82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Site C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6E8F5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DF3E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2694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8CC1B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flatfiles</w:t>
                  </w:r>
                  <w:proofErr w:type="spellEnd"/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F126A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61D4CF42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246B3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31FCD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Site C1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BC9D9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F7790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EA2DE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F09BA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9095E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7987B0E9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20043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4ED21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Site B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DF0FA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685C3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A5E4F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4DF32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752E8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34DE82A1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9AC4B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A8EA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Site M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BF908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179E2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1BDAB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A3A64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2EEA4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1D94EA7E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6365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FE8B2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Site 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AED1E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656B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298A3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FA930B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BE74D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3F896777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F4B8D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B6309F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82DD4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34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4704A8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2E722E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2806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331BA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B811A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6B4FC331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53247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AB843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FCCDD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705A2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3EC5B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32A3A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BD897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0AF28E3D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001FB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2010 Chile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CDA57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Lo Rojas port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52AFE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334F0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6B305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2494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2A0B9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in progress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0B6A1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In progress</w:t>
                  </w:r>
                </w:p>
              </w:tc>
            </w:tr>
            <w:tr w:rsidR="00EE5D2A" w:rsidRPr="00EE5D2A" w14:paraId="62B0A2E9" w14:textId="77777777" w:rsidTr="00EE5D2A">
              <w:trPr>
                <w:trHeight w:val="564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477A6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2E98E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North and South Pier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AC669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8857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554BE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4D816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6A5E4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6E39A682" w14:textId="77777777" w:rsidTr="00EE5D2A">
              <w:trPr>
                <w:trHeight w:val="564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6B6E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83E28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Juan Pablo II Bridge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97609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61562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31D83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40F14E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75F4B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completed</w:t>
                  </w:r>
                </w:p>
              </w:tc>
            </w:tr>
            <w:tr w:rsidR="00EE5D2A" w:rsidRPr="00EE5D2A" w14:paraId="5D5AB31D" w14:textId="77777777" w:rsidTr="00EE5D2A">
              <w:trPr>
                <w:trHeight w:val="564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B28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DBA4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La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Mochita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303792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0A69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93E4C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D15D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FBA7A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completed</w:t>
                  </w:r>
                </w:p>
              </w:tc>
            </w:tr>
            <w:tr w:rsidR="00EE5D2A" w:rsidRPr="00EE5D2A" w14:paraId="2AFF5BF0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96417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5A5B9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Llacolen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78259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46F01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7675D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942CE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8C35F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105CB484" w14:textId="77777777" w:rsidTr="00EE5D2A">
              <w:trPr>
                <w:trHeight w:val="564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6CEF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EDDBB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Mataquito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124E4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2A58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A4354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59CE8D1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C75B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5703BF7B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85E6E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F8C3B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Tubul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788D5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D1DD0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191A6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16B87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B0499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6B317AA1" w14:textId="77777777" w:rsidTr="00EE5D2A">
              <w:trPr>
                <w:trHeight w:val="564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D5B02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3D5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Raqui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1 and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Raqui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 xml:space="preserve"> 2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Tubul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41CC4F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47B1C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7C69F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1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FA5C4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231E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  <w:tr w:rsidR="00EE5D2A" w:rsidRPr="00EE5D2A" w14:paraId="3AC72B6E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A5B2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DC82AA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Total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319450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B7ACB4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0D54E9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color w:val="000000"/>
                    </w:rPr>
                    <w:t>2494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35C57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607D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70A522CC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9E58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46C888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87B92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D6423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B805C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C2D1F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D40A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406D76BC" w14:textId="77777777" w:rsidTr="00EE5D2A">
              <w:trPr>
                <w:trHeight w:val="79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34E2C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1990 Luzon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Phillipines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ED7B2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A9F9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E88F6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D2942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A49F3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3C87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1EF2D6C9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70E26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AAC75C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AEFFDE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9AD3C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BB0A8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8FAE5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201C8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4E8030D5" w14:textId="77777777" w:rsidTr="00EE5D2A">
              <w:trPr>
                <w:trHeight w:val="79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26A6E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lastRenderedPageBreak/>
                    <w:t>1991 Costa Rica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DDA32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C870E5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FF2B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2EEAB6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EF239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5C2D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7ED56D75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DE31D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2B1CD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FE10C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D5EC9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E16DD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3E970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35F3C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1BE574CF" w14:textId="77777777" w:rsidTr="00EE5D2A">
              <w:trPr>
                <w:trHeight w:val="1005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517B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1994 Northridge, California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FC9FC6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8A614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2751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13229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23B56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F31E7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03661511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E30B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FF87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0FB26A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3C543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77954C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A7843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87F245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06B5AF03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2D209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1995 Kobe, Japan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80B18E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289264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84DF32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7344F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9ED0E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821CD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0E576081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7AB09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91A7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B80DF0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B731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7B67C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4984D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7987B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4D680EC6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1DE81D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1999 </w:t>
                  </w:r>
                  <w:proofErr w:type="spellStart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Kocaeli</w:t>
                  </w:r>
                  <w:proofErr w:type="spellEnd"/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, Turkey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5E83A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EDF683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6CCB1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B7789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9B28D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A2848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E5D2A" w:rsidRPr="00EE5D2A" w14:paraId="141AD2EC" w14:textId="77777777" w:rsidTr="00EE5D2A">
              <w:trPr>
                <w:trHeight w:val="282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2C0B99BF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BIG SUM: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541609BB" w14:textId="77777777" w:rsidR="00EE5D2A" w:rsidRPr="00EE5D2A" w:rsidRDefault="00EE5D2A" w:rsidP="00EE5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C802080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2381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A6BB8FA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479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1A406A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10574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C9FA7C7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  <w:r w:rsidRPr="00EE5D2A"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  <w:t>2043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F47434" w14:textId="77777777" w:rsidR="00EE5D2A" w:rsidRPr="00EE5D2A" w:rsidRDefault="00EE5D2A" w:rsidP="00EE5D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FFFFFF"/>
                    </w:rPr>
                  </w:pPr>
                </w:p>
              </w:tc>
            </w:tr>
          </w:tbl>
          <w:p w14:paraId="79D88178" w14:textId="77777777" w:rsidR="00055D1A" w:rsidRDefault="00055D1A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3F9A95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328251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A37FC2" w14:textId="5F9A0C67" w:rsidR="00C235E6" w:rsidRDefault="00C235E6" w:rsidP="00C235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Brigham Young University</w:t>
            </w:r>
          </w:p>
          <w:p w14:paraId="689ABCA1" w14:textId="13436BB8" w:rsidR="00C235E6" w:rsidRDefault="00C235E6" w:rsidP="00C235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600" w:type="dxa"/>
              <w:tblLook w:val="04A0" w:firstRow="1" w:lastRow="0" w:firstColumn="1" w:lastColumn="0" w:noHBand="0" w:noVBand="1"/>
            </w:tblPr>
            <w:tblGrid>
              <w:gridCol w:w="1500"/>
              <w:gridCol w:w="1680"/>
              <w:gridCol w:w="1820"/>
              <w:gridCol w:w="1440"/>
              <w:gridCol w:w="1620"/>
              <w:gridCol w:w="1540"/>
            </w:tblGrid>
            <w:tr w:rsidR="00A41C8B" w:rsidRPr="00A41C8B" w14:paraId="7982C4C1" w14:textId="77777777" w:rsidTr="00A41C8B">
              <w:trPr>
                <w:trHeight w:val="675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0E60B4E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Case History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F093D3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Site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107F2AE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Displacement Vectors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799D75F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Boreholes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28C2AE3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Subsurface Data Rows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4FA1493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Topology Points</w:t>
                  </w:r>
                </w:p>
              </w:tc>
            </w:tr>
            <w:tr w:rsidR="00A41C8B" w:rsidRPr="00A41C8B" w14:paraId="3B1523A1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110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2010 Maule, Chile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12F8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Juan Pablo II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A37A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A5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2F8C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685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DE27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6F92C3A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4A6C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E676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 xml:space="preserve">La </w:t>
                  </w: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Mochita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2793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225A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B413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2F5F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6743EC0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9672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698D6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Llacolen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20B9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4063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E210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235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4D45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39D0AA63" w14:textId="77777777" w:rsidTr="00A41C8B">
              <w:trPr>
                <w:trHeight w:val="576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3504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C0F1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Lo Rojas Port Coronel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C720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01E2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0EE2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1732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CDB94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F30B0E4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567D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D6E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Mataquito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CFA2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5B9A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035C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556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CD62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3CFC0D0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F1E7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10DB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Port Coronel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794F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BD5F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C9B6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575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2B87A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25BC9265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D27FA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3788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Tubul</w:t>
                  </w:r>
                  <w:proofErr w:type="spellEnd"/>
                  <w:r w:rsidRPr="00A41C8B">
                    <w:rPr>
                      <w:rFonts w:eastAsia="Times New Roman" w:cs="Calibri"/>
                      <w:color w:val="000000"/>
                    </w:rPr>
                    <w:t xml:space="preserve"> Bridge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3198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60A2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0856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185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9ED2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2F0C6D1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48E54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01A7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Tubul</w:t>
                  </w:r>
                  <w:proofErr w:type="spellEnd"/>
                  <w:r w:rsidRPr="00A41C8B">
                    <w:rPr>
                      <w:rFonts w:eastAsia="Times New Roman" w:cs="Calibri"/>
                      <w:color w:val="000000"/>
                    </w:rPr>
                    <w:t xml:space="preserve"> </w:t>
                  </w: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Raqui</w:t>
                  </w:r>
                  <w:proofErr w:type="spellEnd"/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56E3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1823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DD3E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40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6D68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F4FBA3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82E9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6F061F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EEC593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C285EB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3C5647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4053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6AD3ED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13F5916A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A84F43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2805C31A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83B5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2011 Tohoku, Japan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95C6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Hitachinaka</w:t>
                  </w:r>
                  <w:proofErr w:type="spellEnd"/>
                </w:p>
              </w:tc>
              <w:tc>
                <w:tcPr>
                  <w:tcW w:w="1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AFFE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775D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092C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30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C5FD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0C7DF6BE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A89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9F58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Isobe</w:t>
                  </w:r>
                  <w:proofErr w:type="spellEnd"/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D313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68FF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CBE9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68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96394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C3C0824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F7F8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D750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proofErr w:type="spellStart"/>
                  <w:r w:rsidRPr="00A41C8B">
                    <w:rPr>
                      <w:rFonts w:eastAsia="Times New Roman" w:cs="Calibri"/>
                      <w:color w:val="000000"/>
                    </w:rPr>
                    <w:t>Sodegaura</w:t>
                  </w:r>
                  <w:proofErr w:type="spellEnd"/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0675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9329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5ED3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96F3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7FE950F0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11164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0C22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Tone</w:t>
                  </w:r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4ADD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D743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F049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26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F122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06E53B11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30C6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FF07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Tokyo Bay</w:t>
                  </w:r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9A4C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451E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7918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74D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05CD17C7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7B6F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D31FF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17EE2D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BD1E35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E0C77F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F644C3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6AE990E6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15E47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5384DA39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8BD3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2010 Darfield, New Zealand (September)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EE18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Avon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F0B5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37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3599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0737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308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35DB8190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4B07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2DDC8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Bottle Lake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33AF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9F291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B808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EFC22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24240BF8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649A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46B6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Heathcote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A13AF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2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1E74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3872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4F1F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E42322C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BDE26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130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Styx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3AD8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10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42B2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7F8E3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4237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1991D6B" w14:textId="77777777" w:rsidTr="00A41C8B">
              <w:trPr>
                <w:trHeight w:val="864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BB1ED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5B92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Courtenay Stream/Kaiapoi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DB24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19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D8A8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898D1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B44B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198A428B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A5708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9B99A7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06852F4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71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D430E31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084467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D8F3252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  <w:tr w:rsidR="00A41C8B" w:rsidRPr="00A41C8B" w14:paraId="4E252577" w14:textId="77777777" w:rsidTr="00A41C8B">
              <w:trPr>
                <w:trHeight w:val="288"/>
              </w:trPr>
              <w:tc>
                <w:tcPr>
                  <w:tcW w:w="96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277E4C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 </w:t>
                  </w:r>
                </w:p>
              </w:tc>
            </w:tr>
            <w:tr w:rsidR="00A41C8B" w:rsidRPr="00A41C8B" w14:paraId="65DAE32E" w14:textId="77777777" w:rsidTr="00A41C8B">
              <w:trPr>
                <w:trHeight w:val="300"/>
              </w:trPr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B29B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b/>
                      <w:bCs/>
                      <w:color w:val="000000"/>
                    </w:rPr>
                    <w:t>2011 Christchurch, New Zealand (February)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CF38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Avon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760E7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53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0D6D1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FBA4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A9109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In Progress</w:t>
                  </w:r>
                </w:p>
              </w:tc>
            </w:tr>
            <w:tr w:rsidR="00A41C8B" w:rsidRPr="00A41C8B" w14:paraId="4F8FE5B3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A3E8B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E246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Heathcote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65475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307B0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AB617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8714F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440A5E82" w14:textId="77777777" w:rsidTr="00A41C8B">
              <w:trPr>
                <w:trHeight w:val="864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BE37C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2F59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Courtenay Stream/Kaiapoi River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5ABF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38025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7DB9E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0FD82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color w:val="000000"/>
                    </w:rPr>
                  </w:pPr>
                </w:p>
              </w:tc>
            </w:tr>
            <w:tr w:rsidR="00A41C8B" w:rsidRPr="00A41C8B" w14:paraId="523E4FB5" w14:textId="77777777" w:rsidTr="00A41C8B">
              <w:trPr>
                <w:trHeight w:val="288"/>
              </w:trPr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88BD9" w14:textId="77777777" w:rsidR="00A41C8B" w:rsidRPr="00A41C8B" w:rsidRDefault="00A41C8B" w:rsidP="00A41C8B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79EFE0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2F461BB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62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456186D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55F3F11A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A7554AE" w14:textId="77777777" w:rsidR="00A41C8B" w:rsidRPr="00A41C8B" w:rsidRDefault="00A41C8B" w:rsidP="00A41C8B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</w:rPr>
                  </w:pPr>
                  <w:r w:rsidRPr="00A41C8B">
                    <w:rPr>
                      <w:rFonts w:eastAsia="Times New Roman" w:cs="Calibri"/>
                      <w:color w:val="000000"/>
                    </w:rPr>
                    <w:t>0</w:t>
                  </w:r>
                </w:p>
              </w:tc>
            </w:tr>
          </w:tbl>
          <w:p w14:paraId="14E43EA1" w14:textId="77777777" w:rsidR="00C235E6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C0C056" w14:textId="0FF714C3" w:rsidR="00C235E6" w:rsidRPr="00CC401B" w:rsidRDefault="00C235E6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14:paraId="624C14B7" w14:textId="77777777" w:rsidTr="00360664">
        <w:tc>
          <w:tcPr>
            <w:tcW w:w="10908" w:type="dxa"/>
          </w:tcPr>
          <w:p w14:paraId="0A72242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AFB9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3050">
              <w:rPr>
                <w:rFonts w:ascii="Arial" w:hAnsi="Arial" w:cs="Arial"/>
                <w:b/>
                <w:sz w:val="20"/>
                <w:szCs w:val="20"/>
              </w:rPr>
              <w:t>Circumstance affecting project or budget.</w:t>
            </w: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(Please describe any challenges encountered or anticipated that </w:t>
            </w:r>
          </w:p>
          <w:p w14:paraId="61C22CB7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0C209F" w:rsidRDefault="00D05A91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0C209F"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1FF0D9D" w14:textId="50B9FE26" w:rsidR="0077110E" w:rsidRDefault="0077110E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7CDA33F1" w:rsidR="00661C5C" w:rsidRPr="0077110E" w:rsidRDefault="00D05A9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</w:t>
            </w:r>
            <w:r w:rsidR="009B28B3">
              <w:rPr>
                <w:rFonts w:ascii="Arial" w:hAnsi="Arial" w:cs="Arial"/>
                <w:sz w:val="20"/>
                <w:szCs w:val="20"/>
              </w:rPr>
              <w:t>wa</w:t>
            </w:r>
            <w:r w:rsidR="007471B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requested by BYU.  </w:t>
            </w:r>
            <w:r w:rsidR="009B28B3">
              <w:rPr>
                <w:rFonts w:ascii="Arial" w:hAnsi="Arial" w:cs="Arial"/>
                <w:sz w:val="20"/>
                <w:szCs w:val="20"/>
              </w:rPr>
              <w:t>C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ontract extension end date is April 30, 2020.  U of U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77FD2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77FD2">
              <w:rPr>
                <w:rFonts w:ascii="Arial" w:hAnsi="Arial" w:cs="Arial"/>
                <w:sz w:val="20"/>
                <w:szCs w:val="20"/>
              </w:rPr>
              <w:t xml:space="preserve"> BYU in completing their case histories and work on the screening criteria task during this extension.</w:t>
            </w:r>
          </w:p>
          <w:p w14:paraId="4294D214" w14:textId="77777777" w:rsidR="00A069BB" w:rsidRPr="00C64D98" w:rsidRDefault="00A069BB" w:rsidP="003114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416A9" w14:textId="77777777" w:rsidR="00226F40" w:rsidRDefault="00226F40" w:rsidP="00106C83">
      <w:pPr>
        <w:spacing w:after="0" w:line="240" w:lineRule="auto"/>
      </w:pPr>
      <w:r>
        <w:separator/>
      </w:r>
    </w:p>
  </w:endnote>
  <w:endnote w:type="continuationSeparator" w:id="0">
    <w:p w14:paraId="76E3E8C6" w14:textId="77777777" w:rsidR="00226F40" w:rsidRDefault="00226F4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6311A7" w:rsidRDefault="006311A7" w:rsidP="00E371D1">
    <w:pPr>
      <w:pStyle w:val="Footer"/>
      <w:ind w:left="-810"/>
    </w:pPr>
    <w:r>
      <w:t>TPF Program Standard Quarterly Reporting Format – 7/2011</w:t>
    </w:r>
  </w:p>
  <w:p w14:paraId="6BAA3BBA" w14:textId="77777777" w:rsidR="006311A7" w:rsidRDefault="00631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17E6" w14:textId="77777777" w:rsidR="00226F40" w:rsidRDefault="00226F40" w:rsidP="00106C83">
      <w:pPr>
        <w:spacing w:after="0" w:line="240" w:lineRule="auto"/>
      </w:pPr>
      <w:r>
        <w:separator/>
      </w:r>
    </w:p>
  </w:footnote>
  <w:footnote w:type="continuationSeparator" w:id="0">
    <w:p w14:paraId="179A62EB" w14:textId="77777777" w:rsidR="00226F40" w:rsidRDefault="00226F4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mwqAUAgyfk6ywAAAA=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7840"/>
    <w:rsid w:val="00030EA1"/>
    <w:rsid w:val="000324E2"/>
    <w:rsid w:val="0003260A"/>
    <w:rsid w:val="000335CC"/>
    <w:rsid w:val="000342EB"/>
    <w:rsid w:val="00035DAD"/>
    <w:rsid w:val="00037FBC"/>
    <w:rsid w:val="00040795"/>
    <w:rsid w:val="0004152A"/>
    <w:rsid w:val="00041A8E"/>
    <w:rsid w:val="000452C8"/>
    <w:rsid w:val="00045C7E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9BD"/>
    <w:rsid w:val="000D0360"/>
    <w:rsid w:val="000D1273"/>
    <w:rsid w:val="000D54D8"/>
    <w:rsid w:val="000D6962"/>
    <w:rsid w:val="000E112D"/>
    <w:rsid w:val="000E189F"/>
    <w:rsid w:val="000E1C3A"/>
    <w:rsid w:val="000F489B"/>
    <w:rsid w:val="000F6607"/>
    <w:rsid w:val="000F752B"/>
    <w:rsid w:val="000F7DCA"/>
    <w:rsid w:val="00102FA7"/>
    <w:rsid w:val="00103835"/>
    <w:rsid w:val="00106C83"/>
    <w:rsid w:val="00106F49"/>
    <w:rsid w:val="001136FD"/>
    <w:rsid w:val="00113CCE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E9"/>
    <w:rsid w:val="00245D5B"/>
    <w:rsid w:val="00250765"/>
    <w:rsid w:val="0025100B"/>
    <w:rsid w:val="00251423"/>
    <w:rsid w:val="0025205E"/>
    <w:rsid w:val="002571EA"/>
    <w:rsid w:val="00257CFA"/>
    <w:rsid w:val="002661B7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A0D13"/>
    <w:rsid w:val="002A0E0A"/>
    <w:rsid w:val="002A3F03"/>
    <w:rsid w:val="002A61A3"/>
    <w:rsid w:val="002A79C8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90E"/>
    <w:rsid w:val="00315011"/>
    <w:rsid w:val="00315979"/>
    <w:rsid w:val="00317414"/>
    <w:rsid w:val="00321691"/>
    <w:rsid w:val="003227F0"/>
    <w:rsid w:val="0032318D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71"/>
    <w:rsid w:val="003634EC"/>
    <w:rsid w:val="00366877"/>
    <w:rsid w:val="003739F6"/>
    <w:rsid w:val="0037468A"/>
    <w:rsid w:val="00374D25"/>
    <w:rsid w:val="0037649F"/>
    <w:rsid w:val="00381D3F"/>
    <w:rsid w:val="00382110"/>
    <w:rsid w:val="00384F02"/>
    <w:rsid w:val="0038529F"/>
    <w:rsid w:val="003859E2"/>
    <w:rsid w:val="00386FBE"/>
    <w:rsid w:val="0038705A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7540"/>
    <w:rsid w:val="00661C5C"/>
    <w:rsid w:val="006645A1"/>
    <w:rsid w:val="0066537B"/>
    <w:rsid w:val="0067020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1998"/>
    <w:rsid w:val="006B3C20"/>
    <w:rsid w:val="006B42FE"/>
    <w:rsid w:val="006B5943"/>
    <w:rsid w:val="006B6D4A"/>
    <w:rsid w:val="006B7448"/>
    <w:rsid w:val="006B7F63"/>
    <w:rsid w:val="006C08D2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1297"/>
    <w:rsid w:val="006E3BE4"/>
    <w:rsid w:val="006F1879"/>
    <w:rsid w:val="006F2B33"/>
    <w:rsid w:val="006F3614"/>
    <w:rsid w:val="006F669A"/>
    <w:rsid w:val="006F6A29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37EF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44D5"/>
    <w:rsid w:val="007E4E90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22B3"/>
    <w:rsid w:val="008D06D3"/>
    <w:rsid w:val="008D1B39"/>
    <w:rsid w:val="008D3307"/>
    <w:rsid w:val="008D457E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5A12"/>
    <w:rsid w:val="008F7F87"/>
    <w:rsid w:val="00900981"/>
    <w:rsid w:val="00901F7B"/>
    <w:rsid w:val="00902A65"/>
    <w:rsid w:val="0090315B"/>
    <w:rsid w:val="00905951"/>
    <w:rsid w:val="00907579"/>
    <w:rsid w:val="0091050C"/>
    <w:rsid w:val="0091609B"/>
    <w:rsid w:val="00916FC1"/>
    <w:rsid w:val="009204B4"/>
    <w:rsid w:val="0092091E"/>
    <w:rsid w:val="00923793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19F6"/>
    <w:rsid w:val="009923D4"/>
    <w:rsid w:val="009944A4"/>
    <w:rsid w:val="00994743"/>
    <w:rsid w:val="009958E4"/>
    <w:rsid w:val="0099659C"/>
    <w:rsid w:val="00997B12"/>
    <w:rsid w:val="009A0DF4"/>
    <w:rsid w:val="009A1ADB"/>
    <w:rsid w:val="009A1D70"/>
    <w:rsid w:val="009A6065"/>
    <w:rsid w:val="009A62E2"/>
    <w:rsid w:val="009A666B"/>
    <w:rsid w:val="009A6841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B00836"/>
    <w:rsid w:val="00B02CE3"/>
    <w:rsid w:val="00B035B8"/>
    <w:rsid w:val="00B052C3"/>
    <w:rsid w:val="00B1277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5BF2"/>
    <w:rsid w:val="00BB2F20"/>
    <w:rsid w:val="00BB3628"/>
    <w:rsid w:val="00BB5AEE"/>
    <w:rsid w:val="00BC1C41"/>
    <w:rsid w:val="00BC3B1A"/>
    <w:rsid w:val="00BC4290"/>
    <w:rsid w:val="00BD1068"/>
    <w:rsid w:val="00BD234B"/>
    <w:rsid w:val="00BD26AD"/>
    <w:rsid w:val="00BD4C91"/>
    <w:rsid w:val="00BD56BC"/>
    <w:rsid w:val="00BD653C"/>
    <w:rsid w:val="00BD688E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78EA"/>
    <w:rsid w:val="00C47C4A"/>
    <w:rsid w:val="00C510FD"/>
    <w:rsid w:val="00C51E33"/>
    <w:rsid w:val="00C554E6"/>
    <w:rsid w:val="00C57074"/>
    <w:rsid w:val="00C62BDF"/>
    <w:rsid w:val="00C64D98"/>
    <w:rsid w:val="00C665A9"/>
    <w:rsid w:val="00C673B0"/>
    <w:rsid w:val="00C71A3F"/>
    <w:rsid w:val="00C75DE1"/>
    <w:rsid w:val="00C75F3D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7E8A"/>
    <w:rsid w:val="00CE27F9"/>
    <w:rsid w:val="00CE2EA8"/>
    <w:rsid w:val="00CE3067"/>
    <w:rsid w:val="00CE6739"/>
    <w:rsid w:val="00CE718B"/>
    <w:rsid w:val="00CF0586"/>
    <w:rsid w:val="00CF0AE4"/>
    <w:rsid w:val="00CF7676"/>
    <w:rsid w:val="00D00090"/>
    <w:rsid w:val="00D00A11"/>
    <w:rsid w:val="00D031F3"/>
    <w:rsid w:val="00D034CB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5918"/>
    <w:rsid w:val="00D30C5D"/>
    <w:rsid w:val="00D328B8"/>
    <w:rsid w:val="00D33634"/>
    <w:rsid w:val="00D343F9"/>
    <w:rsid w:val="00D3591A"/>
    <w:rsid w:val="00D40910"/>
    <w:rsid w:val="00D417F2"/>
    <w:rsid w:val="00D43FC8"/>
    <w:rsid w:val="00D47A1D"/>
    <w:rsid w:val="00D51D40"/>
    <w:rsid w:val="00D52F90"/>
    <w:rsid w:val="00D6287F"/>
    <w:rsid w:val="00D64CBB"/>
    <w:rsid w:val="00D67C3B"/>
    <w:rsid w:val="00D72D13"/>
    <w:rsid w:val="00D73308"/>
    <w:rsid w:val="00D73367"/>
    <w:rsid w:val="00D74CFF"/>
    <w:rsid w:val="00D750D5"/>
    <w:rsid w:val="00D80962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59F0"/>
    <w:rsid w:val="00DB013A"/>
    <w:rsid w:val="00DB0E58"/>
    <w:rsid w:val="00DB66E9"/>
    <w:rsid w:val="00DC08E0"/>
    <w:rsid w:val="00DC425D"/>
    <w:rsid w:val="00DC4C81"/>
    <w:rsid w:val="00DC6DF0"/>
    <w:rsid w:val="00DC781A"/>
    <w:rsid w:val="00DD0B2A"/>
    <w:rsid w:val="00DD1AA4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4146"/>
    <w:rsid w:val="00E1603B"/>
    <w:rsid w:val="00E17112"/>
    <w:rsid w:val="00E22EA9"/>
    <w:rsid w:val="00E24A6B"/>
    <w:rsid w:val="00E2660D"/>
    <w:rsid w:val="00E273C4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9A9"/>
    <w:rsid w:val="00ED1F6D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91EE4"/>
    <w:rsid w:val="00F93966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A8F4-4C2A-4CE1-88F6-4795177B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127</cp:revision>
  <cp:lastPrinted>2011-06-21T20:32:00Z</cp:lastPrinted>
  <dcterms:created xsi:type="dcterms:W3CDTF">2019-10-17T22:59:00Z</dcterms:created>
  <dcterms:modified xsi:type="dcterms:W3CDTF">2019-11-12T19:22:00Z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