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4E5DF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4E5DF5" w:rsidRPr="004E5DF5">
              <w:rPr>
                <w:rFonts w:ascii="Arial" w:hAnsi="Arial" w:cs="Arial"/>
                <w:sz w:val="36"/>
                <w:szCs w:val="36"/>
                <w:u w:val="single"/>
              </w:rPr>
              <w:t>_</w:t>
            </w:r>
            <w:r w:rsidRPr="004E5DF5">
              <w:rPr>
                <w:rFonts w:ascii="Arial" w:hAnsi="Arial" w:cs="Arial"/>
                <w:sz w:val="36"/>
                <w:szCs w:val="36"/>
              </w:rPr>
              <w:t xml:space="preserve"> </w:t>
            </w:r>
            <w:r w:rsidRPr="004E5DF5">
              <w:rPr>
                <w:rFonts w:ascii="Arial" w:hAnsi="Arial" w:cs="Arial"/>
                <w:sz w:val="20"/>
                <w:szCs w:val="20"/>
              </w:rPr>
              <w:t>Quarter 1 (January 1 – March 31</w:t>
            </w:r>
            <w:r w:rsidR="005C75FE" w:rsidRPr="004E5DF5">
              <w:rPr>
                <w:rFonts w:ascii="Arial" w:hAnsi="Arial" w:cs="Arial"/>
                <w:sz w:val="20"/>
                <w:szCs w:val="20"/>
              </w:rPr>
              <w:t xml:space="preserve">, </w:t>
            </w:r>
            <w:r w:rsidR="003E4DE4" w:rsidRPr="004E5DF5">
              <w:rPr>
                <w:rFonts w:ascii="Arial" w:hAnsi="Arial" w:cs="Arial"/>
                <w:sz w:val="20"/>
                <w:szCs w:val="20"/>
              </w:rPr>
              <w:t>201</w:t>
            </w:r>
            <w:r w:rsidR="00E97553" w:rsidRPr="004E5DF5">
              <w:rPr>
                <w:rFonts w:ascii="Arial" w:hAnsi="Arial" w:cs="Arial"/>
                <w:sz w:val="20"/>
                <w:szCs w:val="20"/>
              </w:rPr>
              <w:t>9</w:t>
            </w:r>
            <w:r w:rsidRPr="004E5DF5">
              <w:rPr>
                <w:rFonts w:ascii="Arial" w:hAnsi="Arial" w:cs="Arial"/>
                <w:sz w:val="20"/>
                <w:szCs w:val="20"/>
              </w:rPr>
              <w:t>)</w:t>
            </w:r>
          </w:p>
          <w:p w:rsidR="000C209F" w:rsidRPr="00AA4D3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AA4D37" w:rsidRPr="004E5DF5">
              <w:rPr>
                <w:rFonts w:ascii="Arial" w:hAnsi="Arial" w:cs="Arial"/>
                <w:sz w:val="36"/>
                <w:szCs w:val="36"/>
                <w:u w:val="single"/>
              </w:rPr>
              <w:t>_</w:t>
            </w:r>
            <w:r w:rsidR="00C47C4A" w:rsidRPr="00AA4D37">
              <w:rPr>
                <w:rFonts w:ascii="Arial" w:hAnsi="Arial" w:cs="Arial"/>
                <w:sz w:val="36"/>
                <w:szCs w:val="36"/>
              </w:rPr>
              <w:t xml:space="preserve"> </w:t>
            </w:r>
            <w:r w:rsidRPr="00AA4D37">
              <w:rPr>
                <w:rFonts w:ascii="Arial" w:hAnsi="Arial" w:cs="Arial"/>
                <w:sz w:val="20"/>
                <w:szCs w:val="20"/>
              </w:rPr>
              <w:t>Quarter 2 (April 1 – June 30</w:t>
            </w:r>
            <w:r w:rsidR="002C4321" w:rsidRPr="00AA4D37">
              <w:rPr>
                <w:rFonts w:ascii="Arial" w:hAnsi="Arial" w:cs="Arial"/>
                <w:sz w:val="20"/>
                <w:szCs w:val="20"/>
              </w:rPr>
              <w:t>, 201</w:t>
            </w:r>
            <w:r w:rsidR="00E97553" w:rsidRPr="00AA4D37">
              <w:rPr>
                <w:rFonts w:ascii="Arial" w:hAnsi="Arial" w:cs="Arial"/>
                <w:sz w:val="20"/>
                <w:szCs w:val="20"/>
              </w:rPr>
              <w:t>9</w:t>
            </w:r>
            <w:r w:rsidRPr="00AA4D37">
              <w:rPr>
                <w:rFonts w:ascii="Arial" w:hAnsi="Arial" w:cs="Arial"/>
                <w:sz w:val="20"/>
                <w:szCs w:val="20"/>
              </w:rPr>
              <w:t>)</w:t>
            </w:r>
          </w:p>
          <w:p w:rsidR="000C209F" w:rsidRPr="00AA4D37" w:rsidRDefault="00AA4D37" w:rsidP="00360664">
            <w:pPr>
              <w:spacing w:after="0" w:line="240" w:lineRule="auto"/>
              <w:ind w:right="-720"/>
              <w:rPr>
                <w:rFonts w:ascii="Arial" w:hAnsi="Arial" w:cs="Arial"/>
                <w:b/>
                <w:sz w:val="20"/>
                <w:szCs w:val="20"/>
              </w:rPr>
            </w:pPr>
            <w:r w:rsidRPr="00AA4D37">
              <w:rPr>
                <w:rFonts w:ascii="Arial" w:hAnsi="Arial" w:cs="Arial"/>
                <w:b/>
                <w:sz w:val="36"/>
                <w:szCs w:val="36"/>
                <w:u w:val="single"/>
              </w:rPr>
              <w:t>x</w:t>
            </w:r>
            <w:r w:rsidR="001D763A" w:rsidRPr="00AA4D37">
              <w:rPr>
                <w:rFonts w:ascii="Arial" w:hAnsi="Arial" w:cs="Arial"/>
                <w:b/>
                <w:sz w:val="36"/>
                <w:szCs w:val="36"/>
              </w:rPr>
              <w:t xml:space="preserve"> </w:t>
            </w:r>
            <w:r w:rsidR="000C209F" w:rsidRPr="00AA4D37">
              <w:rPr>
                <w:rFonts w:ascii="Arial" w:hAnsi="Arial" w:cs="Arial"/>
                <w:b/>
                <w:sz w:val="20"/>
                <w:szCs w:val="20"/>
              </w:rPr>
              <w:t>Quarter 3 (July 1 – September 30</w:t>
            </w:r>
            <w:r w:rsidR="002C4321" w:rsidRPr="00AA4D37">
              <w:rPr>
                <w:rFonts w:ascii="Arial" w:hAnsi="Arial" w:cs="Arial"/>
                <w:b/>
                <w:sz w:val="20"/>
                <w:szCs w:val="20"/>
              </w:rPr>
              <w:t>, 201</w:t>
            </w:r>
            <w:r w:rsidR="00E97553" w:rsidRPr="00AA4D37">
              <w:rPr>
                <w:rFonts w:ascii="Arial" w:hAnsi="Arial" w:cs="Arial"/>
                <w:b/>
                <w:sz w:val="20"/>
                <w:szCs w:val="20"/>
              </w:rPr>
              <w:t>9</w:t>
            </w:r>
            <w:r w:rsidR="000C209F" w:rsidRPr="00AA4D37">
              <w:rPr>
                <w:rFonts w:ascii="Arial" w:hAnsi="Arial" w:cs="Arial"/>
                <w:b/>
                <w:sz w:val="20"/>
                <w:szCs w:val="20"/>
              </w:rPr>
              <w:t>)</w:t>
            </w:r>
          </w:p>
          <w:p w:rsidR="000C209F" w:rsidRPr="00E97553" w:rsidRDefault="00E97553" w:rsidP="00E97553">
            <w:pPr>
              <w:spacing w:after="0" w:line="240" w:lineRule="auto"/>
              <w:ind w:right="-720"/>
              <w:rPr>
                <w:rFonts w:ascii="Arial" w:hAnsi="Arial" w:cs="Arial"/>
                <w:sz w:val="20"/>
                <w:szCs w:val="20"/>
              </w:rPr>
            </w:pPr>
            <w:r w:rsidRPr="00E97553">
              <w:rPr>
                <w:rFonts w:ascii="Arial" w:hAnsi="Arial" w:cs="Arial"/>
                <w:sz w:val="36"/>
                <w:szCs w:val="36"/>
                <w:u w:val="single"/>
              </w:rPr>
              <w:t>_</w:t>
            </w:r>
            <w:r w:rsidR="00532264" w:rsidRPr="00E97553">
              <w:rPr>
                <w:rFonts w:ascii="Arial" w:hAnsi="Arial" w:cs="Arial"/>
                <w:sz w:val="36"/>
                <w:szCs w:val="36"/>
              </w:rPr>
              <w:t xml:space="preserve"> </w:t>
            </w:r>
            <w:r w:rsidR="000C209F" w:rsidRPr="00E97553">
              <w:rPr>
                <w:rFonts w:ascii="Arial" w:hAnsi="Arial" w:cs="Arial"/>
                <w:sz w:val="20"/>
                <w:szCs w:val="20"/>
              </w:rPr>
              <w:t xml:space="preserve">Quarter </w:t>
            </w:r>
            <w:r w:rsidR="005C75FE" w:rsidRPr="00E97553">
              <w:rPr>
                <w:rFonts w:ascii="Arial" w:hAnsi="Arial" w:cs="Arial"/>
                <w:sz w:val="20"/>
                <w:szCs w:val="20"/>
              </w:rPr>
              <w:t>4 (October 1 – December 31</w:t>
            </w:r>
            <w:r w:rsidR="002C4321" w:rsidRPr="00E97553">
              <w:rPr>
                <w:rFonts w:ascii="Arial" w:hAnsi="Arial" w:cs="Arial"/>
                <w:sz w:val="20"/>
                <w:szCs w:val="20"/>
              </w:rPr>
              <w:t>, 201</w:t>
            </w:r>
            <w:r w:rsidRPr="00E97553">
              <w:rPr>
                <w:rFonts w:ascii="Arial" w:hAnsi="Arial" w:cs="Arial"/>
                <w:sz w:val="20"/>
                <w:szCs w:val="20"/>
              </w:rPr>
              <w:t>9</w:t>
            </w:r>
            <w:r w:rsidR="000C209F" w:rsidRPr="00E97553">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4F20A1" w:rsidRPr="004F20A1">
              <w:rPr>
                <w:rFonts w:ascii="Arial" w:hAnsi="Arial" w:cs="Arial"/>
                <w:sz w:val="20"/>
                <w:szCs w:val="20"/>
              </w:rPr>
              <w:t>17824</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4F20A1">
              <w:rPr>
                <w:rFonts w:ascii="Arial" w:hAnsi="Arial" w:cs="Arial"/>
                <w:sz w:val="20"/>
                <w:szCs w:val="20"/>
              </w:rPr>
              <w:t>October 2019</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2021</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2021</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E81A59" w:rsidP="00BE2ADA">
            <w:pPr>
              <w:spacing w:after="0" w:line="240" w:lineRule="auto"/>
              <w:ind w:right="-108"/>
              <w:jc w:val="center"/>
              <w:rPr>
                <w:rFonts w:ascii="Arial" w:hAnsi="Arial" w:cs="Arial"/>
                <w:sz w:val="20"/>
                <w:szCs w:val="20"/>
              </w:rPr>
            </w:pPr>
            <w:r>
              <w:rPr>
                <w:rFonts w:ascii="Arial" w:hAnsi="Arial" w:cs="Arial"/>
                <w:sz w:val="20"/>
                <w:szCs w:val="20"/>
              </w:rPr>
              <w:t>$2</w:t>
            </w:r>
            <w:r w:rsidR="00D34996">
              <w:rPr>
                <w:rFonts w:ascii="Arial" w:hAnsi="Arial" w:cs="Arial"/>
                <w:sz w:val="20"/>
                <w:szCs w:val="20"/>
              </w:rPr>
              <w:t>85</w:t>
            </w:r>
            <w:r>
              <w:rPr>
                <w:rFonts w:ascii="Arial" w:hAnsi="Arial" w:cs="Arial"/>
                <w:sz w:val="20"/>
                <w:szCs w:val="20"/>
              </w:rPr>
              <w:t xml:space="preserve">,000.00 </w:t>
            </w:r>
            <w:r>
              <w:rPr>
                <w:rFonts w:ascii="Arial" w:hAnsi="Arial" w:cs="Arial"/>
                <w:sz w:val="20"/>
                <w:szCs w:val="20"/>
              </w:rPr>
              <w:t xml:space="preserve">= </w:t>
            </w:r>
            <w:r>
              <w:rPr>
                <w:rFonts w:ascii="Arial" w:hAnsi="Arial" w:cs="Arial"/>
                <w:sz w:val="20"/>
                <w:szCs w:val="20"/>
              </w:rPr>
              <w:t>total commitments</w:t>
            </w:r>
            <w:r>
              <w:rPr>
                <w:rFonts w:ascii="Arial" w:hAnsi="Arial" w:cs="Arial"/>
                <w:sz w:val="20"/>
                <w:szCs w:val="20"/>
              </w:rPr>
              <w:t xml:space="preserve"> including unlisted FHWA amount</w:t>
            </w:r>
          </w:p>
          <w:p w:rsidR="00E81A59" w:rsidRDefault="00E81A59" w:rsidP="00E81A59">
            <w:pPr>
              <w:spacing w:after="0" w:line="240" w:lineRule="auto"/>
              <w:ind w:right="-108"/>
              <w:jc w:val="center"/>
              <w:rPr>
                <w:rFonts w:ascii="Arial" w:hAnsi="Arial" w:cs="Arial"/>
                <w:sz w:val="20"/>
                <w:szCs w:val="20"/>
              </w:rPr>
            </w:pPr>
            <w:r>
              <w:rPr>
                <w:rFonts w:ascii="Arial" w:hAnsi="Arial" w:cs="Arial"/>
                <w:sz w:val="20"/>
                <w:szCs w:val="20"/>
              </w:rPr>
              <w:t>$80,000.00</w:t>
            </w:r>
            <w:r w:rsidR="00C06C67">
              <w:rPr>
                <w:rFonts w:ascii="Arial" w:hAnsi="Arial" w:cs="Arial"/>
                <w:sz w:val="20"/>
                <w:szCs w:val="20"/>
              </w:rPr>
              <w:t xml:space="preserve"> = </w:t>
            </w:r>
            <w:r>
              <w:rPr>
                <w:rFonts w:ascii="Arial" w:hAnsi="Arial" w:cs="Arial"/>
                <w:sz w:val="20"/>
                <w:szCs w:val="20"/>
              </w:rPr>
              <w:t>obligated</w:t>
            </w:r>
            <w:r w:rsidR="00C06C67">
              <w:rPr>
                <w:rFonts w:ascii="Arial" w:hAnsi="Arial" w:cs="Arial"/>
                <w:sz w:val="20"/>
                <w:szCs w:val="20"/>
              </w:rPr>
              <w:t xml:space="preserve"> to date</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C25B69" w:rsidP="00FE2457">
            <w:pPr>
              <w:spacing w:after="0" w:line="240" w:lineRule="auto"/>
              <w:ind w:left="-108" w:right="-108"/>
              <w:jc w:val="center"/>
              <w:rPr>
                <w:rFonts w:ascii="Arial" w:hAnsi="Arial" w:cs="Arial"/>
                <w:sz w:val="20"/>
                <w:szCs w:val="20"/>
              </w:rPr>
            </w:pPr>
            <w:r>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4C4F8B" w:rsidP="00C26502">
            <w:pPr>
              <w:spacing w:after="0" w:line="240" w:lineRule="auto"/>
              <w:rPr>
                <w:rFonts w:ascii="Arial" w:hAnsi="Arial" w:cs="Arial"/>
                <w:sz w:val="20"/>
                <w:szCs w:val="20"/>
              </w:rPr>
            </w:pPr>
            <w:r w:rsidRPr="004C4F8B">
              <w:rPr>
                <w:rFonts w:ascii="Arial" w:hAnsi="Arial" w:cs="Arial"/>
                <w:sz w:val="20"/>
                <w:szCs w:val="20"/>
              </w:rPr>
              <w:t xml:space="preserve">Roadway widening over existing walls and embankments, conflicts with settlement sensitive utilities, and accelerated schedule delivery have increased demands for alternative lightweight fill materials. Although engineers and contractors are increasingly considering Lightweight Cellular Concrete (LCC) backfills for abutments, embankments and MSE walls; the absence of a consistent design methodology has led to a wide range of design approaches with no consensus standard. LCC is available in multiple classes separated by unit weight and unconfined compressive strength. The most common class used in previous highway projects, with a unit weight of 30 </w:t>
            </w:r>
            <w:proofErr w:type="spellStart"/>
            <w:r w:rsidRPr="004C4F8B">
              <w:rPr>
                <w:rFonts w:ascii="Arial" w:hAnsi="Arial" w:cs="Arial"/>
                <w:sz w:val="20"/>
                <w:szCs w:val="20"/>
              </w:rPr>
              <w:t>lb</w:t>
            </w:r>
            <w:proofErr w:type="spellEnd"/>
            <w:r w:rsidRPr="004C4F8B">
              <w:rPr>
                <w:rFonts w:ascii="Arial" w:hAnsi="Arial" w:cs="Arial"/>
                <w:sz w:val="20"/>
                <w:szCs w:val="20"/>
              </w:rPr>
              <w:t>/ft</w:t>
            </w:r>
            <w:r w:rsidRPr="00D07240">
              <w:rPr>
                <w:rFonts w:ascii="Arial" w:hAnsi="Arial" w:cs="Arial"/>
                <w:sz w:val="20"/>
                <w:szCs w:val="20"/>
                <w:vertAlign w:val="superscript"/>
              </w:rPr>
              <w:t>3</w:t>
            </w:r>
            <w:r w:rsidRPr="004C4F8B">
              <w:rPr>
                <w:rFonts w:ascii="Arial" w:hAnsi="Arial" w:cs="Arial"/>
                <w:sz w:val="20"/>
                <w:szCs w:val="20"/>
              </w:rPr>
              <w:t xml:space="preserve"> and an unconfined compressive strength of 50 to 80 psi, does not strictly behave like a soil or like concrete and must be investigated as a new material for engineering applications. Benefits of using LCC include low unit weight, reduced settlements/impacts to existing structures and utilities, reduced active earth pressures on retaining walls, significant post-peak ductility, rapid construction without compaction requirements, ability to pump materials to areas that are limited or dangerous for large equipment to access, and in many cases significant cost, schedule, and overall project risk reduction. Unfortunately, controversy exists within the industry regarding whether LCC should be modeled as a frictional or a cementitious (cohesive) material. In addition, earth pressures for retaining wall design and potential failure mechanisms are poorly understood for retaining wall applications. Specific to Mechanically Stabilized Earth (MSE) applications, there also remains uncertainty in LCC interaction with internal wall reinforcement.</w:t>
            </w:r>
          </w:p>
          <w:p w:rsidR="004C4F8B" w:rsidRDefault="004C4F8B" w:rsidP="00C26502">
            <w:pPr>
              <w:spacing w:after="0" w:line="240" w:lineRule="auto"/>
              <w:rPr>
                <w:rFonts w:ascii="Arial" w:hAnsi="Arial" w:cs="Arial"/>
                <w:sz w:val="20"/>
                <w:szCs w:val="20"/>
              </w:rPr>
            </w:pPr>
          </w:p>
          <w:p w:rsidR="004C4F8B" w:rsidRDefault="00814F16" w:rsidP="004C4F8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 Specific objectives are:</w:t>
            </w:r>
          </w:p>
          <w:p w:rsidR="004C4F8B" w:rsidRPr="004C4F8B" w:rsidRDefault="004C4F8B" w:rsidP="004C4F8B">
            <w:pPr>
              <w:spacing w:after="0" w:line="240" w:lineRule="auto"/>
              <w:rPr>
                <w:rFonts w:ascii="Arial" w:hAnsi="Arial" w:cs="Arial"/>
                <w:sz w:val="20"/>
                <w:szCs w:val="20"/>
              </w:rPr>
            </w:pPr>
          </w:p>
          <w:p w:rsidR="004C4F8B" w:rsidRPr="004C4F8B" w:rsidRDefault="004C4F8B" w:rsidP="004C4F8B">
            <w:pPr>
              <w:spacing w:after="0" w:line="240" w:lineRule="auto"/>
              <w:rPr>
                <w:rFonts w:ascii="Arial" w:hAnsi="Arial" w:cs="Arial"/>
                <w:sz w:val="20"/>
                <w:szCs w:val="20"/>
              </w:rPr>
            </w:pPr>
            <w:r w:rsidRPr="004C4F8B">
              <w:rPr>
                <w:rFonts w:ascii="Arial" w:hAnsi="Arial" w:cs="Arial"/>
                <w:sz w:val="20"/>
                <w:szCs w:val="20"/>
              </w:rPr>
              <w:t>(1) Determine and characterize the nature of strength criteria based on failure in large-scale laboratory tests.</w:t>
            </w:r>
          </w:p>
          <w:p w:rsidR="004C4F8B" w:rsidRPr="004C4F8B" w:rsidRDefault="004C4F8B" w:rsidP="004C4F8B">
            <w:pPr>
              <w:spacing w:after="0" w:line="240" w:lineRule="auto"/>
              <w:rPr>
                <w:rFonts w:ascii="Arial" w:hAnsi="Arial" w:cs="Arial"/>
                <w:sz w:val="20"/>
                <w:szCs w:val="20"/>
              </w:rPr>
            </w:pPr>
            <w:r w:rsidRPr="004C4F8B">
              <w:rPr>
                <w:rFonts w:ascii="Arial" w:hAnsi="Arial" w:cs="Arial"/>
                <w:sz w:val="20"/>
                <w:szCs w:val="20"/>
              </w:rPr>
              <w:t>(2) Determine the failure mechanism for unreinforced LCC backfill behind conventional reinforced concrete walls along with wall pressures and deflections.</w:t>
            </w:r>
          </w:p>
          <w:p w:rsidR="004C4F8B" w:rsidRPr="004C4F8B" w:rsidRDefault="004C4F8B" w:rsidP="004C4F8B">
            <w:pPr>
              <w:spacing w:after="0" w:line="240" w:lineRule="auto"/>
              <w:rPr>
                <w:rFonts w:ascii="Arial" w:hAnsi="Arial" w:cs="Arial"/>
                <w:sz w:val="20"/>
                <w:szCs w:val="20"/>
              </w:rPr>
            </w:pPr>
            <w:r w:rsidRPr="004C4F8B">
              <w:rPr>
                <w:rFonts w:ascii="Arial" w:hAnsi="Arial" w:cs="Arial"/>
                <w:sz w:val="20"/>
                <w:szCs w:val="20"/>
              </w:rPr>
              <w:t>(3) Determine the failure mechanism for MSE walls with LCC backfill along with wall pressures, required inextensible (steel) reinforcement length, and wall displacements.</w:t>
            </w:r>
          </w:p>
          <w:p w:rsidR="009F209C" w:rsidRPr="009F209C" w:rsidRDefault="004C4F8B" w:rsidP="004C4F8B">
            <w:pPr>
              <w:spacing w:after="0" w:line="240" w:lineRule="auto"/>
              <w:rPr>
                <w:rFonts w:ascii="Arial" w:hAnsi="Arial" w:cs="Arial"/>
                <w:sz w:val="20"/>
                <w:szCs w:val="20"/>
              </w:rPr>
            </w:pPr>
            <w:r w:rsidRPr="004C4F8B">
              <w:rPr>
                <w:rFonts w:ascii="Arial" w:hAnsi="Arial" w:cs="Arial"/>
                <w:sz w:val="20"/>
                <w:szCs w:val="20"/>
              </w:rPr>
              <w:t>(4) Measure pull-out resistance of inextensible reinforcements at large-scale and under variable applied vertical pressures.</w:t>
            </w:r>
          </w:p>
          <w:p w:rsidR="009F209C" w:rsidRPr="009F209C" w:rsidRDefault="009F209C" w:rsidP="009F209C">
            <w:pPr>
              <w:spacing w:after="0" w:line="240" w:lineRule="auto"/>
              <w:rPr>
                <w:rFonts w:ascii="Arial" w:hAnsi="Arial" w:cs="Arial"/>
                <w:sz w:val="20"/>
                <w:szCs w:val="20"/>
              </w:rPr>
            </w:pP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 xml:space="preserve">for this study </w:t>
            </w:r>
            <w:r w:rsidR="004C4F8B">
              <w:rPr>
                <w:rFonts w:ascii="Arial" w:hAnsi="Arial" w:cs="Arial"/>
                <w:sz w:val="20"/>
                <w:szCs w:val="20"/>
              </w:rPr>
              <w:t>will be listed once the initial research contract is executed.</w:t>
            </w:r>
          </w:p>
          <w:p w:rsidR="009F209C" w:rsidRPr="009F209C" w:rsidRDefault="009F209C" w:rsidP="009F209C">
            <w:pPr>
              <w:spacing w:after="0" w:line="240" w:lineRule="auto"/>
              <w:rPr>
                <w:rFonts w:ascii="Arial" w:hAnsi="Arial" w:cs="Arial"/>
                <w:sz w:val="20"/>
                <w:szCs w:val="20"/>
              </w:rPr>
            </w:pPr>
          </w:p>
          <w:p w:rsidR="002765D0" w:rsidRDefault="0098313E" w:rsidP="002765D0">
            <w:pPr>
              <w:spacing w:after="0" w:line="240" w:lineRule="auto"/>
              <w:rPr>
                <w:rFonts w:ascii="Arial" w:hAnsi="Arial" w:cs="Arial"/>
                <w:sz w:val="20"/>
                <w:szCs w:val="20"/>
              </w:rPr>
            </w:pPr>
            <w:r>
              <w:rPr>
                <w:rFonts w:ascii="Arial" w:hAnsi="Arial" w:cs="Arial"/>
                <w:sz w:val="20"/>
                <w:szCs w:val="20"/>
              </w:rPr>
              <w:t>T</w:t>
            </w:r>
            <w:r w:rsidR="00D73367">
              <w:rPr>
                <w:rFonts w:ascii="Arial" w:hAnsi="Arial" w:cs="Arial"/>
                <w:sz w:val="20"/>
                <w:szCs w:val="20"/>
              </w:rPr>
              <w:t>he Principal Investigator</w:t>
            </w:r>
            <w:r>
              <w:rPr>
                <w:rFonts w:ascii="Arial" w:hAnsi="Arial" w:cs="Arial"/>
                <w:sz w:val="20"/>
                <w:szCs w:val="20"/>
              </w:rPr>
              <w:t>s</w:t>
            </w:r>
            <w:r w:rsidR="00D73367">
              <w:rPr>
                <w:rFonts w:ascii="Arial" w:hAnsi="Arial" w:cs="Arial"/>
                <w:sz w:val="20"/>
                <w:szCs w:val="20"/>
              </w:rPr>
              <w:t xml:space="preserve"> for this research project</w:t>
            </w:r>
            <w:r>
              <w:rPr>
                <w:rFonts w:ascii="Arial" w:hAnsi="Arial" w:cs="Arial"/>
                <w:sz w:val="20"/>
                <w:szCs w:val="20"/>
              </w:rPr>
              <w:t xml:space="preserve"> are </w:t>
            </w:r>
            <w:r>
              <w:rPr>
                <w:rFonts w:ascii="Arial" w:hAnsi="Arial" w:cs="Arial"/>
                <w:sz w:val="20"/>
                <w:szCs w:val="20"/>
              </w:rPr>
              <w:t xml:space="preserve">Dr. Kyle Rollins of </w:t>
            </w:r>
            <w:r>
              <w:rPr>
                <w:rFonts w:ascii="Arial" w:hAnsi="Arial" w:cs="Arial"/>
                <w:sz w:val="20"/>
                <w:szCs w:val="20"/>
              </w:rPr>
              <w:t>Brigham Young University (</w:t>
            </w:r>
            <w:r>
              <w:rPr>
                <w:rFonts w:ascii="Arial" w:hAnsi="Arial" w:cs="Arial"/>
                <w:sz w:val="20"/>
                <w:szCs w:val="20"/>
              </w:rPr>
              <w:t>BYU</w:t>
            </w:r>
            <w:r>
              <w:rPr>
                <w:rFonts w:ascii="Arial" w:hAnsi="Arial" w:cs="Arial"/>
                <w:sz w:val="20"/>
                <w:szCs w:val="20"/>
              </w:rPr>
              <w:t>)</w:t>
            </w:r>
            <w:r>
              <w:rPr>
                <w:rFonts w:ascii="Arial" w:hAnsi="Arial" w:cs="Arial"/>
                <w:sz w:val="20"/>
                <w:szCs w:val="20"/>
              </w:rPr>
              <w:t xml:space="preserve"> </w:t>
            </w:r>
            <w:r>
              <w:rPr>
                <w:rFonts w:ascii="Arial" w:hAnsi="Arial" w:cs="Arial"/>
                <w:sz w:val="20"/>
                <w:szCs w:val="20"/>
              </w:rPr>
              <w:t xml:space="preserve">and </w:t>
            </w:r>
            <w:r w:rsidRPr="0098313E">
              <w:rPr>
                <w:rFonts w:ascii="Arial" w:hAnsi="Arial" w:cs="Arial"/>
                <w:sz w:val="20"/>
                <w:szCs w:val="20"/>
              </w:rPr>
              <w:t>Ryan Ma</w:t>
            </w:r>
            <w:r w:rsidR="00F4681C">
              <w:rPr>
                <w:rFonts w:ascii="Arial" w:hAnsi="Arial" w:cs="Arial"/>
                <w:sz w:val="20"/>
                <w:szCs w:val="20"/>
              </w:rPr>
              <w:t>w of</w:t>
            </w:r>
            <w:r w:rsidRPr="0098313E">
              <w:rPr>
                <w:rFonts w:ascii="Arial" w:hAnsi="Arial" w:cs="Arial"/>
                <w:sz w:val="20"/>
                <w:szCs w:val="20"/>
              </w:rPr>
              <w:t xml:space="preserve"> Gerhart-Cole, Inc</w:t>
            </w:r>
            <w:r w:rsidR="00D73367">
              <w:rPr>
                <w:rFonts w:ascii="Arial" w:hAnsi="Arial" w:cs="Arial"/>
                <w:sz w:val="20"/>
                <w:szCs w:val="20"/>
              </w:rPr>
              <w: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These are being reviewed and finalized for the initial contract.</w:t>
            </w:r>
          </w:p>
          <w:p w:rsidR="00D07240" w:rsidRPr="0058680D" w:rsidRDefault="00D0724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D07240">
              <w:rPr>
                <w:rFonts w:ascii="Arial" w:hAnsi="Arial" w:cs="Arial"/>
                <w:sz w:val="20"/>
                <w:szCs w:val="20"/>
              </w:rPr>
              <w:t>Dr. Rollins shared an updated work plan with UDOT for review, and UDOT provided feedback and suggested edits.</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D07240">
              <w:rPr>
                <w:rFonts w:ascii="Arial" w:hAnsi="Arial" w:cs="Arial"/>
                <w:sz w:val="20"/>
                <w:szCs w:val="20"/>
              </w:rPr>
              <w:t>These will be updated and finalized for the initial contract.</w:t>
            </w:r>
            <w:r w:rsidR="007029AB">
              <w:rPr>
                <w:rFonts w:ascii="Arial" w:hAnsi="Arial" w:cs="Arial"/>
                <w:sz w:val="20"/>
                <w:szCs w:val="20"/>
              </w:rPr>
              <w:t xml:space="preserve"> Plan on having a TAC web conference to discuss the planned work tasks prior to beginning the work.</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D07240">
              <w:rPr>
                <w:rFonts w:ascii="Arial" w:hAnsi="Arial" w:cs="Arial"/>
                <w:sz w:val="20"/>
                <w:szCs w:val="20"/>
              </w:rPr>
              <w:t xml:space="preserve">Dr. Rollins </w:t>
            </w:r>
            <w:r w:rsidR="00D07240">
              <w:rPr>
                <w:rFonts w:ascii="Arial" w:hAnsi="Arial" w:cs="Arial"/>
                <w:sz w:val="20"/>
                <w:szCs w:val="20"/>
              </w:rPr>
              <w:t xml:space="preserve">will </w:t>
            </w:r>
            <w:r w:rsidR="00D07240">
              <w:rPr>
                <w:rFonts w:ascii="Arial" w:hAnsi="Arial" w:cs="Arial"/>
                <w:sz w:val="20"/>
                <w:szCs w:val="20"/>
              </w:rPr>
              <w:t xml:space="preserve">share an updated work plan with </w:t>
            </w:r>
            <w:r w:rsidR="007029AB">
              <w:rPr>
                <w:rFonts w:ascii="Arial" w:hAnsi="Arial" w:cs="Arial"/>
                <w:sz w:val="20"/>
                <w:szCs w:val="20"/>
              </w:rPr>
              <w:t xml:space="preserve">the TAC </w:t>
            </w:r>
            <w:r w:rsidR="00D07240">
              <w:rPr>
                <w:rFonts w:ascii="Arial" w:hAnsi="Arial" w:cs="Arial"/>
                <w:sz w:val="20"/>
                <w:szCs w:val="20"/>
              </w:rPr>
              <w:t xml:space="preserve">for review and </w:t>
            </w:r>
            <w:r w:rsidR="000E64B7">
              <w:rPr>
                <w:rFonts w:ascii="Arial" w:hAnsi="Arial" w:cs="Arial"/>
                <w:sz w:val="20"/>
                <w:szCs w:val="20"/>
              </w:rPr>
              <w:t>incorporate the TAC f</w:t>
            </w:r>
            <w:r w:rsidR="00D07240">
              <w:rPr>
                <w:rFonts w:ascii="Arial" w:hAnsi="Arial" w:cs="Arial"/>
                <w:sz w:val="20"/>
                <w:szCs w:val="20"/>
              </w:rPr>
              <w:t xml:space="preserve">eedback </w:t>
            </w:r>
            <w:r w:rsidR="000E64B7">
              <w:rPr>
                <w:rFonts w:ascii="Arial" w:hAnsi="Arial" w:cs="Arial"/>
                <w:sz w:val="20"/>
                <w:szCs w:val="20"/>
              </w:rPr>
              <w:t>in the work plan. The initial contract will be executed and work will begin.</w:t>
            </w:r>
          </w:p>
          <w:p w:rsidR="00A14F62" w:rsidRDefault="00A14F62" w:rsidP="0014543A">
            <w:pPr>
              <w:keepNext/>
              <w:keepLines/>
              <w:tabs>
                <w:tab w:val="left" w:pos="7567"/>
              </w:tabs>
              <w:spacing w:after="0" w:line="240" w:lineRule="auto"/>
              <w:rPr>
                <w:rFonts w:ascii="Arial" w:hAnsi="Arial" w:cs="Arial"/>
                <w:sz w:val="20"/>
                <w:szCs w:val="20"/>
              </w:rPr>
            </w:pPr>
          </w:p>
          <w:p w:rsidR="00A14F62" w:rsidRDefault="00A14F62" w:rsidP="0014543A">
            <w:pPr>
              <w:keepNext/>
              <w:keepLines/>
              <w:tabs>
                <w:tab w:val="left" w:pos="7567"/>
              </w:tabs>
              <w:spacing w:after="0" w:line="240" w:lineRule="auto"/>
              <w:rPr>
                <w:rFonts w:ascii="Arial" w:hAnsi="Arial" w:cs="Arial"/>
                <w:sz w:val="20"/>
                <w:szCs w:val="20"/>
              </w:rPr>
            </w:pPr>
            <w:r w:rsidRPr="00A14F62">
              <w:rPr>
                <w:rFonts w:ascii="Arial" w:hAnsi="Arial" w:cs="Arial"/>
                <w:b/>
                <w:sz w:val="20"/>
                <w:szCs w:val="20"/>
              </w:rPr>
              <w:t>Funding</w:t>
            </w:r>
            <w:r>
              <w:rPr>
                <w:rFonts w:ascii="Arial" w:hAnsi="Arial" w:cs="Arial"/>
                <w:sz w:val="20"/>
                <w:szCs w:val="20"/>
              </w:rPr>
              <w:t xml:space="preserve"> – </w:t>
            </w:r>
            <w:r w:rsidRPr="00A14F62">
              <w:rPr>
                <w:rFonts w:ascii="Arial" w:hAnsi="Arial" w:cs="Arial"/>
                <w:sz w:val="20"/>
                <w:szCs w:val="20"/>
                <w:u w:val="single"/>
              </w:rPr>
              <w:t>Participating state DOTs are requested to transfer their 2019 and 2020 funding commitments to UDOT to fund the research contracts.</w:t>
            </w:r>
          </w:p>
          <w:p w:rsidR="00D07240" w:rsidRPr="0078688E" w:rsidRDefault="00D07240" w:rsidP="0014543A">
            <w:pPr>
              <w:keepNext/>
              <w:keepLines/>
              <w:tabs>
                <w:tab w:val="left" w:pos="7567"/>
              </w:tabs>
              <w:spacing w:after="0" w:line="240" w:lineRule="auto"/>
              <w:rPr>
                <w:rFonts w:ascii="Arial" w:hAnsi="Arial" w:cs="Arial"/>
                <w:sz w:val="20"/>
                <w:szCs w:val="20"/>
              </w:rPr>
            </w:pPr>
            <w:bookmarkStart w:id="0" w:name="_GoBack"/>
            <w:bookmarkEnd w:id="0"/>
          </w:p>
        </w:tc>
      </w:tr>
    </w:tbl>
    <w:p w:rsidR="008B7F86" w:rsidRDefault="008B7F86">
      <w:pPr>
        <w:spacing w:after="0" w:line="240" w:lineRule="auto"/>
        <w:rPr>
          <w:rFonts w:ascii="Arial" w:hAnsi="Arial" w:cs="Arial"/>
          <w:sz w:val="20"/>
          <w:szCs w:val="20"/>
        </w:rPr>
      </w:pPr>
    </w:p>
    <w:p w:rsidR="00A14F62" w:rsidRDefault="00A14F62">
      <w:pPr>
        <w:spacing w:after="0" w:line="240" w:lineRule="auto"/>
        <w:rPr>
          <w:rFonts w:ascii="Arial" w:hAnsi="Arial" w:cs="Arial"/>
          <w:sz w:val="20"/>
          <w:szCs w:val="20"/>
        </w:rPr>
      </w:pPr>
    </w:p>
    <w:p w:rsidR="00A14F62" w:rsidRDefault="00A14F62">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81B" w:rsidRDefault="008E481B" w:rsidP="00106C83">
      <w:pPr>
        <w:spacing w:after="0" w:line="240" w:lineRule="auto"/>
      </w:pPr>
      <w:r>
        <w:separator/>
      </w:r>
    </w:p>
  </w:endnote>
  <w:endnote w:type="continuationSeparator" w:id="0">
    <w:p w:rsidR="008E481B" w:rsidRDefault="008E481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81B" w:rsidRDefault="008E481B" w:rsidP="00106C83">
      <w:pPr>
        <w:spacing w:after="0" w:line="240" w:lineRule="auto"/>
      </w:pPr>
      <w:r>
        <w:separator/>
      </w:r>
    </w:p>
  </w:footnote>
  <w:footnote w:type="continuationSeparator" w:id="0">
    <w:p w:rsidR="008E481B" w:rsidRDefault="008E481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64B7"/>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6056"/>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4F8B"/>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292D"/>
    <w:rsid w:val="00A14F62"/>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37D9"/>
    <w:rsid w:val="00A93FE4"/>
    <w:rsid w:val="00A9556F"/>
    <w:rsid w:val="00A97CF7"/>
    <w:rsid w:val="00AA1C3F"/>
    <w:rsid w:val="00AA4D37"/>
    <w:rsid w:val="00AA54A6"/>
    <w:rsid w:val="00AA62C5"/>
    <w:rsid w:val="00AA72F5"/>
    <w:rsid w:val="00AB0016"/>
    <w:rsid w:val="00AB156A"/>
    <w:rsid w:val="00AB1949"/>
    <w:rsid w:val="00AB1B0F"/>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4FC0"/>
    <w:rsid w:val="00AE628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C67"/>
    <w:rsid w:val="00C07F95"/>
    <w:rsid w:val="00C1079D"/>
    <w:rsid w:val="00C10FE4"/>
    <w:rsid w:val="00C13753"/>
    <w:rsid w:val="00C1542A"/>
    <w:rsid w:val="00C161CD"/>
    <w:rsid w:val="00C2005E"/>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D76A6"/>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5ECDD-0614-4106-868A-470BA37B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388</cp:revision>
  <cp:lastPrinted>2011-06-21T20:32:00Z</cp:lastPrinted>
  <dcterms:created xsi:type="dcterms:W3CDTF">2019-10-17T23:18:00Z</dcterms:created>
  <dcterms:modified xsi:type="dcterms:W3CDTF">2019-10-18T15:32:00Z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