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B1A15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7B1A15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7B1A15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</w:rPr>
        <w:t>INSTRUCTIONS: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7B1A15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7B1A15" w:rsidTr="00360664">
        <w:trPr>
          <w:trHeight w:val="1997"/>
        </w:trPr>
        <w:tc>
          <w:tcPr>
            <w:tcW w:w="5418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7B1A15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B1A15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7B1A1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7B1A1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472ED0" w:rsidRDefault="00472ED0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72ED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72ED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72ED0">
              <w:rPr>
                <w:rFonts w:ascii="Arial" w:hAnsi="Arial" w:cs="Arial"/>
                <w:sz w:val="20"/>
                <w:szCs w:val="20"/>
              </w:rPr>
              <w:t>Quarter 1 (January 1 – March 31, 201</w:t>
            </w:r>
            <w:r w:rsidR="00150DC9" w:rsidRPr="00472ED0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472ED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8911A9" w:rsidRDefault="00F51C37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911A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8911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8911A9">
              <w:rPr>
                <w:rFonts w:ascii="Arial" w:hAnsi="Arial" w:cs="Arial"/>
                <w:sz w:val="20"/>
                <w:szCs w:val="20"/>
              </w:rPr>
              <w:t>Quarter 2 (April 1 – June 30, 201</w:t>
            </w:r>
            <w:r w:rsidR="00150DC9" w:rsidRPr="008911A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8911A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8911A9" w:rsidRDefault="00F51C37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911A9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8911A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8911A9">
              <w:rPr>
                <w:rFonts w:ascii="Arial" w:hAnsi="Arial" w:cs="Arial"/>
                <w:b/>
                <w:sz w:val="20"/>
                <w:szCs w:val="20"/>
              </w:rPr>
              <w:t>Quarter 3 (July 1 – September 30, 201</w:t>
            </w:r>
            <w:r w:rsidR="00150DC9" w:rsidRPr="008911A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56546" w:rsidRPr="008911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150DC9" w:rsidRDefault="00150DC9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0DC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150DC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150DC9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Pr="00150DC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150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7B1A15" w:rsidTr="00360664">
        <w:tc>
          <w:tcPr>
            <w:tcW w:w="10908" w:type="dxa"/>
            <w:gridSpan w:val="4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7B1A15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B1A1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7B1A15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7B1A15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7B1A15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7B1A15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7B1A15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7B1A15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7B1A15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7B1A15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7B1A15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7B1A15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7B1A15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7B1A15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June 30, 20</w:t>
            </w:r>
            <w:r w:rsidR="00472ED0">
              <w:rPr>
                <w:rFonts w:ascii="Arial" w:hAnsi="Arial" w:cs="Arial"/>
                <w:sz w:val="20"/>
                <w:szCs w:val="20"/>
              </w:rPr>
              <w:t>20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F51C3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Pr="007B1A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2ED0">
              <w:rPr>
                <w:rFonts w:ascii="Arial" w:hAnsi="Arial" w:cs="Arial"/>
                <w:sz w:val="20"/>
                <w:szCs w:val="20"/>
              </w:rPr>
              <w:t>5</w:t>
            </w:r>
            <w:r w:rsidR="007D64F6" w:rsidRPr="007B1A15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Project schedule status: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7B1A15">
        <w:rPr>
          <w:rFonts w:ascii="Arial" w:hAnsi="Arial" w:cs="Arial"/>
          <w:b/>
          <w:sz w:val="20"/>
          <w:szCs w:val="20"/>
        </w:rPr>
        <w:t xml:space="preserve"> </w:t>
      </w:r>
      <w:r w:rsidR="002D4396" w:rsidRPr="007B1A15">
        <w:rPr>
          <w:rFonts w:ascii="Arial" w:hAnsi="Arial" w:cs="Arial"/>
          <w:sz w:val="20"/>
          <w:szCs w:val="20"/>
        </w:rPr>
        <w:t>On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On revised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</w:t>
      </w:r>
      <w:r w:rsidR="002D4396" w:rsidRPr="007B1A15">
        <w:rPr>
          <w:rFonts w:ascii="Arial" w:hAnsi="Arial" w:cs="Arial"/>
          <w:sz w:val="20"/>
          <w:szCs w:val="20"/>
        </w:rPr>
        <w:t xml:space="preserve"> </w:t>
      </w:r>
      <w:r w:rsidRPr="007B1A15">
        <w:rPr>
          <w:rFonts w:ascii="Arial" w:hAnsi="Arial" w:cs="Arial"/>
          <w:sz w:val="20"/>
          <w:szCs w:val="20"/>
        </w:rPr>
        <w:t>Ahead of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Behind schedule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7B1A15" w:rsidTr="00360664">
        <w:tc>
          <w:tcPr>
            <w:tcW w:w="4158" w:type="dxa"/>
            <w:vAlign w:val="center"/>
          </w:tcPr>
          <w:p w:rsidR="00167BE5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Total commitments = $3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7B1A15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7B1A15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Current obligated f</w:t>
            </w:r>
            <w:r>
              <w:rPr>
                <w:rFonts w:ascii="Arial" w:hAnsi="Arial" w:cs="Arial"/>
                <w:sz w:val="20"/>
                <w:szCs w:val="20"/>
              </w:rPr>
              <w:t xml:space="preserve">unds = </w:t>
            </w:r>
            <w:r w:rsidRPr="002B61EE">
              <w:rPr>
                <w:rFonts w:ascii="Arial" w:hAnsi="Arial" w:cs="Arial"/>
                <w:sz w:val="20"/>
                <w:szCs w:val="20"/>
              </w:rPr>
              <w:t>$3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2B61EE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2B61EE" w:rsidRPr="002B61EE">
              <w:rPr>
                <w:rFonts w:ascii="Arial" w:hAnsi="Arial" w:cs="Arial"/>
                <w:sz w:val="20"/>
                <w:szCs w:val="20"/>
              </w:rPr>
              <w:t>$249,999.84</w:t>
            </w:r>
          </w:p>
          <w:p w:rsidR="00097B59" w:rsidRPr="007B1A15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 balance not on contract = $135,523.85</w:t>
            </w:r>
          </w:p>
        </w:tc>
        <w:tc>
          <w:tcPr>
            <w:tcW w:w="3330" w:type="dxa"/>
            <w:vAlign w:val="center"/>
          </w:tcPr>
          <w:p w:rsidR="000400FA" w:rsidRDefault="00473987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87">
              <w:rPr>
                <w:rFonts w:ascii="Arial" w:hAnsi="Arial" w:cs="Arial"/>
                <w:sz w:val="20"/>
                <w:szCs w:val="20"/>
              </w:rPr>
              <w:t>$</w:t>
            </w:r>
            <w:r w:rsidR="002F6C13">
              <w:rPr>
                <w:rFonts w:ascii="Arial" w:hAnsi="Arial" w:cs="Arial"/>
                <w:sz w:val="20"/>
                <w:szCs w:val="20"/>
              </w:rPr>
              <w:t>222,625.01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7B1A15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  <w:p w:rsidR="002F6C13" w:rsidRPr="007B1A15" w:rsidRDefault="002F6C1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$995.28 (contract</w:t>
            </w:r>
            <w:r w:rsidR="000400FA" w:rsidRPr="00040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00FA"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7B1A15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i/>
          <w:sz w:val="20"/>
          <w:szCs w:val="20"/>
        </w:rPr>
        <w:t>Quarterly</w:t>
      </w:r>
      <w:r w:rsidRPr="007B1A15">
        <w:rPr>
          <w:rFonts w:ascii="Arial" w:hAnsi="Arial" w:cs="Arial"/>
          <w:sz w:val="20"/>
          <w:szCs w:val="20"/>
        </w:rPr>
        <w:t xml:space="preserve"> Project Statistics</w:t>
      </w:r>
      <w:r w:rsidR="00052A2B" w:rsidRPr="007B1A15">
        <w:rPr>
          <w:rFonts w:ascii="Arial" w:hAnsi="Arial" w:cs="Arial"/>
          <w:sz w:val="20"/>
          <w:szCs w:val="20"/>
        </w:rPr>
        <w:t xml:space="preserve"> (for current contract)</w:t>
      </w:r>
      <w:r w:rsidRPr="007B1A15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EC451A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F7CA5">
              <w:rPr>
                <w:rFonts w:ascii="Arial" w:hAnsi="Arial" w:cs="Arial"/>
                <w:sz w:val="20"/>
                <w:szCs w:val="20"/>
              </w:rPr>
              <w:t>8</w:t>
            </w:r>
            <w:r w:rsidR="002F66FD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7B1A15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72984">
              <w:rPr>
                <w:rFonts w:ascii="Arial" w:hAnsi="Arial" w:cs="Arial"/>
                <w:sz w:val="20"/>
                <w:szCs w:val="20"/>
              </w:rPr>
              <w:t>46,150.40</w:t>
            </w:r>
          </w:p>
        </w:tc>
        <w:tc>
          <w:tcPr>
            <w:tcW w:w="3420" w:type="dxa"/>
          </w:tcPr>
          <w:p w:rsidR="000C209F" w:rsidRPr="007B1A15" w:rsidRDefault="002E1226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272964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>
      <w:pPr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7B1A15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7B1A15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7B1A15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7B1A15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7B1A15">
              <w:rPr>
                <w:rFonts w:ascii="Arial" w:hAnsi="Arial" w:cs="Arial"/>
                <w:sz w:val="20"/>
                <w:szCs w:val="20"/>
              </w:rPr>
              <w:t>s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7B1A15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7B1A15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902F7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902F7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1CC" w:rsidRDefault="000520AA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QAC </w:t>
            </w:r>
            <w:r w:rsidR="00F631CC">
              <w:rPr>
                <w:rFonts w:ascii="Arial" w:hAnsi="Arial" w:cs="Arial"/>
                <w:sz w:val="20"/>
                <w:szCs w:val="20"/>
              </w:rPr>
              <w:t>me</w:t>
            </w:r>
            <w:r w:rsidR="00F631CC" w:rsidRPr="009902F7">
              <w:rPr>
                <w:rFonts w:ascii="Arial" w:hAnsi="Arial" w:cs="Arial"/>
                <w:sz w:val="20"/>
                <w:szCs w:val="20"/>
              </w:rPr>
              <w:t xml:space="preserve">t in Alaska </w:t>
            </w:r>
            <w:r w:rsidR="00F631CC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F631CC" w:rsidRPr="009902F7">
              <w:rPr>
                <w:rFonts w:ascii="Arial" w:hAnsi="Arial" w:cs="Arial"/>
                <w:sz w:val="20"/>
                <w:szCs w:val="20"/>
              </w:rPr>
              <w:t>July 15-19.</w:t>
            </w:r>
          </w:p>
          <w:p w:rsidR="00F631CC" w:rsidRDefault="00F631CC" w:rsidP="00F631C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reviewed:</w:t>
            </w:r>
          </w:p>
          <w:p w:rsidR="00F631CC" w:rsidRDefault="00F631CC" w:rsidP="00F631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Embankment/Base and In-Place Density Field Operating Procedures</w:t>
            </w:r>
          </w:p>
          <w:p w:rsidR="00F631CC" w:rsidRDefault="00F631CC" w:rsidP="00F631C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255/T 265, T 99/T180, R 75, T 272, T85, T 310, T 255, and associated TTQP Exams and Presentations.</w:t>
            </w:r>
          </w:p>
          <w:p w:rsidR="00F631CC" w:rsidRDefault="00F631CC" w:rsidP="00F631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Concrete Field Operating Procedures</w:t>
            </w:r>
          </w:p>
          <w:p w:rsidR="00F631CC" w:rsidRDefault="00F631CC" w:rsidP="00F631C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1CC">
              <w:rPr>
                <w:rFonts w:ascii="Arial" w:hAnsi="Arial" w:cs="Arial"/>
                <w:sz w:val="20"/>
                <w:szCs w:val="20"/>
              </w:rPr>
              <w:t>TM 2, R 60</w:t>
            </w:r>
            <w:r>
              <w:rPr>
                <w:rFonts w:ascii="Arial" w:hAnsi="Arial" w:cs="Arial"/>
                <w:sz w:val="20"/>
                <w:szCs w:val="20"/>
              </w:rPr>
              <w:t>, T 209, T 199, T 121, T 152, T 23, and associated TTQP Exams and Presentations.</w:t>
            </w:r>
          </w:p>
          <w:p w:rsidR="00F631CC" w:rsidRDefault="00F631CC" w:rsidP="00F631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Aggregate Field Operating Procedures</w:t>
            </w:r>
          </w:p>
          <w:p w:rsidR="00F631CC" w:rsidRDefault="00F631CC" w:rsidP="00F631C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90, T 76, T 255, T 11/T 27, T 335, T 176, and associated TTQP Exams and Presentations.</w:t>
            </w:r>
          </w:p>
          <w:p w:rsidR="00F631CC" w:rsidRDefault="00F631CC" w:rsidP="00F631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Asphalt Field Operating Procedures</w:t>
            </w:r>
          </w:p>
          <w:p w:rsidR="00F631CC" w:rsidRDefault="000520AA" w:rsidP="00F631C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Asphalt 1 Certification: </w:t>
            </w:r>
            <w:r w:rsidR="00F631CC">
              <w:rPr>
                <w:rFonts w:ascii="Arial" w:hAnsi="Arial" w:cs="Arial"/>
                <w:sz w:val="20"/>
                <w:szCs w:val="20"/>
              </w:rPr>
              <w:t>R 97, R 47, T 329, T 308, T 209, T 166, R 66, T30, and associated TTQP Exams and Presentations.</w:t>
            </w:r>
          </w:p>
          <w:p w:rsidR="000520AA" w:rsidRDefault="000520AA" w:rsidP="000520A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Asphalt 2 Certification: T 312, TM 13, and associated TTQP Exams and Presentations.</w:t>
            </w:r>
          </w:p>
          <w:p w:rsidR="000520AA" w:rsidRDefault="000520AA" w:rsidP="00052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TM 14 for Asphalt Mixture Laboratory Specimens</w:t>
            </w:r>
          </w:p>
          <w:p w:rsidR="000520AA" w:rsidRDefault="000520AA" w:rsidP="00052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Revisions to R 25 and R 96</w:t>
            </w:r>
          </w:p>
          <w:p w:rsidR="000520AA" w:rsidRDefault="000520AA" w:rsidP="00052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Self-Consolidated Concrete</w:t>
            </w:r>
          </w:p>
          <w:p w:rsidR="000520AA" w:rsidRDefault="000520AA" w:rsidP="000520A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Basics, T 347, T 351, T 345.</w:t>
            </w:r>
          </w:p>
          <w:p w:rsidR="000520AA" w:rsidRDefault="000520AA" w:rsidP="00052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0AA" w:rsidRDefault="000520AA" w:rsidP="00052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Executive Board met in Baltimore on August 4</w:t>
            </w:r>
            <w:r w:rsidRPr="000520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5</w:t>
            </w:r>
            <w:r w:rsidRPr="000520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conjunction with the AASHTO Committee on Materials and Pavements. They:</w:t>
            </w:r>
          </w:p>
          <w:p w:rsidR="000520AA" w:rsidRDefault="000520AA" w:rsidP="00052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Reported on previous proposals for T 27 and T 11.</w:t>
            </w:r>
          </w:p>
          <w:p w:rsidR="000520AA" w:rsidRDefault="000520AA" w:rsidP="00052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Planned proposed revisions and presentations to Technical Subcommittees for:</w:t>
            </w:r>
          </w:p>
          <w:p w:rsidR="000520AA" w:rsidRDefault="000520AA" w:rsidP="000520A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25, T 309, T 88, T 176</w:t>
            </w:r>
          </w:p>
          <w:p w:rsidR="000520AA" w:rsidRDefault="000520AA" w:rsidP="009A0F3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Reconciliation of Density references in T 99, T 121, </w:t>
            </w:r>
            <w:r w:rsidR="00DB2159">
              <w:rPr>
                <w:rFonts w:ascii="Arial" w:hAnsi="Arial" w:cs="Arial"/>
                <w:sz w:val="20"/>
                <w:szCs w:val="20"/>
              </w:rPr>
              <w:t>T 180, T 310</w:t>
            </w:r>
          </w:p>
          <w:p w:rsidR="00DB2159" w:rsidRDefault="00DB2159" w:rsidP="009A0F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Training Developments,</w:t>
            </w:r>
          </w:p>
          <w:p w:rsidR="00DB2159" w:rsidRDefault="00DB2159" w:rsidP="00DB21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Planned and update for the WAQTC Brochure</w:t>
            </w:r>
          </w:p>
          <w:p w:rsidR="00DB2159" w:rsidRPr="000520AA" w:rsidRDefault="00DB2159" w:rsidP="009A0F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and approved or returned proposals from the QAC for TTQP Aggregate Exams, TM 2, R 56, and training materials.</w:t>
            </w:r>
          </w:p>
          <w:p w:rsidR="00F631CC" w:rsidRPr="00F631CC" w:rsidRDefault="00F631CC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02216" w:rsidRPr="009902F7" w:rsidRDefault="00F02216" w:rsidP="00467B2C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902F7" w:rsidTr="003B3781">
        <w:tc>
          <w:tcPr>
            <w:tcW w:w="10908" w:type="dxa"/>
          </w:tcPr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9902F7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9902F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9902F7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Pr="009902F7" w:rsidRDefault="009902F7" w:rsidP="00B12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B2159">
              <w:rPr>
                <w:rFonts w:ascii="Arial" w:hAnsi="Arial" w:cs="Arial"/>
                <w:sz w:val="20"/>
                <w:szCs w:val="20"/>
              </w:rPr>
              <w:t>Executive Board will meet in teleconference in October.</w:t>
            </w:r>
          </w:p>
          <w:p w:rsidR="008A0A02" w:rsidRPr="009902F7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9902F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902F7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DB2159" w:rsidRDefault="00DB2159" w:rsidP="00DB21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 Committee approvals for:</w:t>
            </w:r>
          </w:p>
          <w:p w:rsidR="00DB2159" w:rsidRDefault="00DB2159" w:rsidP="00DB215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25, T 309, T 88, T 176</w:t>
            </w:r>
          </w:p>
          <w:p w:rsidR="00BC6663" w:rsidRPr="00DB2159" w:rsidRDefault="00DB2159" w:rsidP="009A0F3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Reconciliation of Density references in T 99, T 121, T 180, T 310</w:t>
            </w:r>
          </w:p>
          <w:p w:rsidR="00D51D40" w:rsidRPr="007B1A15" w:rsidRDefault="00D51D40" w:rsidP="00DB2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Default="00344E45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1C55FF" w:rsidRPr="007B1A15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Standards,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55B" w:rsidRDefault="00CD455B" w:rsidP="00106C83">
      <w:pPr>
        <w:spacing w:after="0" w:line="240" w:lineRule="auto"/>
      </w:pPr>
      <w:r>
        <w:separator/>
      </w:r>
    </w:p>
  </w:endnote>
  <w:endnote w:type="continuationSeparator" w:id="0">
    <w:p w:rsidR="00CD455B" w:rsidRDefault="00CD455B" w:rsidP="00106C83">
      <w:pPr>
        <w:spacing w:after="0" w:line="240" w:lineRule="auto"/>
      </w:pPr>
      <w:r>
        <w:continuationSeparator/>
      </w:r>
    </w:p>
  </w:endnote>
  <w:endnote w:type="continuationNotice" w:id="1">
    <w:p w:rsidR="00CD455B" w:rsidRDefault="00CD4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55B" w:rsidRDefault="00CD455B" w:rsidP="00106C83">
      <w:pPr>
        <w:spacing w:after="0" w:line="240" w:lineRule="auto"/>
      </w:pPr>
      <w:r>
        <w:separator/>
      </w:r>
    </w:p>
  </w:footnote>
  <w:footnote w:type="continuationSeparator" w:id="0">
    <w:p w:rsidR="00CD455B" w:rsidRDefault="00CD455B" w:rsidP="00106C83">
      <w:pPr>
        <w:spacing w:after="0" w:line="240" w:lineRule="auto"/>
      </w:pPr>
      <w:r>
        <w:continuationSeparator/>
      </w:r>
    </w:p>
  </w:footnote>
  <w:footnote w:type="continuationNotice" w:id="1">
    <w:p w:rsidR="00CD455B" w:rsidRDefault="00CD4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52C8"/>
    <w:rsid w:val="00045C7E"/>
    <w:rsid w:val="00046DCA"/>
    <w:rsid w:val="000520A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67BE5"/>
    <w:rsid w:val="00174FA3"/>
    <w:rsid w:val="001769DE"/>
    <w:rsid w:val="00176B22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2F6C13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67B2C"/>
    <w:rsid w:val="00472ED0"/>
    <w:rsid w:val="00473987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61CF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5F7CA5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53630"/>
    <w:rsid w:val="00653AE0"/>
    <w:rsid w:val="00654B31"/>
    <w:rsid w:val="006551F4"/>
    <w:rsid w:val="00657540"/>
    <w:rsid w:val="006645A1"/>
    <w:rsid w:val="00670A8E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E6B"/>
    <w:rsid w:val="006C50DB"/>
    <w:rsid w:val="006C7F35"/>
    <w:rsid w:val="006D03A4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5BE7"/>
    <w:rsid w:val="007062CB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202B0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911A9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2771"/>
    <w:rsid w:val="00B12F5A"/>
    <w:rsid w:val="00B15312"/>
    <w:rsid w:val="00B2185C"/>
    <w:rsid w:val="00B265C0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2061"/>
    <w:rsid w:val="00B52859"/>
    <w:rsid w:val="00B53727"/>
    <w:rsid w:val="00B53C27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6C32"/>
    <w:rsid w:val="00CA7BD3"/>
    <w:rsid w:val="00CA7E26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B0DF4"/>
    <w:rsid w:val="00DB0E58"/>
    <w:rsid w:val="00DB2159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27DEA"/>
    <w:rsid w:val="00F334AA"/>
    <w:rsid w:val="00F33D7F"/>
    <w:rsid w:val="00F35484"/>
    <w:rsid w:val="00F40A56"/>
    <w:rsid w:val="00F44489"/>
    <w:rsid w:val="00F46D33"/>
    <w:rsid w:val="00F475EF"/>
    <w:rsid w:val="00F5003E"/>
    <w:rsid w:val="00F51C37"/>
    <w:rsid w:val="00F5478B"/>
    <w:rsid w:val="00F56012"/>
    <w:rsid w:val="00F62E9D"/>
    <w:rsid w:val="00F631CC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E5217D6-A189-4C46-8784-CE4F7D42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CE68-0439-4698-9F65-9B773AF2D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CF9B4-DF6D-4E6F-905B-DF9183C6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4</cp:revision>
  <cp:lastPrinted>2011-06-21T20:32:00Z</cp:lastPrinted>
  <dcterms:created xsi:type="dcterms:W3CDTF">2019-10-18T19:03:00Z</dcterms:created>
  <dcterms:modified xsi:type="dcterms:W3CDTF">2019-10-21T14:51:00Z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