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6A658"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772825D4"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5A402822" w14:textId="77777777" w:rsidR="000C209F" w:rsidRDefault="000C209F" w:rsidP="00551D8A">
      <w:pPr>
        <w:spacing w:after="0"/>
        <w:rPr>
          <w:rFonts w:ascii="Arial" w:hAnsi="Arial" w:cs="Arial"/>
          <w:sz w:val="24"/>
          <w:szCs w:val="24"/>
        </w:rPr>
      </w:pPr>
    </w:p>
    <w:p w14:paraId="6A5077F1"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2C163F5B" w14:textId="77777777" w:rsidR="000C209F" w:rsidRDefault="000C209F" w:rsidP="00FF32BE">
      <w:pPr>
        <w:spacing w:after="0"/>
        <w:rPr>
          <w:rFonts w:ascii="Arial" w:hAnsi="Arial" w:cs="Arial"/>
          <w:sz w:val="24"/>
          <w:szCs w:val="24"/>
        </w:rPr>
      </w:pPr>
    </w:p>
    <w:p w14:paraId="6C8941A0"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68A78079"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7CF88AC7"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6D8F0036" w14:textId="77777777" w:rsidTr="00360664">
        <w:trPr>
          <w:trHeight w:val="1997"/>
        </w:trPr>
        <w:tc>
          <w:tcPr>
            <w:tcW w:w="5418" w:type="dxa"/>
            <w:gridSpan w:val="2"/>
          </w:tcPr>
          <w:p w14:paraId="65F0F8E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688A1653" w14:textId="77777777" w:rsidR="000C209F" w:rsidRPr="00360664" w:rsidRDefault="000C209F" w:rsidP="00360664">
            <w:pPr>
              <w:spacing w:after="0" w:line="240" w:lineRule="auto"/>
              <w:ind w:right="-108"/>
              <w:rPr>
                <w:rFonts w:ascii="Arial" w:hAnsi="Arial" w:cs="Arial"/>
                <w:i/>
                <w:sz w:val="20"/>
                <w:szCs w:val="20"/>
              </w:rPr>
            </w:pPr>
          </w:p>
          <w:p w14:paraId="14876EE2" w14:textId="77777777" w:rsidR="000C209F" w:rsidRPr="00CA7E3E" w:rsidRDefault="00C1079D" w:rsidP="00CA7E3E">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338</w:t>
            </w:r>
            <w:r w:rsidR="000C209F" w:rsidRPr="00CA7E3E">
              <w:rPr>
                <w:rFonts w:ascii="Arial" w:hAnsi="Arial" w:cs="Arial"/>
                <w:b/>
                <w:sz w:val="24"/>
                <w:szCs w:val="24"/>
              </w:rPr>
              <w:t>)</w:t>
            </w:r>
          </w:p>
        </w:tc>
        <w:tc>
          <w:tcPr>
            <w:tcW w:w="5490" w:type="dxa"/>
            <w:gridSpan w:val="2"/>
          </w:tcPr>
          <w:p w14:paraId="2AB589D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11754690" w14:textId="77777777" w:rsidR="000C209F" w:rsidRPr="00B20BB2" w:rsidRDefault="000C209F" w:rsidP="00360664">
            <w:pPr>
              <w:spacing w:after="0" w:line="240" w:lineRule="auto"/>
              <w:ind w:left="-108" w:right="-720"/>
              <w:rPr>
                <w:rFonts w:ascii="Arial" w:hAnsi="Arial" w:cs="Arial"/>
                <w:sz w:val="20"/>
                <w:szCs w:val="20"/>
              </w:rPr>
            </w:pPr>
            <w:r w:rsidRPr="00B20BB2">
              <w:rPr>
                <w:rFonts w:ascii="Arial" w:hAnsi="Arial" w:cs="Arial"/>
                <w:sz w:val="36"/>
                <w:szCs w:val="36"/>
              </w:rPr>
              <w:t xml:space="preserve"> </w:t>
            </w:r>
            <w:r w:rsidR="00B20BB2" w:rsidRPr="00B20BB2">
              <w:rPr>
                <w:rFonts w:ascii="Arial" w:hAnsi="Arial" w:cs="Arial"/>
                <w:sz w:val="36"/>
                <w:szCs w:val="36"/>
                <w:u w:val="single"/>
              </w:rPr>
              <w:t>_</w:t>
            </w:r>
            <w:r w:rsidRPr="00B20BB2">
              <w:rPr>
                <w:rFonts w:ascii="Arial" w:hAnsi="Arial" w:cs="Arial"/>
                <w:sz w:val="36"/>
                <w:szCs w:val="36"/>
              </w:rPr>
              <w:t xml:space="preserve"> </w:t>
            </w:r>
            <w:r w:rsidRPr="00B20BB2">
              <w:rPr>
                <w:rFonts w:ascii="Arial" w:hAnsi="Arial" w:cs="Arial"/>
                <w:sz w:val="20"/>
                <w:szCs w:val="20"/>
              </w:rPr>
              <w:t>Quarter 1 (January 1 – March 31</w:t>
            </w:r>
            <w:r w:rsidR="005C75FE" w:rsidRPr="00B20BB2">
              <w:rPr>
                <w:rFonts w:ascii="Arial" w:hAnsi="Arial" w:cs="Arial"/>
                <w:sz w:val="20"/>
                <w:szCs w:val="20"/>
              </w:rPr>
              <w:t xml:space="preserve">, </w:t>
            </w:r>
            <w:r w:rsidR="003E4DE4" w:rsidRPr="00B20BB2">
              <w:rPr>
                <w:rFonts w:ascii="Arial" w:hAnsi="Arial" w:cs="Arial"/>
                <w:sz w:val="20"/>
                <w:szCs w:val="20"/>
              </w:rPr>
              <w:t>201</w:t>
            </w:r>
            <w:r w:rsidR="00EF032E" w:rsidRPr="00B20BB2">
              <w:rPr>
                <w:rFonts w:ascii="Arial" w:hAnsi="Arial" w:cs="Arial"/>
                <w:sz w:val="20"/>
                <w:szCs w:val="20"/>
              </w:rPr>
              <w:t>9</w:t>
            </w:r>
            <w:r w:rsidRPr="00B20BB2">
              <w:rPr>
                <w:rFonts w:ascii="Arial" w:hAnsi="Arial" w:cs="Arial"/>
                <w:sz w:val="20"/>
                <w:szCs w:val="20"/>
              </w:rPr>
              <w:t>)</w:t>
            </w:r>
          </w:p>
          <w:p w14:paraId="5B20ACCC" w14:textId="77777777" w:rsidR="000C209F" w:rsidRPr="00B20BB2" w:rsidRDefault="000C209F" w:rsidP="00360664">
            <w:pPr>
              <w:spacing w:after="0" w:line="240" w:lineRule="auto"/>
              <w:ind w:left="-108" w:right="-108"/>
              <w:rPr>
                <w:rFonts w:ascii="Arial" w:hAnsi="Arial" w:cs="Arial"/>
                <w:b/>
                <w:sz w:val="20"/>
                <w:szCs w:val="20"/>
              </w:rPr>
            </w:pPr>
            <w:r w:rsidRPr="00320C3B">
              <w:rPr>
                <w:rFonts w:ascii="Arial" w:hAnsi="Arial" w:cs="Arial"/>
                <w:sz w:val="36"/>
                <w:szCs w:val="36"/>
              </w:rPr>
              <w:t xml:space="preserve"> </w:t>
            </w:r>
            <w:r w:rsidR="00B20BB2" w:rsidRPr="00B20BB2">
              <w:rPr>
                <w:rFonts w:ascii="Arial" w:hAnsi="Arial" w:cs="Arial"/>
                <w:b/>
                <w:sz w:val="36"/>
                <w:szCs w:val="36"/>
                <w:u w:val="single"/>
              </w:rPr>
              <w:t>x</w:t>
            </w:r>
            <w:r w:rsidR="00C47C4A" w:rsidRPr="00B20BB2">
              <w:rPr>
                <w:rFonts w:ascii="Arial" w:hAnsi="Arial" w:cs="Arial"/>
                <w:b/>
                <w:sz w:val="36"/>
                <w:szCs w:val="36"/>
              </w:rPr>
              <w:t xml:space="preserve"> </w:t>
            </w:r>
            <w:r w:rsidRPr="00B20BB2">
              <w:rPr>
                <w:rFonts w:ascii="Arial" w:hAnsi="Arial" w:cs="Arial"/>
                <w:b/>
                <w:sz w:val="20"/>
                <w:szCs w:val="20"/>
              </w:rPr>
              <w:t>Quarter 2 (April 1 – June 30</w:t>
            </w:r>
            <w:r w:rsidR="002C4321" w:rsidRPr="00B20BB2">
              <w:rPr>
                <w:rFonts w:ascii="Arial" w:hAnsi="Arial" w:cs="Arial"/>
                <w:b/>
                <w:sz w:val="20"/>
                <w:szCs w:val="20"/>
              </w:rPr>
              <w:t>, 201</w:t>
            </w:r>
            <w:r w:rsidR="00EF032E" w:rsidRPr="00B20BB2">
              <w:rPr>
                <w:rFonts w:ascii="Arial" w:hAnsi="Arial" w:cs="Arial"/>
                <w:b/>
                <w:sz w:val="20"/>
                <w:szCs w:val="20"/>
              </w:rPr>
              <w:t>9</w:t>
            </w:r>
            <w:r w:rsidRPr="00B20BB2">
              <w:rPr>
                <w:rFonts w:ascii="Arial" w:hAnsi="Arial" w:cs="Arial"/>
                <w:b/>
                <w:sz w:val="20"/>
                <w:szCs w:val="20"/>
              </w:rPr>
              <w:t>)</w:t>
            </w:r>
          </w:p>
          <w:p w14:paraId="0F91E794" w14:textId="77777777" w:rsidR="000C209F" w:rsidRPr="001E21D0" w:rsidRDefault="001E21D0" w:rsidP="00360664">
            <w:pPr>
              <w:spacing w:after="0" w:line="240" w:lineRule="auto"/>
              <w:ind w:right="-720"/>
              <w:rPr>
                <w:rFonts w:ascii="Arial" w:hAnsi="Arial" w:cs="Arial"/>
                <w:sz w:val="20"/>
                <w:szCs w:val="20"/>
              </w:rPr>
            </w:pPr>
            <w:r w:rsidRPr="001E21D0">
              <w:rPr>
                <w:rFonts w:ascii="Arial" w:hAnsi="Arial" w:cs="Arial"/>
                <w:sz w:val="36"/>
                <w:szCs w:val="36"/>
                <w:u w:val="single"/>
              </w:rPr>
              <w:t>_</w:t>
            </w:r>
            <w:r w:rsidR="001D763A" w:rsidRPr="001E21D0">
              <w:rPr>
                <w:rFonts w:ascii="Arial" w:hAnsi="Arial" w:cs="Arial"/>
                <w:sz w:val="36"/>
                <w:szCs w:val="36"/>
              </w:rPr>
              <w:t xml:space="preserve"> </w:t>
            </w:r>
            <w:r w:rsidR="000C209F" w:rsidRPr="001E21D0">
              <w:rPr>
                <w:rFonts w:ascii="Arial" w:hAnsi="Arial" w:cs="Arial"/>
                <w:sz w:val="20"/>
                <w:szCs w:val="20"/>
              </w:rPr>
              <w:t>Quarter 3 (July 1 – September 30</w:t>
            </w:r>
            <w:r w:rsidR="002C4321" w:rsidRPr="001E21D0">
              <w:rPr>
                <w:rFonts w:ascii="Arial" w:hAnsi="Arial" w:cs="Arial"/>
                <w:sz w:val="20"/>
                <w:szCs w:val="20"/>
              </w:rPr>
              <w:t>, 20</w:t>
            </w:r>
            <w:r w:rsidR="00EF032E">
              <w:rPr>
                <w:rFonts w:ascii="Arial" w:hAnsi="Arial" w:cs="Arial"/>
                <w:sz w:val="20"/>
                <w:szCs w:val="20"/>
              </w:rPr>
              <w:t>19</w:t>
            </w:r>
            <w:r w:rsidR="000C209F" w:rsidRPr="001E21D0">
              <w:rPr>
                <w:rFonts w:ascii="Arial" w:hAnsi="Arial" w:cs="Arial"/>
                <w:sz w:val="20"/>
                <w:szCs w:val="20"/>
              </w:rPr>
              <w:t>)</w:t>
            </w:r>
          </w:p>
          <w:p w14:paraId="6B6DC798" w14:textId="77777777" w:rsidR="000C209F" w:rsidRPr="00EF032E" w:rsidRDefault="00EF032E" w:rsidP="00EF032E">
            <w:pPr>
              <w:spacing w:after="0" w:line="240" w:lineRule="auto"/>
              <w:ind w:right="-720"/>
              <w:rPr>
                <w:rFonts w:ascii="Arial" w:hAnsi="Arial" w:cs="Arial"/>
                <w:sz w:val="20"/>
                <w:szCs w:val="20"/>
              </w:rPr>
            </w:pPr>
            <w:r w:rsidRPr="001E21D0">
              <w:rPr>
                <w:rFonts w:ascii="Arial" w:hAnsi="Arial" w:cs="Arial"/>
                <w:sz w:val="36"/>
                <w:szCs w:val="36"/>
                <w:u w:val="single"/>
              </w:rPr>
              <w:t>_</w:t>
            </w:r>
            <w:r w:rsidR="00532264" w:rsidRPr="00EF032E">
              <w:rPr>
                <w:rFonts w:ascii="Arial" w:hAnsi="Arial" w:cs="Arial"/>
                <w:sz w:val="36"/>
                <w:szCs w:val="36"/>
              </w:rPr>
              <w:t xml:space="preserve"> </w:t>
            </w:r>
            <w:r w:rsidR="000C209F" w:rsidRPr="00EF032E">
              <w:rPr>
                <w:rFonts w:ascii="Arial" w:hAnsi="Arial" w:cs="Arial"/>
                <w:sz w:val="20"/>
                <w:szCs w:val="20"/>
              </w:rPr>
              <w:t xml:space="preserve">Quarter </w:t>
            </w:r>
            <w:r w:rsidR="005C75FE" w:rsidRPr="00EF032E">
              <w:rPr>
                <w:rFonts w:ascii="Arial" w:hAnsi="Arial" w:cs="Arial"/>
                <w:sz w:val="20"/>
                <w:szCs w:val="20"/>
              </w:rPr>
              <w:t>4 (October 1 – December 31</w:t>
            </w:r>
            <w:r w:rsidR="002C4321" w:rsidRPr="00EF032E">
              <w:rPr>
                <w:rFonts w:ascii="Arial" w:hAnsi="Arial" w:cs="Arial"/>
                <w:sz w:val="20"/>
                <w:szCs w:val="20"/>
              </w:rPr>
              <w:t>, 201</w:t>
            </w:r>
            <w:r w:rsidRPr="00EF032E">
              <w:rPr>
                <w:rFonts w:ascii="Arial" w:hAnsi="Arial" w:cs="Arial"/>
                <w:sz w:val="20"/>
                <w:szCs w:val="20"/>
              </w:rPr>
              <w:t>9</w:t>
            </w:r>
            <w:r w:rsidR="000C209F" w:rsidRPr="00EF032E">
              <w:rPr>
                <w:rFonts w:ascii="Arial" w:hAnsi="Arial" w:cs="Arial"/>
                <w:sz w:val="20"/>
                <w:szCs w:val="20"/>
              </w:rPr>
              <w:t>)</w:t>
            </w:r>
          </w:p>
        </w:tc>
      </w:tr>
      <w:tr w:rsidR="000C209F" w:rsidRPr="00360664" w14:paraId="69A5C818" w14:textId="77777777" w:rsidTr="00360664">
        <w:tc>
          <w:tcPr>
            <w:tcW w:w="10908" w:type="dxa"/>
            <w:gridSpan w:val="4"/>
          </w:tcPr>
          <w:p w14:paraId="22080A5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29813C51" w14:textId="77777777" w:rsidR="000C209F" w:rsidRPr="00541ECB" w:rsidRDefault="00C1079D" w:rsidP="00360664">
            <w:pPr>
              <w:spacing w:after="0" w:line="240" w:lineRule="auto"/>
              <w:ind w:right="-108"/>
              <w:rPr>
                <w:rFonts w:ascii="Arial" w:hAnsi="Arial" w:cs="Arial"/>
                <w:sz w:val="24"/>
                <w:szCs w:val="24"/>
              </w:rPr>
            </w:pPr>
            <w:r w:rsidRPr="00541ECB">
              <w:rPr>
                <w:rFonts w:ascii="Arial" w:hAnsi="Arial" w:cs="Arial"/>
                <w:sz w:val="24"/>
                <w:szCs w:val="24"/>
              </w:rPr>
              <w:t xml:space="preserve">Simplified </w:t>
            </w:r>
            <w:r w:rsidR="00CA7E3E" w:rsidRPr="00753B95">
              <w:rPr>
                <w:rFonts w:ascii="Arial" w:hAnsi="Arial" w:cs="Arial"/>
                <w:sz w:val="24"/>
                <w:szCs w:val="24"/>
                <w:u w:val="single"/>
              </w:rPr>
              <w:t>C</w:t>
            </w:r>
            <w:r w:rsidRPr="00753B95">
              <w:rPr>
                <w:rFonts w:ascii="Arial" w:hAnsi="Arial" w:cs="Arial"/>
                <w:sz w:val="24"/>
                <w:szCs w:val="24"/>
                <w:u w:val="single"/>
              </w:rPr>
              <w:t>PT</w:t>
            </w:r>
            <w:r w:rsidRPr="00541ECB">
              <w:rPr>
                <w:rFonts w:ascii="Arial" w:hAnsi="Arial" w:cs="Arial"/>
                <w:sz w:val="24"/>
                <w:szCs w:val="24"/>
              </w:rPr>
              <w:t xml:space="preserve"> Performance-Based Assessment of Liquefaction and Effects</w:t>
            </w:r>
          </w:p>
          <w:p w14:paraId="5DF3B64E"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279C9557" w14:textId="77777777" w:rsidTr="00360664">
        <w:tc>
          <w:tcPr>
            <w:tcW w:w="4158" w:type="dxa"/>
          </w:tcPr>
          <w:p w14:paraId="17FA20E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71CE06A0"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07E122D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630319C7"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0900C88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7E1A9A37"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5D9B3DBE"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3BCF1592" w14:textId="77777777" w:rsidTr="00360664">
        <w:tc>
          <w:tcPr>
            <w:tcW w:w="4158" w:type="dxa"/>
          </w:tcPr>
          <w:p w14:paraId="3D19F2F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278B9938"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42074</w:t>
            </w:r>
            <w:r w:rsidR="000C209F" w:rsidRPr="00360664">
              <w:rPr>
                <w:rFonts w:ascii="Arial" w:hAnsi="Arial" w:cs="Arial"/>
                <w:sz w:val="20"/>
                <w:szCs w:val="20"/>
              </w:rPr>
              <w:t xml:space="preserve">, ePM PIN </w:t>
            </w:r>
            <w:r w:rsidR="00067968" w:rsidRPr="00067968">
              <w:rPr>
                <w:rFonts w:ascii="Arial" w:hAnsi="Arial" w:cs="Arial"/>
                <w:sz w:val="20"/>
                <w:szCs w:val="20"/>
              </w:rPr>
              <w:t>14239</w:t>
            </w:r>
          </w:p>
          <w:p w14:paraId="3181D3DC" w14:textId="77777777" w:rsidR="000C209F" w:rsidRPr="00360664" w:rsidRDefault="000C209F" w:rsidP="00067968">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067968">
              <w:rPr>
                <w:rFonts w:ascii="Arial" w:hAnsi="Arial" w:cs="Arial"/>
                <w:sz w:val="20"/>
                <w:szCs w:val="20"/>
              </w:rPr>
              <w:t>5</w:t>
            </w:r>
            <w:r w:rsidRPr="00360664">
              <w:rPr>
                <w:rFonts w:ascii="Arial" w:hAnsi="Arial" w:cs="Arial"/>
                <w:sz w:val="20"/>
                <w:szCs w:val="20"/>
              </w:rPr>
              <w:t>.</w:t>
            </w:r>
            <w:r w:rsidR="00814F16">
              <w:rPr>
                <w:rFonts w:ascii="Arial" w:hAnsi="Arial" w:cs="Arial"/>
                <w:sz w:val="20"/>
                <w:szCs w:val="20"/>
              </w:rPr>
              <w:t>40</w:t>
            </w:r>
            <w:r w:rsidR="00067968">
              <w:rPr>
                <w:rFonts w:ascii="Arial" w:hAnsi="Arial" w:cs="Arial"/>
                <w:sz w:val="20"/>
                <w:szCs w:val="20"/>
              </w:rPr>
              <w:t>2</w:t>
            </w:r>
          </w:p>
        </w:tc>
        <w:tc>
          <w:tcPr>
            <w:tcW w:w="3330" w:type="dxa"/>
            <w:gridSpan w:val="2"/>
          </w:tcPr>
          <w:p w14:paraId="5CA9629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6937C8CA"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A1292D" w:rsidRPr="004F173B">
              <w:rPr>
                <w:rFonts w:ascii="Arial" w:hAnsi="Arial" w:cs="Arial"/>
                <w:sz w:val="20"/>
                <w:szCs w:val="20"/>
              </w:rPr>
              <w:t>169826</w:t>
            </w:r>
          </w:p>
          <w:p w14:paraId="1C1EE558"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6851336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0E2D55AD"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May 17, 2016</w:t>
            </w:r>
          </w:p>
          <w:p w14:paraId="7C3C993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4FD9CD95" w14:textId="77777777" w:rsidTr="00360664">
        <w:tc>
          <w:tcPr>
            <w:tcW w:w="4158" w:type="dxa"/>
          </w:tcPr>
          <w:p w14:paraId="127B513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FE86AC7" w14:textId="77777777" w:rsidR="000C209F" w:rsidRPr="00360664" w:rsidRDefault="00A1292D" w:rsidP="00360664">
            <w:pPr>
              <w:spacing w:after="0" w:line="240" w:lineRule="auto"/>
              <w:ind w:right="-108"/>
              <w:rPr>
                <w:rFonts w:ascii="Arial" w:hAnsi="Arial" w:cs="Arial"/>
                <w:sz w:val="20"/>
                <w:szCs w:val="20"/>
              </w:rPr>
            </w:pPr>
            <w:r w:rsidRPr="004F173B">
              <w:rPr>
                <w:rFonts w:ascii="Arial" w:hAnsi="Arial" w:cs="Arial"/>
                <w:sz w:val="20"/>
                <w:szCs w:val="20"/>
              </w:rPr>
              <w:t>November 30, 2018</w:t>
            </w:r>
          </w:p>
        </w:tc>
        <w:tc>
          <w:tcPr>
            <w:tcW w:w="3330" w:type="dxa"/>
            <w:gridSpan w:val="2"/>
          </w:tcPr>
          <w:p w14:paraId="3255111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047C5235" w14:textId="77777777"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6554D">
              <w:rPr>
                <w:rFonts w:ascii="Arial" w:hAnsi="Arial" w:cs="Arial"/>
                <w:sz w:val="20"/>
                <w:szCs w:val="20"/>
              </w:rPr>
              <w:t>December</w:t>
            </w:r>
            <w:r w:rsidR="0008637E">
              <w:rPr>
                <w:rFonts w:ascii="Arial" w:hAnsi="Arial" w:cs="Arial"/>
                <w:sz w:val="20"/>
                <w:szCs w:val="20"/>
              </w:rPr>
              <w:t xml:space="preserve"> 31, 2019</w:t>
            </w:r>
          </w:p>
          <w:p w14:paraId="306A61FE"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C3E239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76E83B48" w14:textId="77777777" w:rsidR="000C209F" w:rsidRPr="004F173B"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A6554D">
              <w:rPr>
                <w:rFonts w:ascii="Arial" w:hAnsi="Arial" w:cs="Arial"/>
                <w:sz w:val="20"/>
                <w:szCs w:val="20"/>
              </w:rPr>
              <w:t>2</w:t>
            </w:r>
          </w:p>
          <w:p w14:paraId="46373ADB" w14:textId="77777777" w:rsidR="000C209F" w:rsidRPr="00360664" w:rsidRDefault="000C209F" w:rsidP="00360664">
            <w:pPr>
              <w:spacing w:after="0" w:line="240" w:lineRule="auto"/>
              <w:ind w:left="-108" w:right="-720"/>
              <w:rPr>
                <w:rFonts w:ascii="Arial" w:hAnsi="Arial" w:cs="Arial"/>
                <w:b/>
                <w:sz w:val="20"/>
                <w:szCs w:val="20"/>
              </w:rPr>
            </w:pPr>
          </w:p>
        </w:tc>
      </w:tr>
    </w:tbl>
    <w:p w14:paraId="71B0A7CA" w14:textId="77777777" w:rsidR="000C209F" w:rsidRPr="00B66A21" w:rsidRDefault="000C209F" w:rsidP="00551D8A">
      <w:pPr>
        <w:spacing w:after="0"/>
        <w:ind w:left="-720" w:right="-720"/>
        <w:rPr>
          <w:rFonts w:ascii="Arial" w:hAnsi="Arial" w:cs="Arial"/>
          <w:sz w:val="20"/>
          <w:szCs w:val="20"/>
        </w:rPr>
      </w:pPr>
    </w:p>
    <w:p w14:paraId="2121E858"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CDB4A77" w14:textId="77777777" w:rsidR="000C209F" w:rsidRPr="00B66A21" w:rsidRDefault="000C209F" w:rsidP="00551D8A">
      <w:pPr>
        <w:spacing w:after="0"/>
        <w:ind w:left="-720" w:right="-720"/>
        <w:rPr>
          <w:rFonts w:ascii="Arial" w:hAnsi="Arial" w:cs="Arial"/>
          <w:sz w:val="20"/>
          <w:szCs w:val="20"/>
        </w:rPr>
      </w:pPr>
    </w:p>
    <w:p w14:paraId="73C4908B"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C95456">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C95456"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14:paraId="56EA121D" w14:textId="77777777" w:rsidR="000C209F" w:rsidRPr="00B66A21" w:rsidRDefault="000C209F" w:rsidP="00551D8A">
      <w:pPr>
        <w:spacing w:after="0"/>
        <w:ind w:left="-720" w:right="-720"/>
        <w:rPr>
          <w:rFonts w:ascii="Arial" w:hAnsi="Arial" w:cs="Arial"/>
          <w:sz w:val="20"/>
          <w:szCs w:val="20"/>
        </w:rPr>
      </w:pPr>
    </w:p>
    <w:p w14:paraId="6CC5D8D8"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1CAC34A0" w14:textId="77777777" w:rsidTr="00360664">
        <w:tc>
          <w:tcPr>
            <w:tcW w:w="4158" w:type="dxa"/>
            <w:shd w:val="pct15" w:color="auto" w:fill="auto"/>
          </w:tcPr>
          <w:p w14:paraId="7D1CCF66"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554D82DA"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19A1B658"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6BDD1CF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572F1C6F" w14:textId="77777777" w:rsidTr="00360664">
        <w:tc>
          <w:tcPr>
            <w:tcW w:w="4158" w:type="dxa"/>
            <w:vAlign w:val="center"/>
          </w:tcPr>
          <w:p w14:paraId="156BA755" w14:textId="77777777" w:rsidR="00845B74" w:rsidRDefault="00475B6A" w:rsidP="00BE2ADA">
            <w:pPr>
              <w:spacing w:after="0" w:line="240" w:lineRule="auto"/>
              <w:ind w:right="-108"/>
              <w:jc w:val="center"/>
              <w:rPr>
                <w:rFonts w:ascii="Arial" w:hAnsi="Arial" w:cs="Arial"/>
                <w:sz w:val="20"/>
                <w:szCs w:val="20"/>
              </w:rPr>
            </w:pPr>
            <w:r>
              <w:rPr>
                <w:rFonts w:ascii="Arial" w:hAnsi="Arial" w:cs="Arial"/>
                <w:sz w:val="20"/>
                <w:szCs w:val="20"/>
              </w:rPr>
              <w:t>$</w:t>
            </w:r>
            <w:r w:rsidR="00725BFD">
              <w:rPr>
                <w:rFonts w:ascii="Arial" w:hAnsi="Arial" w:cs="Arial"/>
                <w:sz w:val="20"/>
                <w:szCs w:val="20"/>
              </w:rPr>
              <w:t>142</w:t>
            </w:r>
            <w:r>
              <w:rPr>
                <w:rFonts w:ascii="Arial" w:hAnsi="Arial" w:cs="Arial"/>
                <w:sz w:val="20"/>
                <w:szCs w:val="20"/>
              </w:rPr>
              <w:t>,000</w:t>
            </w:r>
            <w:r w:rsidR="004B003D">
              <w:rPr>
                <w:rFonts w:ascii="Arial" w:hAnsi="Arial" w:cs="Arial"/>
                <w:sz w:val="20"/>
                <w:szCs w:val="20"/>
              </w:rPr>
              <w:t>.00</w:t>
            </w:r>
            <w:r w:rsidR="00934F8D">
              <w:rPr>
                <w:rFonts w:ascii="Arial" w:hAnsi="Arial" w:cs="Arial"/>
                <w:sz w:val="20"/>
                <w:szCs w:val="20"/>
              </w:rPr>
              <w:t xml:space="preserve"> (current contract)</w:t>
            </w:r>
          </w:p>
          <w:p w14:paraId="5DFF2D1C" w14:textId="77777777" w:rsidR="00934F8D" w:rsidRPr="00360664" w:rsidRDefault="00934F8D" w:rsidP="00384F02">
            <w:pPr>
              <w:spacing w:after="0" w:line="240" w:lineRule="auto"/>
              <w:ind w:right="-108"/>
              <w:jc w:val="center"/>
              <w:rPr>
                <w:rFonts w:ascii="Arial" w:hAnsi="Arial" w:cs="Arial"/>
                <w:sz w:val="20"/>
                <w:szCs w:val="20"/>
              </w:rPr>
            </w:pPr>
            <w:r>
              <w:rPr>
                <w:rFonts w:ascii="Arial" w:hAnsi="Arial" w:cs="Arial"/>
                <w:sz w:val="20"/>
                <w:szCs w:val="20"/>
              </w:rPr>
              <w:t>$1</w:t>
            </w:r>
            <w:r w:rsidR="00384F02">
              <w:rPr>
                <w:rFonts w:ascii="Arial" w:hAnsi="Arial" w:cs="Arial"/>
                <w:sz w:val="20"/>
                <w:szCs w:val="20"/>
              </w:rPr>
              <w:t>42</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14:paraId="21728515" w14:textId="77777777" w:rsidR="000C209F" w:rsidRPr="00360664" w:rsidRDefault="006F1879" w:rsidP="00B81EEA">
            <w:pPr>
              <w:spacing w:after="0" w:line="240" w:lineRule="auto"/>
              <w:ind w:left="-108" w:right="-108"/>
              <w:jc w:val="center"/>
              <w:rPr>
                <w:rFonts w:ascii="Arial" w:hAnsi="Arial" w:cs="Arial"/>
                <w:sz w:val="20"/>
                <w:szCs w:val="20"/>
              </w:rPr>
            </w:pPr>
            <w:r>
              <w:rPr>
                <w:rFonts w:ascii="Arial" w:hAnsi="Arial" w:cs="Arial"/>
                <w:sz w:val="20"/>
                <w:szCs w:val="20"/>
              </w:rPr>
              <w:t>$</w:t>
            </w:r>
            <w:r w:rsidR="00B81EEA">
              <w:rPr>
                <w:rFonts w:ascii="Arial" w:hAnsi="Arial" w:cs="Arial"/>
                <w:sz w:val="20"/>
                <w:szCs w:val="20"/>
              </w:rPr>
              <w:t>9</w:t>
            </w:r>
            <w:r w:rsidR="00234D0B">
              <w:rPr>
                <w:rFonts w:ascii="Arial" w:hAnsi="Arial" w:cs="Arial"/>
                <w:sz w:val="20"/>
                <w:szCs w:val="20"/>
              </w:rPr>
              <w:t>4</w:t>
            </w:r>
            <w:r w:rsidR="001D1DB8">
              <w:rPr>
                <w:rFonts w:ascii="Arial" w:hAnsi="Arial" w:cs="Arial"/>
                <w:sz w:val="20"/>
                <w:szCs w:val="20"/>
              </w:rPr>
              <w:t>,</w:t>
            </w:r>
            <w:r w:rsidR="00234D0B">
              <w:rPr>
                <w:rFonts w:ascii="Arial" w:hAnsi="Arial" w:cs="Arial"/>
                <w:sz w:val="20"/>
                <w:szCs w:val="20"/>
              </w:rPr>
              <w:t>25</w:t>
            </w:r>
            <w:r w:rsidR="001D1DB8">
              <w:rPr>
                <w:rFonts w:ascii="Arial" w:hAnsi="Arial" w:cs="Arial"/>
                <w:sz w:val="20"/>
                <w:szCs w:val="20"/>
              </w:rPr>
              <w:t>0</w:t>
            </w:r>
            <w:r w:rsidR="007F005D">
              <w:rPr>
                <w:rFonts w:ascii="Arial" w:hAnsi="Arial" w:cs="Arial"/>
                <w:sz w:val="20"/>
                <w:szCs w:val="20"/>
              </w:rPr>
              <w:t>.00</w:t>
            </w:r>
          </w:p>
        </w:tc>
        <w:tc>
          <w:tcPr>
            <w:tcW w:w="3420" w:type="dxa"/>
            <w:vAlign w:val="center"/>
          </w:tcPr>
          <w:p w14:paraId="41683E69" w14:textId="77777777" w:rsidR="000C209F" w:rsidRPr="00215F63" w:rsidRDefault="006943E3" w:rsidP="00B81EEA">
            <w:pPr>
              <w:spacing w:after="0" w:line="240" w:lineRule="auto"/>
              <w:ind w:left="-108" w:right="-108"/>
              <w:jc w:val="center"/>
              <w:rPr>
                <w:rFonts w:ascii="Arial" w:hAnsi="Arial" w:cs="Arial"/>
                <w:sz w:val="20"/>
                <w:szCs w:val="20"/>
                <w:highlight w:val="yellow"/>
              </w:rPr>
            </w:pPr>
            <w:r>
              <w:rPr>
                <w:rFonts w:ascii="Arial" w:hAnsi="Arial" w:cs="Arial"/>
                <w:sz w:val="20"/>
                <w:szCs w:val="20"/>
              </w:rPr>
              <w:t>70</w:t>
            </w:r>
            <w:r w:rsidR="00845B74" w:rsidRPr="00A46661">
              <w:rPr>
                <w:rFonts w:ascii="Arial" w:hAnsi="Arial" w:cs="Arial"/>
                <w:sz w:val="20"/>
                <w:szCs w:val="20"/>
              </w:rPr>
              <w:t>%</w:t>
            </w:r>
          </w:p>
        </w:tc>
      </w:tr>
    </w:tbl>
    <w:p w14:paraId="4562A371" w14:textId="77777777" w:rsidR="000C209F" w:rsidRDefault="000C209F" w:rsidP="00551D8A">
      <w:pPr>
        <w:spacing w:after="0"/>
        <w:ind w:left="-720" w:right="-720"/>
        <w:rPr>
          <w:rFonts w:ascii="Arial" w:hAnsi="Arial" w:cs="Arial"/>
          <w:sz w:val="20"/>
          <w:szCs w:val="20"/>
        </w:rPr>
      </w:pPr>
    </w:p>
    <w:p w14:paraId="74250D13"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6D83EF63" w14:textId="77777777" w:rsidTr="00360664">
        <w:tc>
          <w:tcPr>
            <w:tcW w:w="4158" w:type="dxa"/>
            <w:shd w:val="pct15" w:color="auto" w:fill="auto"/>
          </w:tcPr>
          <w:p w14:paraId="4C7388BD"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075197C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60393E7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0F1ED89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2D66EB0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60530F6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0AB045DC" w14:textId="77777777" w:rsidTr="00360664">
        <w:tc>
          <w:tcPr>
            <w:tcW w:w="4158" w:type="dxa"/>
          </w:tcPr>
          <w:p w14:paraId="79838F8A" w14:textId="77777777" w:rsidR="000C209F" w:rsidRPr="00360664" w:rsidRDefault="006943E3"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14:paraId="47269499" w14:textId="77777777" w:rsidR="000C209F" w:rsidRPr="00360664" w:rsidRDefault="006F1879" w:rsidP="006943E3">
            <w:pPr>
              <w:spacing w:after="0" w:line="240" w:lineRule="auto"/>
              <w:ind w:right="-108"/>
              <w:jc w:val="center"/>
              <w:rPr>
                <w:rFonts w:ascii="Arial" w:hAnsi="Arial" w:cs="Arial"/>
                <w:sz w:val="20"/>
                <w:szCs w:val="20"/>
              </w:rPr>
            </w:pPr>
            <w:r>
              <w:rPr>
                <w:rFonts w:ascii="Arial" w:hAnsi="Arial" w:cs="Arial"/>
                <w:sz w:val="20"/>
                <w:szCs w:val="20"/>
              </w:rPr>
              <w:t>$</w:t>
            </w:r>
            <w:r w:rsidR="006943E3">
              <w:rPr>
                <w:rFonts w:ascii="Arial" w:hAnsi="Arial" w:cs="Arial"/>
                <w:sz w:val="20"/>
                <w:szCs w:val="20"/>
              </w:rPr>
              <w:t>0</w:t>
            </w:r>
            <w:r w:rsidR="00B81EEA">
              <w:rPr>
                <w:rFonts w:ascii="Arial" w:hAnsi="Arial" w:cs="Arial"/>
                <w:sz w:val="20"/>
                <w:szCs w:val="20"/>
              </w:rPr>
              <w:t>.00</w:t>
            </w:r>
          </w:p>
        </w:tc>
        <w:tc>
          <w:tcPr>
            <w:tcW w:w="3420" w:type="dxa"/>
          </w:tcPr>
          <w:p w14:paraId="2E1F87FA" w14:textId="77777777" w:rsidR="000C209F" w:rsidRPr="00360664" w:rsidRDefault="00B81EEA" w:rsidP="00971F94">
            <w:pPr>
              <w:spacing w:after="0" w:line="240" w:lineRule="auto"/>
              <w:ind w:left="-108" w:right="-108"/>
              <w:jc w:val="center"/>
              <w:rPr>
                <w:rFonts w:ascii="Arial" w:hAnsi="Arial" w:cs="Arial"/>
                <w:sz w:val="20"/>
                <w:szCs w:val="20"/>
              </w:rPr>
            </w:pPr>
            <w:r>
              <w:rPr>
                <w:rFonts w:ascii="Arial" w:hAnsi="Arial" w:cs="Arial"/>
                <w:sz w:val="20"/>
                <w:szCs w:val="20"/>
              </w:rPr>
              <w:t>8</w:t>
            </w:r>
            <w:r w:rsidR="00971F94">
              <w:rPr>
                <w:rFonts w:ascii="Arial" w:hAnsi="Arial" w:cs="Arial"/>
                <w:sz w:val="20"/>
                <w:szCs w:val="20"/>
              </w:rPr>
              <w:t>6</w:t>
            </w:r>
            <w:r w:rsidR="00272964">
              <w:rPr>
                <w:rFonts w:ascii="Arial" w:hAnsi="Arial" w:cs="Arial"/>
                <w:sz w:val="20"/>
                <w:szCs w:val="20"/>
              </w:rPr>
              <w:t>%</w:t>
            </w:r>
          </w:p>
        </w:tc>
      </w:tr>
    </w:tbl>
    <w:p w14:paraId="2774B9B4" w14:textId="77777777" w:rsidR="000C209F" w:rsidRDefault="000C209F" w:rsidP="00551D8A">
      <w:pPr>
        <w:spacing w:after="0"/>
        <w:ind w:left="-720" w:right="-720"/>
        <w:rPr>
          <w:rFonts w:ascii="Arial" w:hAnsi="Arial" w:cs="Arial"/>
          <w:sz w:val="20"/>
          <w:szCs w:val="20"/>
        </w:rPr>
      </w:pPr>
    </w:p>
    <w:p w14:paraId="4404EB62"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179B1E2" w14:textId="77777777" w:rsidTr="00360664">
        <w:tc>
          <w:tcPr>
            <w:tcW w:w="10908" w:type="dxa"/>
          </w:tcPr>
          <w:p w14:paraId="0BC6E2E6" w14:textId="77777777" w:rsidR="000C209F" w:rsidRPr="00360664" w:rsidRDefault="000C209F" w:rsidP="00360664">
            <w:pPr>
              <w:spacing w:after="0" w:line="240" w:lineRule="auto"/>
              <w:rPr>
                <w:rFonts w:ascii="Arial" w:hAnsi="Arial" w:cs="Arial"/>
                <w:b/>
                <w:sz w:val="20"/>
                <w:szCs w:val="20"/>
              </w:rPr>
            </w:pPr>
          </w:p>
          <w:p w14:paraId="67FB524A"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2F90DEB0" w14:textId="77777777" w:rsidR="000C209F" w:rsidRPr="00360664" w:rsidRDefault="000C209F" w:rsidP="00360664">
            <w:pPr>
              <w:spacing w:after="0" w:line="240" w:lineRule="auto"/>
              <w:rPr>
                <w:rFonts w:ascii="Arial" w:hAnsi="Arial" w:cs="Arial"/>
                <w:sz w:val="20"/>
                <w:szCs w:val="20"/>
              </w:rPr>
            </w:pPr>
          </w:p>
          <w:p w14:paraId="63BBDECD" w14:textId="77777777" w:rsidR="008E57BB" w:rsidRDefault="00CF0586" w:rsidP="008E57BB">
            <w:pPr>
              <w:spacing w:after="0" w:line="240" w:lineRule="auto"/>
              <w:rPr>
                <w:rFonts w:ascii="Arial" w:hAnsi="Arial" w:cs="Arial"/>
                <w:sz w:val="20"/>
                <w:szCs w:val="20"/>
              </w:rPr>
            </w:pPr>
            <w:r w:rsidRPr="00CF0586">
              <w:rPr>
                <w:rFonts w:ascii="Arial" w:hAnsi="Arial" w:cs="Arial"/>
                <w:sz w:val="20"/>
                <w:szCs w:val="20"/>
              </w:rPr>
              <w:t>Conventional “pseudo-probabilistic” procedures to evaluate liquefaction triggering and its effects have been shown through recent research to produce estimates of liquefaction factor of safety at inconsistent and often unacceptable levels of risk. These errors are introduced through the incorrect assumption that using probabilistic ground motions in a deterministic liquefaction analysis will yield a probabilistic estimate of liquefaction factor of safety. The inconsistent consideration of liquefaction risk could contribute to undesirable performance or even collapse of various important structures such as bridges or retaining walls in the event of an earthquake. Conversely, the inconsistent consideration of liquefaction risk could also potentially contribute to the unnecessary and expensive over-design of liquefaction mitigation alternatives. Utilization of a fully-probabilistic or performance-based liquefaction triggering procedure, which considers both uncertainty in the seismic loading and the liquefaction triggering relationship, could effectively solve these problems. Furthermore, probabilistic evaluation of liquefaction triggering could potentially be taken into account when considering liquefaction effects such as lateral spreading or free-field liquefaction settlements. However, current performance-based liquefaction procedures (e.g. Kramer &amp; Mayfield 2007) are quite complex and beyond the level of practical application for most practicing engineers. Additionally, available performance-based methods generally focus on using the standard penetration test (SPT). Increasingly, the cone penetration test (CPT) is becoming a preferred instrument for performing in-situ assessment of liquefaction hazard. Development of code-compatible simplified approximations of performance-based analysis methods for the CPT to assess liquefaction triggering and its effects could be a viable solution to overcome these challenges.</w:t>
            </w:r>
          </w:p>
          <w:p w14:paraId="395F48A6" w14:textId="77777777" w:rsidR="008E57BB" w:rsidRDefault="008E57BB" w:rsidP="00C26502">
            <w:pPr>
              <w:spacing w:after="0" w:line="240" w:lineRule="auto"/>
              <w:rPr>
                <w:rFonts w:ascii="Arial" w:hAnsi="Arial" w:cs="Arial"/>
                <w:sz w:val="20"/>
                <w:szCs w:val="20"/>
              </w:rPr>
            </w:pPr>
          </w:p>
          <w:p w14:paraId="1772CA8B" w14:textId="77777777"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14:paraId="29D0FFDA" w14:textId="77777777" w:rsidR="00814F16" w:rsidRPr="004F173B" w:rsidRDefault="00814F16" w:rsidP="00814F16">
            <w:pPr>
              <w:spacing w:after="0" w:line="240" w:lineRule="auto"/>
              <w:rPr>
                <w:rFonts w:ascii="Arial" w:hAnsi="Arial" w:cs="Arial"/>
                <w:sz w:val="20"/>
                <w:szCs w:val="20"/>
              </w:rPr>
            </w:pPr>
          </w:p>
          <w:p w14:paraId="51F4215D" w14:textId="77777777"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1. Develop performance-based procedures for the CPT modeled after recent performance-based</w:t>
            </w:r>
            <w:r w:rsidR="00BF71B4">
              <w:rPr>
                <w:rFonts w:ascii="Arial" w:hAnsi="Arial" w:cs="Arial"/>
                <w:sz w:val="20"/>
                <w:szCs w:val="20"/>
              </w:rPr>
              <w:t xml:space="preserve"> </w:t>
            </w:r>
            <w:r w:rsidRPr="004F173B">
              <w:rPr>
                <w:rFonts w:ascii="Arial" w:hAnsi="Arial" w:cs="Arial"/>
                <w:sz w:val="20"/>
                <w:szCs w:val="20"/>
              </w:rPr>
              <w:t>procedures for the SPT to compute the hazard from liquefaction triggering, lateral spread</w:t>
            </w:r>
            <w:r w:rsidR="00BF71B4">
              <w:rPr>
                <w:rFonts w:ascii="Arial" w:hAnsi="Arial" w:cs="Arial"/>
                <w:sz w:val="20"/>
                <w:szCs w:val="20"/>
              </w:rPr>
              <w:t xml:space="preserve"> </w:t>
            </w:r>
            <w:r w:rsidRPr="004F173B">
              <w:rPr>
                <w:rFonts w:ascii="Arial" w:hAnsi="Arial" w:cs="Arial"/>
                <w:sz w:val="20"/>
                <w:szCs w:val="20"/>
              </w:rPr>
              <w:t>displacement, and post-liquefaction free-field settlement at select return periods (475, 1033, and</w:t>
            </w:r>
            <w:r w:rsidR="00BF71B4">
              <w:rPr>
                <w:rFonts w:ascii="Arial" w:hAnsi="Arial" w:cs="Arial"/>
                <w:sz w:val="20"/>
                <w:szCs w:val="20"/>
              </w:rPr>
              <w:t xml:space="preserve"> </w:t>
            </w:r>
            <w:r w:rsidRPr="004F173B">
              <w:rPr>
                <w:rFonts w:ascii="Arial" w:hAnsi="Arial" w:cs="Arial"/>
                <w:sz w:val="20"/>
                <w:szCs w:val="20"/>
              </w:rPr>
              <w:t>2475 years).</w:t>
            </w:r>
          </w:p>
          <w:p w14:paraId="1DB0DE74" w14:textId="77777777"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2. Develop simplified performance-based procedures for the CPT modeled after recent simplified</w:t>
            </w:r>
            <w:r w:rsidR="00BF71B4">
              <w:rPr>
                <w:rFonts w:ascii="Arial" w:hAnsi="Arial" w:cs="Arial"/>
                <w:sz w:val="20"/>
                <w:szCs w:val="20"/>
              </w:rPr>
              <w:t xml:space="preserve"> </w:t>
            </w:r>
            <w:r w:rsidRPr="004F173B">
              <w:rPr>
                <w:rFonts w:ascii="Arial" w:hAnsi="Arial" w:cs="Arial"/>
                <w:sz w:val="20"/>
                <w:szCs w:val="20"/>
              </w:rPr>
              <w:t>performance-based procedures for the SPT to closely approximate the performance-based</w:t>
            </w:r>
            <w:r w:rsidR="00BF71B4">
              <w:rPr>
                <w:rFonts w:ascii="Arial" w:hAnsi="Arial" w:cs="Arial"/>
                <w:sz w:val="20"/>
                <w:szCs w:val="20"/>
              </w:rPr>
              <w:t xml:space="preserve"> </w:t>
            </w:r>
            <w:r w:rsidRPr="004F173B">
              <w:rPr>
                <w:rFonts w:ascii="Arial" w:hAnsi="Arial" w:cs="Arial"/>
                <w:sz w:val="20"/>
                <w:szCs w:val="20"/>
              </w:rPr>
              <w:t>analysis results for liquefaction triggering, lateral spread displacement, and post-liquefaction</w:t>
            </w:r>
            <w:r w:rsidR="00BF71B4">
              <w:rPr>
                <w:rFonts w:ascii="Arial" w:hAnsi="Arial" w:cs="Arial"/>
                <w:sz w:val="20"/>
                <w:szCs w:val="20"/>
              </w:rPr>
              <w:t xml:space="preserve"> </w:t>
            </w:r>
            <w:r w:rsidRPr="004F173B">
              <w:rPr>
                <w:rFonts w:ascii="Arial" w:hAnsi="Arial" w:cs="Arial"/>
                <w:sz w:val="20"/>
                <w:szCs w:val="20"/>
              </w:rPr>
              <w:t>free-field settlement at select return periods (475, 1033, and 2475 years).</w:t>
            </w:r>
          </w:p>
          <w:p w14:paraId="2552D0AC" w14:textId="77777777" w:rsidR="00814F16" w:rsidRPr="004F173B" w:rsidRDefault="000F615B" w:rsidP="000F615B">
            <w:pPr>
              <w:spacing w:after="0" w:line="240" w:lineRule="auto"/>
              <w:rPr>
                <w:rFonts w:ascii="Arial" w:hAnsi="Arial" w:cs="Arial"/>
                <w:sz w:val="20"/>
                <w:szCs w:val="20"/>
              </w:rPr>
            </w:pPr>
            <w:r w:rsidRPr="004F173B">
              <w:rPr>
                <w:rFonts w:ascii="Arial" w:hAnsi="Arial" w:cs="Arial"/>
                <w:sz w:val="20"/>
                <w:szCs w:val="20"/>
              </w:rPr>
              <w:t>3. Develop liquefaction triggering, lateral spread displacement, and post-liquefaction reference</w:t>
            </w:r>
            <w:r w:rsidR="00BF71B4">
              <w:rPr>
                <w:rFonts w:ascii="Arial" w:hAnsi="Arial" w:cs="Arial"/>
                <w:sz w:val="20"/>
                <w:szCs w:val="20"/>
              </w:rPr>
              <w:t xml:space="preserve"> </w:t>
            </w:r>
            <w:r w:rsidRPr="004F173B">
              <w:rPr>
                <w:rFonts w:ascii="Arial" w:hAnsi="Arial" w:cs="Arial"/>
                <w:sz w:val="20"/>
                <w:szCs w:val="20"/>
              </w:rPr>
              <w:t>parameter maps in GIS format at return periods of 475 years, 1033 years, and 2475 years for</w:t>
            </w:r>
            <w:r w:rsidR="00BF71B4">
              <w:rPr>
                <w:rFonts w:ascii="Arial" w:hAnsi="Arial" w:cs="Arial"/>
                <w:sz w:val="20"/>
                <w:szCs w:val="20"/>
              </w:rPr>
              <w:t xml:space="preserve"> </w:t>
            </w:r>
            <w:r w:rsidRPr="004F173B">
              <w:rPr>
                <w:rFonts w:ascii="Arial" w:hAnsi="Arial" w:cs="Arial"/>
                <w:sz w:val="20"/>
                <w:szCs w:val="20"/>
              </w:rPr>
              <w:t>each of the states participating in the study.</w:t>
            </w:r>
            <w:r w:rsidR="000C65A5" w:rsidRPr="004F173B">
              <w:rPr>
                <w:rFonts w:ascii="Arial" w:hAnsi="Arial" w:cs="Arial"/>
                <w:sz w:val="20"/>
                <w:szCs w:val="20"/>
              </w:rPr>
              <w:br/>
            </w:r>
          </w:p>
          <w:p w14:paraId="751C29BA" w14:textId="77777777" w:rsidR="004F586D" w:rsidRDefault="007F40AF" w:rsidP="004F586D">
            <w:pPr>
              <w:spacing w:after="0" w:line="240" w:lineRule="auto"/>
              <w:rPr>
                <w:rFonts w:ascii="Arial" w:hAnsi="Arial" w:cs="Arial"/>
                <w:sz w:val="20"/>
                <w:szCs w:val="20"/>
              </w:rPr>
            </w:pPr>
            <w:r w:rsidRPr="007F40AF">
              <w:rPr>
                <w:rFonts w:ascii="Arial" w:hAnsi="Arial" w:cs="Arial"/>
                <w:sz w:val="20"/>
                <w:szCs w:val="20"/>
              </w:rPr>
              <w:t>C</w:t>
            </w:r>
            <w:r w:rsidR="00B56759">
              <w:rPr>
                <w:rFonts w:ascii="Arial" w:hAnsi="Arial" w:cs="Arial"/>
                <w:sz w:val="20"/>
                <w:szCs w:val="20"/>
              </w:rPr>
              <w:t>ontract</w:t>
            </w:r>
            <w:r w:rsidR="005806C7">
              <w:rPr>
                <w:rFonts w:ascii="Arial" w:hAnsi="Arial" w:cs="Arial"/>
                <w:sz w:val="20"/>
                <w:szCs w:val="20"/>
              </w:rPr>
              <w:t xml:space="preserve"> t</w:t>
            </w:r>
            <w:r w:rsidR="004F586D" w:rsidRPr="004F586D">
              <w:rPr>
                <w:rFonts w:ascii="Arial" w:hAnsi="Arial" w:cs="Arial"/>
                <w:sz w:val="20"/>
                <w:szCs w:val="20"/>
              </w:rPr>
              <w:t xml:space="preserve">asks for this study include, regarding the participating states: </w:t>
            </w:r>
          </w:p>
          <w:p w14:paraId="5479BD34" w14:textId="77777777" w:rsidR="004F586D" w:rsidRPr="004F173B" w:rsidRDefault="004F586D" w:rsidP="004F586D">
            <w:pPr>
              <w:spacing w:after="0" w:line="240" w:lineRule="auto"/>
              <w:rPr>
                <w:rFonts w:ascii="Arial" w:hAnsi="Arial" w:cs="Arial"/>
                <w:sz w:val="20"/>
                <w:szCs w:val="20"/>
              </w:rPr>
            </w:pPr>
          </w:p>
          <w:p w14:paraId="5D5C5ED0" w14:textId="77777777" w:rsidR="001F3C02" w:rsidRPr="004F173B" w:rsidRDefault="000F615B" w:rsidP="004F586D">
            <w:pPr>
              <w:spacing w:after="0" w:line="240" w:lineRule="auto"/>
              <w:rPr>
                <w:rFonts w:ascii="Arial" w:hAnsi="Arial" w:cs="Arial"/>
                <w:sz w:val="20"/>
                <w:szCs w:val="20"/>
              </w:rPr>
            </w:pPr>
            <w:r w:rsidRPr="004F173B">
              <w:rPr>
                <w:rFonts w:ascii="Arial" w:hAnsi="Arial" w:cs="Arial"/>
                <w:sz w:val="20"/>
                <w:szCs w:val="20"/>
              </w:rPr>
              <w:t>1. Develop full performance-based liquefaction triggering procedure</w:t>
            </w:r>
          </w:p>
          <w:p w14:paraId="3BAE331F" w14:textId="77777777"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2. Develop full performance-based lateral spread procedure</w:t>
            </w:r>
          </w:p>
          <w:p w14:paraId="24EBF2C5" w14:textId="77777777"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3. Develop full performance-based post-liquefaction, free-field settlement procedure</w:t>
            </w:r>
          </w:p>
          <w:p w14:paraId="0ACD467D" w14:textId="77777777" w:rsidR="000F615B" w:rsidRDefault="000F615B" w:rsidP="000F615B">
            <w:pPr>
              <w:spacing w:after="0" w:line="240" w:lineRule="auto"/>
              <w:rPr>
                <w:rFonts w:ascii="Arial" w:hAnsi="Arial" w:cs="Arial"/>
                <w:sz w:val="20"/>
                <w:szCs w:val="20"/>
              </w:rPr>
            </w:pPr>
            <w:r w:rsidRPr="004F173B">
              <w:rPr>
                <w:rFonts w:ascii="Arial" w:hAnsi="Arial" w:cs="Arial"/>
                <w:sz w:val="20"/>
                <w:szCs w:val="20"/>
              </w:rPr>
              <w:t>4. Develop a numerical tool that will allow the calculation of performance-based liquefaction</w:t>
            </w:r>
            <w:r w:rsidR="001A49D9">
              <w:rPr>
                <w:rFonts w:ascii="Arial" w:hAnsi="Arial" w:cs="Arial"/>
                <w:sz w:val="20"/>
                <w:szCs w:val="20"/>
              </w:rPr>
              <w:t xml:space="preserve"> </w:t>
            </w:r>
            <w:r w:rsidRPr="004F173B">
              <w:rPr>
                <w:rFonts w:ascii="Arial" w:hAnsi="Arial" w:cs="Arial"/>
                <w:sz w:val="20"/>
                <w:szCs w:val="20"/>
              </w:rPr>
              <w:t>triggering, post-liquefaction settlement, and lateral spread displacement</w:t>
            </w:r>
          </w:p>
          <w:p w14:paraId="0015D180" w14:textId="77777777" w:rsidR="00826F63" w:rsidRDefault="00826F63" w:rsidP="000F615B">
            <w:pPr>
              <w:spacing w:after="0" w:line="240" w:lineRule="auto"/>
              <w:rPr>
                <w:rFonts w:ascii="Arial" w:hAnsi="Arial" w:cs="Arial"/>
                <w:sz w:val="20"/>
                <w:szCs w:val="20"/>
              </w:rPr>
            </w:pPr>
            <w:r w:rsidRPr="00826F63">
              <w:rPr>
                <w:rFonts w:ascii="Arial" w:hAnsi="Arial" w:cs="Arial"/>
                <w:sz w:val="20"/>
                <w:szCs w:val="20"/>
              </w:rPr>
              <w:t>5</w:t>
            </w:r>
            <w:r>
              <w:rPr>
                <w:rFonts w:ascii="Arial" w:hAnsi="Arial" w:cs="Arial"/>
                <w:sz w:val="20"/>
                <w:szCs w:val="20"/>
              </w:rPr>
              <w:t>.</w:t>
            </w:r>
            <w:r w:rsidRPr="00826F63">
              <w:rPr>
                <w:rFonts w:ascii="Arial" w:hAnsi="Arial" w:cs="Arial"/>
                <w:sz w:val="20"/>
                <w:szCs w:val="20"/>
              </w:rPr>
              <w:t xml:space="preserve"> Derivation and validation of a new simplified liquefaction triggering procedure</w:t>
            </w:r>
          </w:p>
          <w:p w14:paraId="6012D5CB" w14:textId="77777777" w:rsidR="00826F63" w:rsidRDefault="00826F63" w:rsidP="000F615B">
            <w:pPr>
              <w:spacing w:after="0" w:line="240" w:lineRule="auto"/>
              <w:rPr>
                <w:rFonts w:ascii="Arial" w:hAnsi="Arial" w:cs="Arial"/>
                <w:sz w:val="20"/>
                <w:szCs w:val="20"/>
              </w:rPr>
            </w:pPr>
            <w:r>
              <w:rPr>
                <w:rFonts w:ascii="Arial" w:hAnsi="Arial" w:cs="Arial"/>
                <w:sz w:val="20"/>
                <w:szCs w:val="20"/>
              </w:rPr>
              <w:t xml:space="preserve">6. </w:t>
            </w:r>
            <w:r w:rsidRPr="00826F63">
              <w:rPr>
                <w:rFonts w:ascii="Arial" w:hAnsi="Arial" w:cs="Arial"/>
                <w:sz w:val="20"/>
                <w:szCs w:val="20"/>
              </w:rPr>
              <w:t>Derivation and validation of a new simplified lateral spread displacement procedure</w:t>
            </w:r>
          </w:p>
          <w:p w14:paraId="4DA0B2B9" w14:textId="77777777" w:rsidR="00826F63" w:rsidRDefault="00704202" w:rsidP="000F615B">
            <w:pPr>
              <w:spacing w:after="0" w:line="240" w:lineRule="auto"/>
              <w:rPr>
                <w:rFonts w:ascii="Arial" w:hAnsi="Arial" w:cs="Arial"/>
                <w:sz w:val="20"/>
                <w:szCs w:val="20"/>
              </w:rPr>
            </w:pPr>
            <w:r w:rsidRPr="00704202">
              <w:rPr>
                <w:rFonts w:ascii="Arial" w:hAnsi="Arial" w:cs="Arial"/>
                <w:sz w:val="20"/>
                <w:szCs w:val="20"/>
              </w:rPr>
              <w:t>7</w:t>
            </w:r>
            <w:r>
              <w:rPr>
                <w:rFonts w:ascii="Arial" w:hAnsi="Arial" w:cs="Arial"/>
                <w:sz w:val="20"/>
                <w:szCs w:val="20"/>
              </w:rPr>
              <w:t xml:space="preserve">. </w:t>
            </w:r>
            <w:r w:rsidRPr="00704202">
              <w:rPr>
                <w:rFonts w:ascii="Arial" w:hAnsi="Arial" w:cs="Arial"/>
                <w:sz w:val="20"/>
                <w:szCs w:val="20"/>
              </w:rPr>
              <w:t>Derivation and validation of simplified post-liquefaction free-field settlement procedure</w:t>
            </w:r>
          </w:p>
          <w:p w14:paraId="28F552DA" w14:textId="77777777" w:rsidR="00704202" w:rsidRDefault="00704202" w:rsidP="000F615B">
            <w:pPr>
              <w:spacing w:after="0" w:line="240" w:lineRule="auto"/>
              <w:rPr>
                <w:rFonts w:ascii="Arial" w:hAnsi="Arial" w:cs="Arial"/>
                <w:sz w:val="20"/>
                <w:szCs w:val="20"/>
              </w:rPr>
            </w:pPr>
            <w:r w:rsidRPr="00704202">
              <w:rPr>
                <w:rFonts w:ascii="Arial" w:hAnsi="Arial" w:cs="Arial"/>
                <w:sz w:val="20"/>
                <w:szCs w:val="20"/>
              </w:rPr>
              <w:t>8</w:t>
            </w:r>
            <w:r>
              <w:rPr>
                <w:rFonts w:ascii="Arial" w:hAnsi="Arial" w:cs="Arial"/>
                <w:sz w:val="20"/>
                <w:szCs w:val="20"/>
              </w:rPr>
              <w:t>.</w:t>
            </w:r>
            <w:r w:rsidRPr="00704202">
              <w:rPr>
                <w:rFonts w:ascii="Arial" w:hAnsi="Arial" w:cs="Arial"/>
                <w:sz w:val="20"/>
                <w:szCs w:val="20"/>
              </w:rPr>
              <w:t xml:space="preserve"> Development of liquefaction reference parameter maps</w:t>
            </w:r>
          </w:p>
          <w:p w14:paraId="66784165" w14:textId="77777777" w:rsidR="00704202" w:rsidRDefault="00704202" w:rsidP="000F615B">
            <w:pPr>
              <w:spacing w:after="0" w:line="240" w:lineRule="auto"/>
              <w:rPr>
                <w:rFonts w:ascii="Arial" w:hAnsi="Arial" w:cs="Arial"/>
                <w:sz w:val="20"/>
                <w:szCs w:val="20"/>
              </w:rPr>
            </w:pPr>
            <w:r w:rsidRPr="00704202">
              <w:rPr>
                <w:rFonts w:ascii="Arial" w:hAnsi="Arial" w:cs="Arial"/>
                <w:sz w:val="20"/>
                <w:szCs w:val="20"/>
              </w:rPr>
              <w:t>9</w:t>
            </w:r>
            <w:r>
              <w:rPr>
                <w:rFonts w:ascii="Arial" w:hAnsi="Arial" w:cs="Arial"/>
                <w:sz w:val="20"/>
                <w:szCs w:val="20"/>
              </w:rPr>
              <w:t>.</w:t>
            </w:r>
            <w:r w:rsidRPr="00704202">
              <w:rPr>
                <w:rFonts w:ascii="Arial" w:hAnsi="Arial" w:cs="Arial"/>
                <w:sz w:val="20"/>
                <w:szCs w:val="20"/>
              </w:rPr>
              <w:t xml:space="preserve"> Comparison of simplified, conventional (AASHTO), and deterministic analysis methods</w:t>
            </w:r>
          </w:p>
          <w:p w14:paraId="2E71B57B" w14:textId="77777777" w:rsidR="00EF7C5F" w:rsidRPr="004F173B" w:rsidRDefault="00704202" w:rsidP="000F615B">
            <w:pPr>
              <w:spacing w:after="0" w:line="240" w:lineRule="auto"/>
              <w:rPr>
                <w:rFonts w:ascii="Arial" w:hAnsi="Arial" w:cs="Arial"/>
                <w:sz w:val="20"/>
                <w:szCs w:val="20"/>
              </w:rPr>
            </w:pPr>
            <w:r w:rsidRPr="00704202">
              <w:rPr>
                <w:rFonts w:ascii="Arial" w:hAnsi="Arial" w:cs="Arial"/>
                <w:sz w:val="20"/>
                <w:szCs w:val="20"/>
              </w:rPr>
              <w:t>10</w:t>
            </w:r>
            <w:r>
              <w:rPr>
                <w:rFonts w:ascii="Arial" w:hAnsi="Arial" w:cs="Arial"/>
                <w:sz w:val="20"/>
                <w:szCs w:val="20"/>
              </w:rPr>
              <w:t xml:space="preserve">. </w:t>
            </w:r>
            <w:r w:rsidRPr="00704202">
              <w:rPr>
                <w:rFonts w:ascii="Arial" w:hAnsi="Arial" w:cs="Arial"/>
                <w:sz w:val="20"/>
                <w:szCs w:val="20"/>
              </w:rPr>
              <w:t>Development of a simplified design procedure that incorporates both performance-based and conventional methods</w:t>
            </w:r>
          </w:p>
          <w:p w14:paraId="5B4BF7D7" w14:textId="77777777" w:rsidR="001A49D9" w:rsidRDefault="00EF7C5F" w:rsidP="001A49D9">
            <w:pPr>
              <w:spacing w:after="0" w:line="240" w:lineRule="auto"/>
              <w:rPr>
                <w:rFonts w:ascii="Arial" w:hAnsi="Arial" w:cs="Arial"/>
                <w:sz w:val="20"/>
                <w:szCs w:val="20"/>
              </w:rPr>
            </w:pPr>
            <w:r>
              <w:rPr>
                <w:rFonts w:ascii="Arial" w:hAnsi="Arial" w:cs="Arial"/>
                <w:sz w:val="20"/>
                <w:szCs w:val="20"/>
              </w:rPr>
              <w:t>11</w:t>
            </w:r>
            <w:r w:rsidR="001A49D9">
              <w:rPr>
                <w:rFonts w:ascii="Arial" w:hAnsi="Arial" w:cs="Arial"/>
                <w:sz w:val="20"/>
                <w:szCs w:val="20"/>
              </w:rPr>
              <w:t>.</w:t>
            </w:r>
            <w:r w:rsidR="001A49D9" w:rsidRPr="001A49D9">
              <w:rPr>
                <w:rFonts w:ascii="Arial" w:hAnsi="Arial" w:cs="Arial"/>
                <w:sz w:val="20"/>
                <w:szCs w:val="20"/>
              </w:rPr>
              <w:t xml:space="preserve"> Preparation of</w:t>
            </w:r>
            <w:r w:rsidR="001A49D9">
              <w:rPr>
                <w:rFonts w:ascii="Arial" w:hAnsi="Arial" w:cs="Arial"/>
                <w:sz w:val="20"/>
                <w:szCs w:val="20"/>
              </w:rPr>
              <w:t xml:space="preserve"> the Annual and Final Reports</w:t>
            </w:r>
          </w:p>
          <w:p w14:paraId="0C6FC9E0" w14:textId="77777777" w:rsidR="001A49D9" w:rsidRDefault="00EF7C5F" w:rsidP="001A49D9">
            <w:pPr>
              <w:spacing w:after="0" w:line="240" w:lineRule="auto"/>
              <w:rPr>
                <w:rFonts w:ascii="Arial" w:hAnsi="Arial" w:cs="Arial"/>
                <w:sz w:val="20"/>
                <w:szCs w:val="20"/>
              </w:rPr>
            </w:pPr>
            <w:r>
              <w:rPr>
                <w:rFonts w:ascii="Arial" w:hAnsi="Arial" w:cs="Arial"/>
                <w:sz w:val="20"/>
                <w:szCs w:val="20"/>
              </w:rPr>
              <w:t>12.</w:t>
            </w:r>
            <w:r w:rsidR="001A49D9">
              <w:rPr>
                <w:rFonts w:ascii="Arial" w:hAnsi="Arial" w:cs="Arial"/>
                <w:sz w:val="20"/>
                <w:szCs w:val="20"/>
              </w:rPr>
              <w:t xml:space="preserve"> Dissemination of Results</w:t>
            </w:r>
          </w:p>
          <w:p w14:paraId="37A056E4" w14:textId="77777777" w:rsidR="001A49D9" w:rsidRDefault="00EF7C5F" w:rsidP="001A49D9">
            <w:pPr>
              <w:spacing w:after="0" w:line="240" w:lineRule="auto"/>
              <w:rPr>
                <w:rFonts w:ascii="Arial" w:hAnsi="Arial" w:cs="Arial"/>
                <w:sz w:val="20"/>
                <w:szCs w:val="20"/>
              </w:rPr>
            </w:pPr>
            <w:r>
              <w:rPr>
                <w:rFonts w:ascii="Arial" w:hAnsi="Arial" w:cs="Arial"/>
                <w:sz w:val="20"/>
                <w:szCs w:val="20"/>
              </w:rPr>
              <w:t>13.</w:t>
            </w:r>
            <w:r w:rsidR="001A49D9" w:rsidRPr="001A49D9">
              <w:rPr>
                <w:rFonts w:ascii="Arial" w:hAnsi="Arial" w:cs="Arial"/>
                <w:sz w:val="20"/>
                <w:szCs w:val="20"/>
              </w:rPr>
              <w:t xml:space="preserve"> Technical Advisory Committee</w:t>
            </w:r>
            <w:r w:rsidR="001A49D9">
              <w:rPr>
                <w:rFonts w:ascii="Arial" w:hAnsi="Arial" w:cs="Arial"/>
                <w:sz w:val="20"/>
                <w:szCs w:val="20"/>
              </w:rPr>
              <w:t xml:space="preserve"> </w:t>
            </w:r>
            <w:r w:rsidR="00D91105">
              <w:rPr>
                <w:rFonts w:ascii="Arial" w:hAnsi="Arial" w:cs="Arial"/>
                <w:sz w:val="20"/>
                <w:szCs w:val="20"/>
              </w:rPr>
              <w:t>(TAC) Meetings</w:t>
            </w:r>
          </w:p>
          <w:p w14:paraId="1D322B5E" w14:textId="77777777" w:rsidR="001A49D9" w:rsidRPr="004F173B" w:rsidRDefault="001A49D9" w:rsidP="000F615B">
            <w:pPr>
              <w:spacing w:after="0" w:line="240" w:lineRule="auto"/>
              <w:rPr>
                <w:rFonts w:ascii="Arial" w:hAnsi="Arial" w:cs="Arial"/>
                <w:sz w:val="20"/>
                <w:szCs w:val="20"/>
              </w:rPr>
            </w:pPr>
          </w:p>
          <w:p w14:paraId="28B67404" w14:textId="77777777"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CT,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14:paraId="7A8D8023" w14:textId="77777777" w:rsidR="00974B55" w:rsidRPr="00360664" w:rsidRDefault="00974B55" w:rsidP="002765D0">
            <w:pPr>
              <w:spacing w:after="0" w:line="240" w:lineRule="auto"/>
              <w:rPr>
                <w:rFonts w:ascii="Arial" w:hAnsi="Arial" w:cs="Arial"/>
                <w:sz w:val="20"/>
                <w:szCs w:val="20"/>
              </w:rPr>
            </w:pPr>
          </w:p>
        </w:tc>
      </w:tr>
    </w:tbl>
    <w:p w14:paraId="54A9E59F"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249BED8" w14:textId="77777777" w:rsidTr="00360664">
        <w:tc>
          <w:tcPr>
            <w:tcW w:w="10908" w:type="dxa"/>
          </w:tcPr>
          <w:p w14:paraId="14DAD949" w14:textId="77777777" w:rsidR="000C209F" w:rsidRPr="0078688E" w:rsidRDefault="000C209F" w:rsidP="00716C86">
            <w:pPr>
              <w:spacing w:after="0" w:line="240" w:lineRule="auto"/>
              <w:rPr>
                <w:rFonts w:ascii="Arial" w:hAnsi="Arial" w:cs="Arial"/>
                <w:b/>
                <w:sz w:val="20"/>
                <w:szCs w:val="20"/>
              </w:rPr>
            </w:pPr>
          </w:p>
          <w:p w14:paraId="2ACE74CD" w14:textId="77777777" w:rsidR="000C209F" w:rsidRPr="00755858" w:rsidRDefault="00704B32" w:rsidP="00716C86">
            <w:pPr>
              <w:spacing w:after="0" w:line="240" w:lineRule="auto"/>
              <w:rPr>
                <w:rFonts w:ascii="Arial" w:hAnsi="Arial" w:cs="Arial"/>
                <w:sz w:val="20"/>
                <w:szCs w:val="20"/>
              </w:rPr>
            </w:pPr>
            <w:r w:rsidRPr="00355840">
              <w:rPr>
                <w:rFonts w:ascii="Arial" w:hAnsi="Arial" w:cs="Arial"/>
                <w:b/>
                <w:sz w:val="20"/>
                <w:szCs w:val="20"/>
              </w:rPr>
              <w:t xml:space="preserve">Progress this Quarter </w:t>
            </w:r>
            <w:r w:rsidR="000C209F" w:rsidRPr="00355840">
              <w:rPr>
                <w:rFonts w:ascii="Arial" w:hAnsi="Arial" w:cs="Arial"/>
                <w:b/>
                <w:sz w:val="20"/>
                <w:szCs w:val="20"/>
              </w:rPr>
              <w:t>(includes meetings, work plan status, contract status, significant progress, etc.):</w:t>
            </w:r>
          </w:p>
          <w:p w14:paraId="4D63A78D" w14:textId="77777777" w:rsidR="004D59DA" w:rsidRPr="0078688E" w:rsidRDefault="004D59DA" w:rsidP="00716C86">
            <w:pPr>
              <w:spacing w:after="0" w:line="240" w:lineRule="auto"/>
              <w:rPr>
                <w:rFonts w:ascii="Arial" w:hAnsi="Arial" w:cs="Arial"/>
                <w:sz w:val="20"/>
                <w:szCs w:val="20"/>
              </w:rPr>
            </w:pPr>
          </w:p>
          <w:p w14:paraId="031FA637"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14:paraId="70384539"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975A81">
              <w:rPr>
                <w:rFonts w:ascii="Arial" w:hAnsi="Arial" w:cs="Arial"/>
                <w:sz w:val="20"/>
                <w:szCs w:val="20"/>
              </w:rPr>
              <w:t>100</w:t>
            </w:r>
            <w:r w:rsidR="000D463D" w:rsidRPr="00AB3889">
              <w:rPr>
                <w:rFonts w:ascii="Arial" w:hAnsi="Arial" w:cs="Arial"/>
                <w:sz w:val="20"/>
                <w:szCs w:val="20"/>
              </w:rPr>
              <w:t>% complete.</w:t>
            </w:r>
          </w:p>
          <w:p w14:paraId="39C49338"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14:paraId="4550B152" w14:textId="77777777" w:rsidR="00411DFA" w:rsidRDefault="002D74C2" w:rsidP="00716C86">
            <w:pPr>
              <w:spacing w:after="0" w:line="240" w:lineRule="auto"/>
              <w:rPr>
                <w:rFonts w:ascii="Arial" w:hAnsi="Arial" w:cs="Arial"/>
                <w:sz w:val="20"/>
                <w:szCs w:val="20"/>
              </w:rPr>
            </w:pPr>
            <w:r w:rsidRPr="002D74C2">
              <w:rPr>
                <w:rFonts w:ascii="Arial" w:hAnsi="Arial" w:cs="Arial"/>
                <w:b/>
                <w:sz w:val="20"/>
                <w:szCs w:val="20"/>
              </w:rPr>
              <w:lastRenderedPageBreak/>
              <w:t>Task 4</w:t>
            </w:r>
            <w:r w:rsidRPr="002D74C2">
              <w:rPr>
                <w:rFonts w:ascii="Arial" w:hAnsi="Arial" w:cs="Arial"/>
                <w:sz w:val="20"/>
                <w:szCs w:val="20"/>
              </w:rPr>
              <w:t xml:space="preserve"> – </w:t>
            </w:r>
            <w:r w:rsidR="00913492">
              <w:rPr>
                <w:rFonts w:ascii="Arial" w:hAnsi="Arial" w:cs="Arial"/>
                <w:sz w:val="20"/>
                <w:szCs w:val="20"/>
              </w:rPr>
              <w:t>100% complete</w:t>
            </w:r>
            <w:r w:rsidR="00775458">
              <w:rPr>
                <w:rFonts w:ascii="Arial" w:hAnsi="Arial" w:cs="Arial"/>
                <w:sz w:val="20"/>
                <w:szCs w:val="20"/>
              </w:rPr>
              <w:t>.</w:t>
            </w:r>
          </w:p>
          <w:p w14:paraId="43AF78CC" w14:textId="77777777"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3DB9F410"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21D4EE5E"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00C95CDA" w14:textId="401FC105"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3D3FC8">
              <w:rPr>
                <w:rFonts w:ascii="Arial" w:hAnsi="Arial" w:cs="Arial"/>
                <w:sz w:val="20"/>
                <w:szCs w:val="20"/>
              </w:rPr>
              <w:t xml:space="preserve"> </w:t>
            </w:r>
            <w:r w:rsidR="003D2891">
              <w:rPr>
                <w:rFonts w:ascii="Arial" w:hAnsi="Arial" w:cs="Arial"/>
                <w:sz w:val="20"/>
                <w:szCs w:val="20"/>
              </w:rPr>
              <w:t>100%</w:t>
            </w:r>
            <w:r w:rsidR="00355840">
              <w:rPr>
                <w:rFonts w:ascii="Arial" w:hAnsi="Arial" w:cs="Arial"/>
                <w:sz w:val="20"/>
                <w:szCs w:val="20"/>
              </w:rPr>
              <w:t xml:space="preserve"> complete. </w:t>
            </w:r>
            <w:r w:rsidR="00355840" w:rsidRPr="00D1411E">
              <w:rPr>
                <w:rFonts w:ascii="Arial" w:hAnsi="Arial" w:cs="Arial"/>
                <w:sz w:val="20"/>
                <w:szCs w:val="20"/>
              </w:rPr>
              <w:t>Worked on liquefaction reference parameter maps and the next TAC update report.</w:t>
            </w:r>
          </w:p>
          <w:p w14:paraId="47FBBC5C" w14:textId="70B4CFE5"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3D3FC8">
              <w:rPr>
                <w:rFonts w:ascii="Arial" w:hAnsi="Arial" w:cs="Arial"/>
                <w:sz w:val="20"/>
                <w:szCs w:val="20"/>
              </w:rPr>
              <w:t xml:space="preserve"> </w:t>
            </w:r>
            <w:r w:rsidR="003D2891">
              <w:rPr>
                <w:rFonts w:ascii="Arial" w:hAnsi="Arial" w:cs="Arial"/>
                <w:sz w:val="20"/>
                <w:szCs w:val="20"/>
              </w:rPr>
              <w:t>90</w:t>
            </w:r>
            <w:r w:rsidR="00B03FA3">
              <w:rPr>
                <w:rFonts w:ascii="Arial" w:hAnsi="Arial" w:cs="Arial"/>
                <w:sz w:val="20"/>
                <w:szCs w:val="20"/>
              </w:rPr>
              <w:t>% complete</w:t>
            </w:r>
            <w:r w:rsidR="00D1411E">
              <w:rPr>
                <w:rFonts w:ascii="Arial" w:hAnsi="Arial" w:cs="Arial"/>
                <w:sz w:val="20"/>
                <w:szCs w:val="20"/>
              </w:rPr>
              <w:t>.</w:t>
            </w:r>
          </w:p>
          <w:p w14:paraId="1F75F2DC" w14:textId="11EDACD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3D3FC8">
              <w:rPr>
                <w:rFonts w:ascii="Arial" w:hAnsi="Arial" w:cs="Arial"/>
                <w:sz w:val="20"/>
                <w:szCs w:val="20"/>
              </w:rPr>
              <w:t xml:space="preserve"> </w:t>
            </w:r>
            <w:r w:rsidR="003D2891">
              <w:rPr>
                <w:rFonts w:ascii="Arial" w:hAnsi="Arial" w:cs="Arial"/>
                <w:sz w:val="20"/>
                <w:szCs w:val="20"/>
              </w:rPr>
              <w:t>75</w:t>
            </w:r>
            <w:r w:rsidR="00B03FA3">
              <w:rPr>
                <w:rFonts w:ascii="Arial" w:hAnsi="Arial" w:cs="Arial"/>
                <w:sz w:val="20"/>
                <w:szCs w:val="20"/>
              </w:rPr>
              <w:t>% complete</w:t>
            </w:r>
            <w:r w:rsidR="001B384F">
              <w:rPr>
                <w:rFonts w:ascii="Arial" w:hAnsi="Arial" w:cs="Arial"/>
                <w:sz w:val="20"/>
                <w:szCs w:val="20"/>
              </w:rPr>
              <w:t>.</w:t>
            </w:r>
          </w:p>
          <w:p w14:paraId="0AF2B446"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B03FA3">
              <w:rPr>
                <w:rFonts w:ascii="Arial" w:hAnsi="Arial" w:cs="Arial"/>
                <w:sz w:val="20"/>
                <w:szCs w:val="20"/>
              </w:rPr>
              <w:t>75</w:t>
            </w:r>
            <w:r w:rsidR="00913492">
              <w:rPr>
                <w:rFonts w:ascii="Arial" w:hAnsi="Arial" w:cs="Arial"/>
                <w:sz w:val="20"/>
                <w:szCs w:val="20"/>
              </w:rPr>
              <w:t>% complete</w:t>
            </w:r>
            <w:r w:rsidR="00775458">
              <w:rPr>
                <w:rFonts w:ascii="Arial" w:hAnsi="Arial" w:cs="Arial"/>
                <w:sz w:val="20"/>
                <w:szCs w:val="20"/>
              </w:rPr>
              <w:t>.</w:t>
            </w:r>
          </w:p>
          <w:p w14:paraId="1BFA8672"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4974AD">
              <w:rPr>
                <w:rFonts w:ascii="Arial" w:hAnsi="Arial" w:cs="Arial"/>
                <w:sz w:val="20"/>
                <w:szCs w:val="20"/>
              </w:rPr>
              <w:t>15% complete</w:t>
            </w:r>
            <w:r w:rsidR="005F2022">
              <w:rPr>
                <w:rFonts w:ascii="Arial" w:hAnsi="Arial" w:cs="Arial"/>
                <w:sz w:val="20"/>
                <w:szCs w:val="20"/>
              </w:rPr>
              <w:t>.</w:t>
            </w:r>
          </w:p>
          <w:p w14:paraId="750492E9"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 </w:t>
            </w:r>
            <w:r w:rsidR="004B3706">
              <w:rPr>
                <w:rFonts w:ascii="Arial" w:hAnsi="Arial" w:cs="Arial"/>
                <w:sz w:val="20"/>
                <w:szCs w:val="20"/>
              </w:rPr>
              <w:t>60</w:t>
            </w:r>
            <w:r w:rsidR="005F2022">
              <w:rPr>
                <w:rFonts w:ascii="Arial" w:hAnsi="Arial" w:cs="Arial"/>
                <w:sz w:val="20"/>
                <w:szCs w:val="20"/>
              </w:rPr>
              <w:t>% complete.</w:t>
            </w:r>
          </w:p>
          <w:p w14:paraId="4B84EA22" w14:textId="77777777" w:rsidR="002D74C2" w:rsidRDefault="002D74C2" w:rsidP="00716C86">
            <w:pPr>
              <w:spacing w:after="0" w:line="240" w:lineRule="auto"/>
              <w:rPr>
                <w:rFonts w:ascii="Arial" w:hAnsi="Arial" w:cs="Arial"/>
                <w:sz w:val="20"/>
                <w:szCs w:val="20"/>
              </w:rPr>
            </w:pPr>
          </w:p>
          <w:p w14:paraId="4516ECFF" w14:textId="77777777" w:rsidR="00B07C63" w:rsidRDefault="00B07C63" w:rsidP="00B07C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3C6C9E">
              <w:rPr>
                <w:rFonts w:ascii="Arial" w:hAnsi="Arial" w:cs="Arial"/>
                <w:sz w:val="20"/>
                <w:szCs w:val="20"/>
              </w:rPr>
              <w:t xml:space="preserve"> </w:t>
            </w:r>
            <w:r w:rsidR="00623CFE">
              <w:rPr>
                <w:rFonts w:ascii="Arial" w:hAnsi="Arial" w:cs="Arial"/>
                <w:sz w:val="20"/>
                <w:szCs w:val="20"/>
              </w:rPr>
              <w:t>No changes this quarter.</w:t>
            </w:r>
          </w:p>
          <w:p w14:paraId="1B8ED9E4" w14:textId="77777777" w:rsidR="00716C86" w:rsidRPr="006E7805" w:rsidRDefault="00716C86" w:rsidP="006E7805">
            <w:pPr>
              <w:spacing w:after="0" w:line="240" w:lineRule="auto"/>
              <w:rPr>
                <w:rFonts w:ascii="Arial" w:hAnsi="Arial" w:cs="Arial"/>
                <w:sz w:val="20"/>
                <w:szCs w:val="20"/>
              </w:rPr>
            </w:pPr>
          </w:p>
        </w:tc>
      </w:tr>
      <w:tr w:rsidR="000C209F" w:rsidRPr="00360664" w14:paraId="15D374B7" w14:textId="77777777" w:rsidTr="003B3781">
        <w:tc>
          <w:tcPr>
            <w:tcW w:w="10908" w:type="dxa"/>
          </w:tcPr>
          <w:p w14:paraId="722B3517" w14:textId="77777777" w:rsidR="000C209F" w:rsidRPr="0078688E" w:rsidRDefault="000C209F" w:rsidP="00360664">
            <w:pPr>
              <w:spacing w:after="0" w:line="240" w:lineRule="auto"/>
              <w:rPr>
                <w:rFonts w:ascii="Arial" w:hAnsi="Arial" w:cs="Arial"/>
                <w:b/>
                <w:sz w:val="20"/>
                <w:szCs w:val="20"/>
              </w:rPr>
            </w:pPr>
          </w:p>
          <w:p w14:paraId="7EA09E46" w14:textId="77777777" w:rsidR="000C209F" w:rsidRPr="00704B32" w:rsidRDefault="00704B32" w:rsidP="00716C86">
            <w:pPr>
              <w:keepNext/>
              <w:keepLines/>
              <w:spacing w:after="0" w:line="240" w:lineRule="auto"/>
              <w:rPr>
                <w:rFonts w:ascii="Arial" w:hAnsi="Arial" w:cs="Arial"/>
                <w:b/>
                <w:sz w:val="20"/>
                <w:szCs w:val="20"/>
              </w:rPr>
            </w:pPr>
            <w:r w:rsidRPr="00777C1F">
              <w:rPr>
                <w:rFonts w:ascii="Arial" w:hAnsi="Arial" w:cs="Arial"/>
                <w:b/>
                <w:sz w:val="20"/>
                <w:szCs w:val="20"/>
              </w:rPr>
              <w:t>Anticipated work next quarter:</w:t>
            </w:r>
          </w:p>
          <w:p w14:paraId="72E4EB6C" w14:textId="77777777" w:rsidR="004D59DA" w:rsidRDefault="004D59DA" w:rsidP="00215F63">
            <w:pPr>
              <w:keepNext/>
              <w:keepLines/>
              <w:tabs>
                <w:tab w:val="left" w:pos="7567"/>
              </w:tabs>
              <w:spacing w:after="0" w:line="240" w:lineRule="auto"/>
              <w:rPr>
                <w:rFonts w:ascii="Arial" w:hAnsi="Arial" w:cs="Arial"/>
                <w:sz w:val="20"/>
                <w:szCs w:val="20"/>
              </w:rPr>
            </w:pPr>
          </w:p>
          <w:p w14:paraId="53288226"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14:paraId="5415C5A5"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14:paraId="624C1C9D"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w:t>
            </w:r>
            <w:r w:rsidR="007905E2">
              <w:rPr>
                <w:rFonts w:ascii="Arial" w:hAnsi="Arial" w:cs="Arial"/>
                <w:sz w:val="20"/>
                <w:szCs w:val="20"/>
              </w:rPr>
              <w:t xml:space="preserve"> </w:t>
            </w:r>
            <w:r w:rsidR="00975A81">
              <w:rPr>
                <w:rFonts w:ascii="Arial" w:hAnsi="Arial" w:cs="Arial"/>
                <w:sz w:val="20"/>
                <w:szCs w:val="20"/>
              </w:rPr>
              <w:t>Completed</w:t>
            </w:r>
            <w:r w:rsidR="00C9266A">
              <w:rPr>
                <w:rFonts w:ascii="Arial" w:hAnsi="Arial" w:cs="Arial"/>
                <w:sz w:val="20"/>
                <w:szCs w:val="20"/>
              </w:rPr>
              <w:t>.</w:t>
            </w:r>
          </w:p>
          <w:p w14:paraId="1CF28C6D" w14:textId="77777777" w:rsidR="00DD489E" w:rsidRPr="002D74C2" w:rsidRDefault="00B07C63" w:rsidP="00DD489E">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913492">
              <w:rPr>
                <w:rFonts w:ascii="Arial" w:hAnsi="Arial" w:cs="Arial"/>
                <w:sz w:val="20"/>
                <w:szCs w:val="20"/>
              </w:rPr>
              <w:t>Completed.</w:t>
            </w:r>
          </w:p>
          <w:p w14:paraId="2001FFD3"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r w:rsidR="00775458">
              <w:rPr>
                <w:rFonts w:ascii="Arial" w:hAnsi="Arial" w:cs="Arial"/>
                <w:sz w:val="20"/>
                <w:szCs w:val="20"/>
              </w:rPr>
              <w:t>.</w:t>
            </w:r>
          </w:p>
          <w:p w14:paraId="07C00D69"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A039AC">
              <w:rPr>
                <w:rFonts w:ascii="Arial" w:hAnsi="Arial" w:cs="Arial"/>
                <w:sz w:val="20"/>
                <w:szCs w:val="20"/>
              </w:rPr>
              <w:t xml:space="preserve"> </w:t>
            </w:r>
            <w:r w:rsidR="00755858">
              <w:rPr>
                <w:rFonts w:ascii="Arial" w:hAnsi="Arial" w:cs="Arial"/>
                <w:sz w:val="20"/>
                <w:szCs w:val="20"/>
              </w:rPr>
              <w:t>Completed.</w:t>
            </w:r>
          </w:p>
          <w:p w14:paraId="6DCF1AC2"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p>
          <w:p w14:paraId="3D42655C"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755858">
              <w:rPr>
                <w:rFonts w:ascii="Arial" w:hAnsi="Arial" w:cs="Arial"/>
                <w:sz w:val="20"/>
                <w:szCs w:val="20"/>
              </w:rPr>
              <w:t xml:space="preserve"> </w:t>
            </w:r>
            <w:r w:rsidR="00D563B7">
              <w:rPr>
                <w:rFonts w:ascii="Arial" w:hAnsi="Arial" w:cs="Arial"/>
                <w:sz w:val="20"/>
                <w:szCs w:val="20"/>
              </w:rPr>
              <w:t>Completed. N</w:t>
            </w:r>
            <w:r w:rsidR="00B03FA3">
              <w:rPr>
                <w:rFonts w:ascii="Arial" w:hAnsi="Arial" w:cs="Arial"/>
                <w:sz w:val="20"/>
                <w:szCs w:val="20"/>
              </w:rPr>
              <w:t>eed review from TAC.</w:t>
            </w:r>
          </w:p>
          <w:p w14:paraId="37374F04"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1B384F">
              <w:rPr>
                <w:rFonts w:ascii="Arial" w:hAnsi="Arial" w:cs="Arial"/>
                <w:sz w:val="20"/>
                <w:szCs w:val="20"/>
              </w:rPr>
              <w:t xml:space="preserve"> </w:t>
            </w:r>
            <w:r w:rsidR="00B03FA3">
              <w:rPr>
                <w:rFonts w:ascii="Arial" w:hAnsi="Arial" w:cs="Arial"/>
                <w:sz w:val="20"/>
                <w:szCs w:val="20"/>
              </w:rPr>
              <w:t xml:space="preserve">Mostly completed. </w:t>
            </w:r>
            <w:r w:rsidR="00D563B7">
              <w:rPr>
                <w:rFonts w:ascii="Arial" w:hAnsi="Arial" w:cs="Arial"/>
                <w:sz w:val="20"/>
                <w:szCs w:val="20"/>
              </w:rPr>
              <w:t>N</w:t>
            </w:r>
            <w:r w:rsidR="00B03FA3">
              <w:rPr>
                <w:rFonts w:ascii="Arial" w:hAnsi="Arial" w:cs="Arial"/>
                <w:sz w:val="20"/>
                <w:szCs w:val="20"/>
              </w:rPr>
              <w:t>eed to verify that our results are accurate.</w:t>
            </w:r>
          </w:p>
          <w:p w14:paraId="5FDF2910" w14:textId="424C85EC"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1B384F">
              <w:rPr>
                <w:rFonts w:ascii="Arial" w:hAnsi="Arial" w:cs="Arial"/>
                <w:sz w:val="20"/>
                <w:szCs w:val="20"/>
              </w:rPr>
              <w:t xml:space="preserve"> </w:t>
            </w:r>
            <w:r w:rsidR="00DB1530">
              <w:rPr>
                <w:rFonts w:ascii="Arial" w:hAnsi="Arial" w:cs="Arial"/>
                <w:sz w:val="20"/>
                <w:szCs w:val="20"/>
              </w:rPr>
              <w:t>Continue developing</w:t>
            </w:r>
            <w:r w:rsidR="00DB1530" w:rsidRPr="00DB1530">
              <w:rPr>
                <w:rFonts w:ascii="Arial" w:hAnsi="Arial" w:cs="Arial"/>
                <w:sz w:val="20"/>
                <w:szCs w:val="20"/>
              </w:rPr>
              <w:t xml:space="preserve"> simplified design procedure</w:t>
            </w:r>
            <w:r w:rsidR="00DB1530">
              <w:rPr>
                <w:rFonts w:ascii="Arial" w:hAnsi="Arial" w:cs="Arial"/>
                <w:sz w:val="20"/>
                <w:szCs w:val="20"/>
              </w:rPr>
              <w:t>.</w:t>
            </w:r>
          </w:p>
          <w:p w14:paraId="0F373823"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6F7927">
              <w:rPr>
                <w:rFonts w:ascii="Arial" w:hAnsi="Arial" w:cs="Arial"/>
                <w:sz w:val="20"/>
                <w:szCs w:val="20"/>
              </w:rPr>
              <w:t>Continue report preparation.</w:t>
            </w:r>
          </w:p>
          <w:p w14:paraId="54714AB7"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B03FA3">
              <w:rPr>
                <w:rFonts w:ascii="Arial" w:hAnsi="Arial" w:cs="Arial"/>
                <w:sz w:val="20"/>
                <w:szCs w:val="20"/>
              </w:rPr>
              <w:t xml:space="preserve">One journal paper underway. </w:t>
            </w:r>
            <w:r w:rsidR="002C3D03">
              <w:rPr>
                <w:rFonts w:ascii="Arial" w:hAnsi="Arial" w:cs="Arial"/>
                <w:sz w:val="20"/>
                <w:szCs w:val="20"/>
              </w:rPr>
              <w:t>B</w:t>
            </w:r>
            <w:r w:rsidR="00B03FA3">
              <w:rPr>
                <w:rFonts w:ascii="Arial" w:hAnsi="Arial" w:cs="Arial"/>
                <w:sz w:val="20"/>
                <w:szCs w:val="20"/>
              </w:rPr>
              <w:t>egin preparation on one or two more</w:t>
            </w:r>
            <w:r w:rsidR="002C3D03">
              <w:rPr>
                <w:rFonts w:ascii="Arial" w:hAnsi="Arial" w:cs="Arial"/>
                <w:sz w:val="20"/>
                <w:szCs w:val="20"/>
              </w:rPr>
              <w:t xml:space="preserve"> journal papers</w:t>
            </w:r>
            <w:r w:rsidR="006E6FFF">
              <w:rPr>
                <w:rFonts w:ascii="Arial" w:hAnsi="Arial" w:cs="Arial"/>
                <w:sz w:val="20"/>
                <w:szCs w:val="20"/>
              </w:rPr>
              <w:t>.</w:t>
            </w:r>
          </w:p>
          <w:p w14:paraId="194C2A92" w14:textId="1EA1DB1E"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w:t>
            </w:r>
            <w:r w:rsidR="003B73C8">
              <w:rPr>
                <w:rFonts w:ascii="Arial" w:hAnsi="Arial" w:cs="Arial"/>
                <w:sz w:val="20"/>
                <w:szCs w:val="20"/>
              </w:rPr>
              <w:t xml:space="preserve"> </w:t>
            </w:r>
            <w:r w:rsidR="00F8407E">
              <w:rPr>
                <w:rFonts w:ascii="Arial" w:hAnsi="Arial" w:cs="Arial"/>
                <w:sz w:val="20"/>
                <w:szCs w:val="20"/>
              </w:rPr>
              <w:t>Consider h</w:t>
            </w:r>
            <w:r w:rsidR="003B73C8">
              <w:rPr>
                <w:rFonts w:ascii="Arial" w:hAnsi="Arial" w:cs="Arial"/>
                <w:sz w:val="20"/>
                <w:szCs w:val="20"/>
              </w:rPr>
              <w:t>old</w:t>
            </w:r>
            <w:r w:rsidR="00F8407E">
              <w:rPr>
                <w:rFonts w:ascii="Arial" w:hAnsi="Arial" w:cs="Arial"/>
                <w:sz w:val="20"/>
                <w:szCs w:val="20"/>
              </w:rPr>
              <w:t>ing</w:t>
            </w:r>
            <w:r w:rsidR="006E6FFF">
              <w:rPr>
                <w:rFonts w:ascii="Arial" w:hAnsi="Arial" w:cs="Arial"/>
                <w:sz w:val="20"/>
                <w:szCs w:val="20"/>
              </w:rPr>
              <w:t xml:space="preserve"> </w:t>
            </w:r>
            <w:r w:rsidR="00872226" w:rsidRPr="00872226">
              <w:rPr>
                <w:rFonts w:ascii="Arial" w:hAnsi="Arial" w:cs="Arial"/>
                <w:sz w:val="20"/>
                <w:szCs w:val="20"/>
              </w:rPr>
              <w:t>a</w:t>
            </w:r>
            <w:r w:rsidR="003B73C8">
              <w:rPr>
                <w:rFonts w:ascii="Arial" w:hAnsi="Arial" w:cs="Arial"/>
                <w:sz w:val="20"/>
                <w:szCs w:val="20"/>
              </w:rPr>
              <w:t xml:space="preserve"> </w:t>
            </w:r>
            <w:r w:rsidR="00872226" w:rsidRPr="00872226">
              <w:rPr>
                <w:rFonts w:ascii="Arial" w:hAnsi="Arial" w:cs="Arial"/>
                <w:sz w:val="20"/>
                <w:szCs w:val="20"/>
              </w:rPr>
              <w:t xml:space="preserve">TAC web-conference </w:t>
            </w:r>
            <w:r w:rsidR="003B73C8">
              <w:rPr>
                <w:rFonts w:ascii="Arial" w:hAnsi="Arial" w:cs="Arial"/>
                <w:sz w:val="20"/>
                <w:szCs w:val="20"/>
              </w:rPr>
              <w:t xml:space="preserve">in </w:t>
            </w:r>
            <w:r w:rsidR="00623CFE">
              <w:rPr>
                <w:rFonts w:ascii="Arial" w:hAnsi="Arial" w:cs="Arial"/>
                <w:sz w:val="20"/>
                <w:szCs w:val="20"/>
              </w:rPr>
              <w:t>August</w:t>
            </w:r>
            <w:r w:rsidR="009F5254">
              <w:rPr>
                <w:rFonts w:ascii="Arial" w:hAnsi="Arial" w:cs="Arial"/>
                <w:sz w:val="20"/>
                <w:szCs w:val="20"/>
              </w:rPr>
              <w:t>/September</w:t>
            </w:r>
            <w:r w:rsidR="004B3706">
              <w:rPr>
                <w:rFonts w:ascii="Arial" w:hAnsi="Arial" w:cs="Arial"/>
                <w:sz w:val="20"/>
                <w:szCs w:val="20"/>
              </w:rPr>
              <w:t xml:space="preserve"> </w:t>
            </w:r>
            <w:r w:rsidR="003B73C8">
              <w:rPr>
                <w:rFonts w:ascii="Arial" w:hAnsi="Arial" w:cs="Arial"/>
                <w:sz w:val="20"/>
                <w:szCs w:val="20"/>
              </w:rPr>
              <w:t xml:space="preserve">2019 </w:t>
            </w:r>
            <w:r w:rsidR="00872226" w:rsidRPr="00872226">
              <w:rPr>
                <w:rFonts w:ascii="Arial" w:hAnsi="Arial" w:cs="Arial"/>
                <w:sz w:val="20"/>
                <w:szCs w:val="20"/>
              </w:rPr>
              <w:t>to review and discuss ad</w:t>
            </w:r>
            <w:r w:rsidR="002C3D03">
              <w:rPr>
                <w:rFonts w:ascii="Arial" w:hAnsi="Arial" w:cs="Arial"/>
                <w:sz w:val="20"/>
                <w:szCs w:val="20"/>
              </w:rPr>
              <w:t>ditional results from the study</w:t>
            </w:r>
            <w:r w:rsidR="006E6FFF">
              <w:rPr>
                <w:rFonts w:ascii="Arial" w:hAnsi="Arial" w:cs="Arial"/>
                <w:sz w:val="20"/>
                <w:szCs w:val="20"/>
              </w:rPr>
              <w:t>.</w:t>
            </w:r>
          </w:p>
          <w:p w14:paraId="1A09DF95" w14:textId="77777777" w:rsidR="00B07C63" w:rsidRDefault="00B07C63" w:rsidP="00215F63">
            <w:pPr>
              <w:keepNext/>
              <w:keepLines/>
              <w:tabs>
                <w:tab w:val="left" w:pos="7567"/>
              </w:tabs>
              <w:spacing w:after="0" w:line="240" w:lineRule="auto"/>
              <w:rPr>
                <w:rFonts w:ascii="Arial" w:hAnsi="Arial" w:cs="Arial"/>
                <w:sz w:val="20"/>
                <w:szCs w:val="20"/>
              </w:rPr>
            </w:pPr>
          </w:p>
          <w:p w14:paraId="07D327FB" w14:textId="77777777" w:rsidR="00B07C63" w:rsidRDefault="00B07C63" w:rsidP="00215F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E102EA">
              <w:rPr>
                <w:rFonts w:ascii="Arial" w:hAnsi="Arial" w:cs="Arial"/>
                <w:sz w:val="20"/>
                <w:szCs w:val="20"/>
              </w:rPr>
              <w:t>No changes planned.</w:t>
            </w:r>
          </w:p>
          <w:p w14:paraId="4AB17B49" w14:textId="77777777" w:rsidR="004202CA" w:rsidRPr="0078688E" w:rsidRDefault="004202CA" w:rsidP="0014543A">
            <w:pPr>
              <w:keepNext/>
              <w:keepLines/>
              <w:tabs>
                <w:tab w:val="left" w:pos="7567"/>
              </w:tabs>
              <w:spacing w:after="0" w:line="240" w:lineRule="auto"/>
              <w:rPr>
                <w:rFonts w:ascii="Arial" w:hAnsi="Arial" w:cs="Arial"/>
                <w:sz w:val="20"/>
                <w:szCs w:val="20"/>
              </w:rPr>
            </w:pPr>
          </w:p>
        </w:tc>
      </w:tr>
    </w:tbl>
    <w:p w14:paraId="6C31581C"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9917C17" w14:textId="77777777" w:rsidTr="00360664">
        <w:tc>
          <w:tcPr>
            <w:tcW w:w="10908" w:type="dxa"/>
          </w:tcPr>
          <w:p w14:paraId="3C0E1CE3" w14:textId="77777777" w:rsidR="000C209F" w:rsidRPr="00360664" w:rsidRDefault="000C209F" w:rsidP="00360664">
            <w:pPr>
              <w:spacing w:after="0" w:line="240" w:lineRule="auto"/>
              <w:rPr>
                <w:rFonts w:ascii="Arial" w:hAnsi="Arial" w:cs="Arial"/>
                <w:b/>
                <w:sz w:val="20"/>
                <w:szCs w:val="20"/>
              </w:rPr>
            </w:pPr>
          </w:p>
          <w:p w14:paraId="04770DE8" w14:textId="77777777" w:rsidR="000C209F" w:rsidRPr="00360664" w:rsidRDefault="002B7E2E" w:rsidP="00360664">
            <w:pPr>
              <w:spacing w:after="0" w:line="240" w:lineRule="auto"/>
              <w:rPr>
                <w:rFonts w:ascii="Arial" w:hAnsi="Arial" w:cs="Arial"/>
                <w:b/>
                <w:sz w:val="20"/>
                <w:szCs w:val="20"/>
              </w:rPr>
            </w:pPr>
            <w:r w:rsidRPr="00777C1F">
              <w:rPr>
                <w:rFonts w:ascii="Arial" w:hAnsi="Arial" w:cs="Arial"/>
                <w:b/>
                <w:sz w:val="20"/>
                <w:szCs w:val="20"/>
              </w:rPr>
              <w:t>Significant Results:</w:t>
            </w:r>
          </w:p>
          <w:p w14:paraId="665D1DCC" w14:textId="77777777" w:rsidR="00F652DF" w:rsidRDefault="00F652DF" w:rsidP="00B06774">
            <w:pPr>
              <w:spacing w:after="0" w:line="240" w:lineRule="auto"/>
              <w:rPr>
                <w:rFonts w:ascii="Arial" w:hAnsi="Arial" w:cs="Arial"/>
                <w:sz w:val="20"/>
                <w:szCs w:val="20"/>
              </w:rPr>
            </w:pPr>
            <w:bookmarkStart w:id="0" w:name="_GoBack"/>
            <w:bookmarkEnd w:id="0"/>
          </w:p>
          <w:p w14:paraId="1D4D14DF" w14:textId="23FF0A72" w:rsidR="00B03FA3" w:rsidRPr="003D2891" w:rsidRDefault="003D2891" w:rsidP="00B06774">
            <w:pPr>
              <w:spacing w:after="0" w:line="240" w:lineRule="auto"/>
              <w:rPr>
                <w:rFonts w:ascii="Arial" w:hAnsi="Arial" w:cs="Arial"/>
                <w:sz w:val="20"/>
                <w:szCs w:val="20"/>
              </w:rPr>
            </w:pPr>
            <w:r>
              <w:rPr>
                <w:rFonts w:ascii="Arial" w:hAnsi="Arial" w:cs="Arial"/>
                <w:sz w:val="20"/>
                <w:szCs w:val="20"/>
              </w:rPr>
              <w:t xml:space="preserve">Assessment and vetting of the liquefaction reference parameter maps in the funding states have revealed that the developed simplified performance-based methods for the CPT did not adequately meet our target accuracy in approximating the full performance-based methods. We re-assessed the correction functions and accounted for different levels of ground motions. Doing so has significantly reduced the scatter in the simplified performance-based results and has achieved the target accuracy in approximating the performance-based methodology. </w:t>
            </w:r>
          </w:p>
          <w:p w14:paraId="312668DC" w14:textId="77777777" w:rsidR="002B7E2E" w:rsidRPr="00B06774" w:rsidRDefault="002B7E2E" w:rsidP="00B06774">
            <w:pPr>
              <w:spacing w:after="0" w:line="240" w:lineRule="auto"/>
              <w:rPr>
                <w:rFonts w:ascii="Arial" w:hAnsi="Arial" w:cs="Arial"/>
                <w:sz w:val="20"/>
                <w:szCs w:val="20"/>
              </w:rPr>
            </w:pPr>
          </w:p>
        </w:tc>
      </w:tr>
      <w:tr w:rsidR="000C209F" w:rsidRPr="00360664" w14:paraId="4E70881F" w14:textId="77777777" w:rsidTr="00360664">
        <w:tc>
          <w:tcPr>
            <w:tcW w:w="10908" w:type="dxa"/>
          </w:tcPr>
          <w:p w14:paraId="4D5252B9" w14:textId="77777777" w:rsidR="000C209F" w:rsidRPr="00360664" w:rsidRDefault="000C209F" w:rsidP="00360664">
            <w:pPr>
              <w:spacing w:after="0" w:line="240" w:lineRule="auto"/>
              <w:rPr>
                <w:rFonts w:ascii="Arial" w:hAnsi="Arial" w:cs="Arial"/>
                <w:b/>
                <w:sz w:val="20"/>
                <w:szCs w:val="20"/>
              </w:rPr>
            </w:pPr>
          </w:p>
          <w:p w14:paraId="6A3C7146"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2BD2841D"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14:paraId="462325C6"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4D6D0395" w14:textId="77777777" w:rsidR="000C209F" w:rsidRDefault="000C209F" w:rsidP="00360664">
            <w:pPr>
              <w:spacing w:after="0" w:line="240" w:lineRule="auto"/>
              <w:rPr>
                <w:rFonts w:ascii="Arial" w:hAnsi="Arial" w:cs="Arial"/>
                <w:sz w:val="20"/>
                <w:szCs w:val="20"/>
              </w:rPr>
            </w:pPr>
          </w:p>
          <w:p w14:paraId="6A2F3F1F" w14:textId="0A407023" w:rsidR="009E072C" w:rsidRDefault="001B3CDB" w:rsidP="006C2158">
            <w:pPr>
              <w:spacing w:after="0" w:line="240" w:lineRule="auto"/>
              <w:rPr>
                <w:rFonts w:ascii="Arial" w:hAnsi="Arial" w:cs="Arial"/>
                <w:sz w:val="20"/>
                <w:szCs w:val="20"/>
              </w:rPr>
            </w:pPr>
            <w:r>
              <w:rPr>
                <w:rFonts w:ascii="Arial" w:hAnsi="Arial" w:cs="Arial"/>
                <w:sz w:val="20"/>
                <w:szCs w:val="20"/>
              </w:rPr>
              <w:t>Unanticipated bias in the simplifie</w:t>
            </w:r>
            <w:r w:rsidR="002F421F">
              <w:rPr>
                <w:rFonts w:ascii="Arial" w:hAnsi="Arial" w:cs="Arial"/>
                <w:sz w:val="20"/>
                <w:szCs w:val="20"/>
              </w:rPr>
              <w:t>d performance-based results was</w:t>
            </w:r>
            <w:r>
              <w:rPr>
                <w:rFonts w:ascii="Arial" w:hAnsi="Arial" w:cs="Arial"/>
                <w:sz w:val="20"/>
                <w:szCs w:val="20"/>
              </w:rPr>
              <w:t xml:space="preserve"> observed when using the Boulanger and </w:t>
            </w:r>
            <w:proofErr w:type="spellStart"/>
            <w:r>
              <w:rPr>
                <w:rFonts w:ascii="Arial" w:hAnsi="Arial" w:cs="Arial"/>
                <w:sz w:val="20"/>
                <w:szCs w:val="20"/>
              </w:rPr>
              <w:t>Idriss</w:t>
            </w:r>
            <w:proofErr w:type="spellEnd"/>
            <w:r>
              <w:rPr>
                <w:rFonts w:ascii="Arial" w:hAnsi="Arial" w:cs="Arial"/>
                <w:sz w:val="20"/>
                <w:szCs w:val="20"/>
              </w:rPr>
              <w:t xml:space="preserve"> (2014) triggering model. We wanted to understand the source of this non-linearity and its limitations. We discovered that it relates to the magnitude scaling factor (MSF) recommended by Boulanger and </w:t>
            </w:r>
            <w:proofErr w:type="spellStart"/>
            <w:r>
              <w:rPr>
                <w:rFonts w:ascii="Arial" w:hAnsi="Arial" w:cs="Arial"/>
                <w:sz w:val="20"/>
                <w:szCs w:val="20"/>
              </w:rPr>
              <w:t>Idriss</w:t>
            </w:r>
            <w:proofErr w:type="spellEnd"/>
            <w:r>
              <w:rPr>
                <w:rFonts w:ascii="Arial" w:hAnsi="Arial" w:cs="Arial"/>
                <w:sz w:val="20"/>
                <w:szCs w:val="20"/>
              </w:rPr>
              <w:t xml:space="preserve"> (2014). To remove the bias, correction functions incorporating mean magnitude were developed and tested. </w:t>
            </w:r>
            <w:r w:rsidR="00871AD8">
              <w:rPr>
                <w:rFonts w:ascii="Arial" w:hAnsi="Arial" w:cs="Arial"/>
                <w:sz w:val="20"/>
                <w:szCs w:val="20"/>
              </w:rPr>
              <w:t>This projec</w:t>
            </w:r>
            <w:r w:rsidR="00167625">
              <w:rPr>
                <w:rFonts w:ascii="Arial" w:hAnsi="Arial" w:cs="Arial"/>
                <w:sz w:val="20"/>
                <w:szCs w:val="20"/>
              </w:rPr>
              <w:t xml:space="preserve">t has also been affected by several </w:t>
            </w:r>
            <w:r w:rsidR="00871AD8">
              <w:rPr>
                <w:rFonts w:ascii="Arial" w:hAnsi="Arial" w:cs="Arial"/>
                <w:sz w:val="20"/>
                <w:szCs w:val="20"/>
              </w:rPr>
              <w:t>delay</w:t>
            </w:r>
            <w:r w:rsidR="00167625">
              <w:rPr>
                <w:rFonts w:ascii="Arial" w:hAnsi="Arial" w:cs="Arial"/>
                <w:sz w:val="20"/>
                <w:szCs w:val="20"/>
              </w:rPr>
              <w:t>s</w:t>
            </w:r>
            <w:r w:rsidR="00871AD8">
              <w:rPr>
                <w:rFonts w:ascii="Arial" w:hAnsi="Arial" w:cs="Arial"/>
                <w:sz w:val="20"/>
                <w:szCs w:val="20"/>
              </w:rPr>
              <w:t xml:space="preserve"> in the availability </w:t>
            </w:r>
            <w:r w:rsidR="00167625">
              <w:rPr>
                <w:rFonts w:ascii="Arial" w:hAnsi="Arial" w:cs="Arial"/>
                <w:sz w:val="20"/>
                <w:szCs w:val="20"/>
              </w:rPr>
              <w:t xml:space="preserve">and the functionality </w:t>
            </w:r>
            <w:r w:rsidR="00871AD8">
              <w:rPr>
                <w:rFonts w:ascii="Arial" w:hAnsi="Arial" w:cs="Arial"/>
                <w:sz w:val="20"/>
                <w:szCs w:val="20"/>
              </w:rPr>
              <w:t>of the new USGS Uniform Hazard Tool used</w:t>
            </w:r>
            <w:r w:rsidR="00931C40">
              <w:rPr>
                <w:rFonts w:ascii="Arial" w:hAnsi="Arial" w:cs="Arial"/>
                <w:sz w:val="20"/>
                <w:szCs w:val="20"/>
              </w:rPr>
              <w:t xml:space="preserve"> to obtain deaggregation values, thus the change in contract end date.</w:t>
            </w:r>
            <w:r w:rsidR="006A5F4C">
              <w:rPr>
                <w:rFonts w:ascii="Arial" w:hAnsi="Arial" w:cs="Arial"/>
                <w:sz w:val="20"/>
                <w:szCs w:val="20"/>
              </w:rPr>
              <w:t xml:space="preserve">  Now that </w:t>
            </w:r>
            <w:r w:rsidR="00FB0CF3">
              <w:rPr>
                <w:rFonts w:ascii="Arial" w:hAnsi="Arial" w:cs="Arial"/>
                <w:sz w:val="20"/>
                <w:szCs w:val="20"/>
              </w:rPr>
              <w:t xml:space="preserve">the tool </w:t>
            </w:r>
            <w:r w:rsidR="006A5F4C">
              <w:rPr>
                <w:rFonts w:ascii="Arial" w:hAnsi="Arial" w:cs="Arial"/>
                <w:sz w:val="20"/>
                <w:szCs w:val="20"/>
              </w:rPr>
              <w:t>is available, the study is progressing at a good pace.</w:t>
            </w:r>
            <w:r w:rsidR="001C4117">
              <w:rPr>
                <w:rFonts w:ascii="Arial" w:hAnsi="Arial" w:cs="Arial"/>
                <w:sz w:val="20"/>
                <w:szCs w:val="20"/>
              </w:rPr>
              <w:t xml:space="preserve"> </w:t>
            </w:r>
            <w:r w:rsidR="00AA1C3F">
              <w:rPr>
                <w:rFonts w:ascii="Arial" w:hAnsi="Arial" w:cs="Arial"/>
                <w:sz w:val="20"/>
                <w:szCs w:val="20"/>
              </w:rPr>
              <w:t xml:space="preserve"> </w:t>
            </w:r>
            <w:r w:rsidR="00167625">
              <w:rPr>
                <w:rFonts w:ascii="Arial" w:hAnsi="Arial" w:cs="Arial"/>
                <w:sz w:val="20"/>
                <w:szCs w:val="20"/>
              </w:rPr>
              <w:t xml:space="preserve">However, we discovered a bug in our analysis towards the end of January 2018 in the USGS offline deaggregation tool which required attention from the USGS to fix. We have received word that the bug is fixed, and we are in the process of modifying CPTLiquefY to be able to process the new USGS deaggregation output files. </w:t>
            </w:r>
            <w:r>
              <w:rPr>
                <w:rFonts w:ascii="Arial" w:hAnsi="Arial" w:cs="Arial"/>
                <w:sz w:val="20"/>
                <w:szCs w:val="20"/>
              </w:rPr>
              <w:t>Finally</w:t>
            </w:r>
            <w:r w:rsidR="006C2158">
              <w:rPr>
                <w:rFonts w:ascii="Arial" w:hAnsi="Arial" w:cs="Arial"/>
                <w:sz w:val="20"/>
                <w:szCs w:val="20"/>
              </w:rPr>
              <w:t xml:space="preserve">, one </w:t>
            </w:r>
            <w:r w:rsidR="006C2158" w:rsidRPr="006C2158">
              <w:rPr>
                <w:rFonts w:ascii="Arial" w:hAnsi="Arial" w:cs="Arial"/>
                <w:sz w:val="20"/>
                <w:szCs w:val="20"/>
              </w:rPr>
              <w:t xml:space="preserve">of </w:t>
            </w:r>
            <w:r w:rsidR="006C2158">
              <w:rPr>
                <w:rFonts w:ascii="Arial" w:hAnsi="Arial" w:cs="Arial"/>
                <w:sz w:val="20"/>
                <w:szCs w:val="20"/>
              </w:rPr>
              <w:t>the BYU</w:t>
            </w:r>
            <w:r w:rsidR="006C2158" w:rsidRPr="006C2158">
              <w:rPr>
                <w:rFonts w:ascii="Arial" w:hAnsi="Arial" w:cs="Arial"/>
                <w:sz w:val="20"/>
                <w:szCs w:val="20"/>
              </w:rPr>
              <w:t xml:space="preserve"> </w:t>
            </w:r>
            <w:r w:rsidR="00A039AC">
              <w:rPr>
                <w:rFonts w:ascii="Arial" w:hAnsi="Arial" w:cs="Arial"/>
                <w:sz w:val="20"/>
                <w:szCs w:val="20"/>
              </w:rPr>
              <w:t xml:space="preserve">graduate </w:t>
            </w:r>
            <w:r w:rsidR="006C2158" w:rsidRPr="006C2158">
              <w:rPr>
                <w:rFonts w:ascii="Arial" w:hAnsi="Arial" w:cs="Arial"/>
                <w:sz w:val="20"/>
                <w:szCs w:val="20"/>
              </w:rPr>
              <w:t xml:space="preserve">students on this project has </w:t>
            </w:r>
            <w:r w:rsidR="006C2158">
              <w:rPr>
                <w:rFonts w:ascii="Arial" w:hAnsi="Arial" w:cs="Arial"/>
                <w:sz w:val="20"/>
                <w:szCs w:val="20"/>
              </w:rPr>
              <w:t xml:space="preserve">had </w:t>
            </w:r>
            <w:r w:rsidR="006C2158" w:rsidRPr="006C2158">
              <w:rPr>
                <w:rFonts w:ascii="Arial" w:hAnsi="Arial" w:cs="Arial"/>
                <w:sz w:val="20"/>
                <w:szCs w:val="20"/>
              </w:rPr>
              <w:t xml:space="preserve">some health issues, and this has </w:t>
            </w:r>
            <w:r>
              <w:rPr>
                <w:rFonts w:ascii="Arial" w:hAnsi="Arial" w:cs="Arial"/>
                <w:sz w:val="20"/>
                <w:szCs w:val="20"/>
              </w:rPr>
              <w:t xml:space="preserve">substantially </w:t>
            </w:r>
            <w:r w:rsidR="006C2158" w:rsidRPr="006C2158">
              <w:rPr>
                <w:rFonts w:ascii="Arial" w:hAnsi="Arial" w:cs="Arial"/>
                <w:sz w:val="20"/>
                <w:szCs w:val="20"/>
              </w:rPr>
              <w:t xml:space="preserve">slowed down </w:t>
            </w:r>
            <w:r w:rsidR="006C2158">
              <w:rPr>
                <w:rFonts w:ascii="Arial" w:hAnsi="Arial" w:cs="Arial"/>
                <w:sz w:val="20"/>
                <w:szCs w:val="20"/>
              </w:rPr>
              <w:t xml:space="preserve">our </w:t>
            </w:r>
            <w:r w:rsidR="006C2158" w:rsidRPr="006C2158">
              <w:rPr>
                <w:rFonts w:ascii="Arial" w:hAnsi="Arial" w:cs="Arial"/>
                <w:sz w:val="20"/>
                <w:szCs w:val="20"/>
              </w:rPr>
              <w:t>progr</w:t>
            </w:r>
            <w:r w:rsidR="00A039AC">
              <w:rPr>
                <w:rFonts w:ascii="Arial" w:hAnsi="Arial" w:cs="Arial"/>
                <w:sz w:val="20"/>
                <w:szCs w:val="20"/>
              </w:rPr>
              <w:t>ess on the project. However, the other graduate student assigned to this project is working hard to make up for lost time, and overall, we</w:t>
            </w:r>
            <w:r w:rsidR="006C2158" w:rsidRPr="006C2158">
              <w:rPr>
                <w:rFonts w:ascii="Arial" w:hAnsi="Arial" w:cs="Arial"/>
                <w:sz w:val="20"/>
                <w:szCs w:val="20"/>
              </w:rPr>
              <w:t xml:space="preserve"> are seeing great results with the CPT liquefaction assessment method.</w:t>
            </w:r>
          </w:p>
          <w:p w14:paraId="651AB572" w14:textId="4CAFC23C" w:rsidR="003D2891" w:rsidRDefault="003D2891" w:rsidP="006C2158">
            <w:pPr>
              <w:spacing w:after="0" w:line="240" w:lineRule="auto"/>
              <w:rPr>
                <w:rFonts w:ascii="Arial" w:hAnsi="Arial" w:cs="Arial"/>
                <w:sz w:val="20"/>
                <w:szCs w:val="20"/>
              </w:rPr>
            </w:pPr>
          </w:p>
          <w:p w14:paraId="0DBB6040" w14:textId="6EEF93CC" w:rsidR="003D2891" w:rsidRDefault="003D2891" w:rsidP="006C2158">
            <w:pPr>
              <w:spacing w:after="0" w:line="240" w:lineRule="auto"/>
              <w:rPr>
                <w:rFonts w:ascii="Arial" w:hAnsi="Arial" w:cs="Arial"/>
                <w:sz w:val="20"/>
                <w:szCs w:val="20"/>
              </w:rPr>
            </w:pPr>
            <w:r>
              <w:rPr>
                <w:rFonts w:ascii="Arial" w:hAnsi="Arial" w:cs="Arial"/>
                <w:sz w:val="20"/>
                <w:szCs w:val="20"/>
              </w:rPr>
              <w:t xml:space="preserve">During summer 2019, we identified that the simplified performance-based correction functions originally developed did not adequately meet the accuracy requirements for the full performance-based methods in the funding states when tested. We re-formulated the correction functions for triggering, settlement, and lateral spread displacement to account for different levels of ground motions. Doing so has significantly reduced the scatter in the simplified performance-based results and increased the accuracy of the methodology. </w:t>
            </w:r>
          </w:p>
          <w:p w14:paraId="319579DB" w14:textId="77777777" w:rsidR="006C2158" w:rsidRPr="006C2158" w:rsidRDefault="006C2158" w:rsidP="006C2158">
            <w:pPr>
              <w:spacing w:after="0" w:line="240" w:lineRule="auto"/>
              <w:rPr>
                <w:rFonts w:ascii="Arial" w:hAnsi="Arial" w:cs="Arial"/>
                <w:sz w:val="20"/>
                <w:szCs w:val="20"/>
              </w:rPr>
            </w:pPr>
          </w:p>
        </w:tc>
      </w:tr>
    </w:tbl>
    <w:p w14:paraId="4E22E4A1"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3D5F4C4" w14:textId="77777777" w:rsidTr="00360664">
        <w:tc>
          <w:tcPr>
            <w:tcW w:w="10908" w:type="dxa"/>
          </w:tcPr>
          <w:p w14:paraId="2BA9C663" w14:textId="77777777" w:rsidR="000C209F" w:rsidRPr="00360664" w:rsidRDefault="000C209F" w:rsidP="00360664">
            <w:pPr>
              <w:spacing w:after="0" w:line="240" w:lineRule="auto"/>
              <w:rPr>
                <w:rFonts w:ascii="Arial" w:hAnsi="Arial" w:cs="Arial"/>
                <w:sz w:val="20"/>
                <w:szCs w:val="20"/>
              </w:rPr>
            </w:pPr>
          </w:p>
          <w:p w14:paraId="2B2C8BE6"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6FFB86A" w14:textId="77777777" w:rsidR="000C209F" w:rsidRDefault="000C209F" w:rsidP="00360664">
            <w:pPr>
              <w:spacing w:after="0" w:line="240" w:lineRule="auto"/>
              <w:rPr>
                <w:rFonts w:ascii="Arial" w:hAnsi="Arial" w:cs="Arial"/>
                <w:sz w:val="20"/>
                <w:szCs w:val="20"/>
              </w:rPr>
            </w:pPr>
          </w:p>
          <w:p w14:paraId="7B52ADBF" w14:textId="77777777" w:rsidR="00344E45" w:rsidRDefault="00913492" w:rsidP="00360664">
            <w:pPr>
              <w:spacing w:after="0" w:line="240" w:lineRule="auto"/>
              <w:rPr>
                <w:rFonts w:ascii="Arial" w:hAnsi="Arial" w:cs="Arial"/>
                <w:sz w:val="20"/>
                <w:szCs w:val="20"/>
              </w:rPr>
            </w:pPr>
            <w:r>
              <w:rPr>
                <w:rFonts w:ascii="Arial" w:hAnsi="Arial" w:cs="Arial"/>
                <w:sz w:val="20"/>
                <w:szCs w:val="20"/>
              </w:rPr>
              <w:t xml:space="preserve">While CPTLiquefY could be implemented in design, it is not recommended because it was developed to serve as a research tool. </w:t>
            </w:r>
            <w:r w:rsidR="00AA1C3F">
              <w:rPr>
                <w:rFonts w:ascii="Arial" w:hAnsi="Arial" w:cs="Arial"/>
                <w:sz w:val="20"/>
                <w:szCs w:val="20"/>
              </w:rPr>
              <w:t>A simplified spreadsheet</w:t>
            </w:r>
            <w:r>
              <w:rPr>
                <w:rFonts w:ascii="Arial" w:hAnsi="Arial" w:cs="Arial"/>
                <w:sz w:val="20"/>
                <w:szCs w:val="20"/>
              </w:rPr>
              <w:t xml:space="preserve"> will be developed as part of the research later in the study, and will be useful for practical implementation of the performance-based methods in engineering practice.</w:t>
            </w:r>
            <w:r w:rsidR="00AA1C3F">
              <w:rPr>
                <w:rFonts w:ascii="Arial" w:hAnsi="Arial" w:cs="Arial"/>
                <w:sz w:val="20"/>
                <w:szCs w:val="20"/>
              </w:rPr>
              <w:t xml:space="preserve"> The procedures that are currently being developed will be those that will be implemented in this spreadsheet. </w:t>
            </w:r>
          </w:p>
          <w:p w14:paraId="2DE0602A" w14:textId="77777777" w:rsidR="00907579" w:rsidRPr="00360664" w:rsidRDefault="00907579" w:rsidP="00344E45">
            <w:pPr>
              <w:spacing w:after="0" w:line="240" w:lineRule="auto"/>
              <w:rPr>
                <w:rFonts w:ascii="Arial" w:hAnsi="Arial" w:cs="Arial"/>
                <w:sz w:val="20"/>
                <w:szCs w:val="20"/>
              </w:rPr>
            </w:pPr>
          </w:p>
        </w:tc>
      </w:tr>
    </w:tbl>
    <w:p w14:paraId="121BBDF3"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3CB9B" w14:textId="77777777" w:rsidR="003F3DA9" w:rsidRDefault="003F3DA9" w:rsidP="00106C83">
      <w:pPr>
        <w:spacing w:after="0" w:line="240" w:lineRule="auto"/>
      </w:pPr>
      <w:r>
        <w:separator/>
      </w:r>
    </w:p>
  </w:endnote>
  <w:endnote w:type="continuationSeparator" w:id="0">
    <w:p w14:paraId="1ED40658" w14:textId="77777777" w:rsidR="003F3DA9" w:rsidRDefault="003F3DA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694A8" w14:textId="77777777" w:rsidR="007F005D" w:rsidRDefault="007F005D" w:rsidP="00E371D1">
    <w:pPr>
      <w:pStyle w:val="Footer"/>
      <w:ind w:left="-810"/>
    </w:pPr>
    <w:r>
      <w:t>TPF Program Standard Quarterly Reporting Format – 7/2011</w:t>
    </w:r>
  </w:p>
  <w:p w14:paraId="4741DBF4" w14:textId="77777777" w:rsidR="007F005D" w:rsidRDefault="007F0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C462F" w14:textId="77777777" w:rsidR="003F3DA9" w:rsidRDefault="003F3DA9" w:rsidP="00106C83">
      <w:pPr>
        <w:spacing w:after="0" w:line="240" w:lineRule="auto"/>
      </w:pPr>
      <w:r>
        <w:separator/>
      </w:r>
    </w:p>
  </w:footnote>
  <w:footnote w:type="continuationSeparator" w:id="0">
    <w:p w14:paraId="41006A4C" w14:textId="77777777" w:rsidR="003F3DA9" w:rsidRDefault="003F3DA9"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16052"/>
    <w:rsid w:val="00020513"/>
    <w:rsid w:val="00021A3F"/>
    <w:rsid w:val="00021E18"/>
    <w:rsid w:val="000238AB"/>
    <w:rsid w:val="00026EAC"/>
    <w:rsid w:val="00027840"/>
    <w:rsid w:val="000305F4"/>
    <w:rsid w:val="0003260A"/>
    <w:rsid w:val="000335CC"/>
    <w:rsid w:val="000342EB"/>
    <w:rsid w:val="00035DAD"/>
    <w:rsid w:val="00037FBC"/>
    <w:rsid w:val="00040795"/>
    <w:rsid w:val="000452C8"/>
    <w:rsid w:val="00045C7E"/>
    <w:rsid w:val="00046DCA"/>
    <w:rsid w:val="000548E7"/>
    <w:rsid w:val="000556F2"/>
    <w:rsid w:val="00056D98"/>
    <w:rsid w:val="00060908"/>
    <w:rsid w:val="00060DDA"/>
    <w:rsid w:val="00061A91"/>
    <w:rsid w:val="00062274"/>
    <w:rsid w:val="000632E0"/>
    <w:rsid w:val="0006342D"/>
    <w:rsid w:val="00064DBC"/>
    <w:rsid w:val="00065B11"/>
    <w:rsid w:val="00066AB8"/>
    <w:rsid w:val="00067968"/>
    <w:rsid w:val="00071797"/>
    <w:rsid w:val="000736BB"/>
    <w:rsid w:val="00074656"/>
    <w:rsid w:val="0007547B"/>
    <w:rsid w:val="00076AD6"/>
    <w:rsid w:val="0008172C"/>
    <w:rsid w:val="00085456"/>
    <w:rsid w:val="00086047"/>
    <w:rsid w:val="0008637E"/>
    <w:rsid w:val="00087DC0"/>
    <w:rsid w:val="000937EA"/>
    <w:rsid w:val="000957A8"/>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463D"/>
    <w:rsid w:val="000D6962"/>
    <w:rsid w:val="000E112D"/>
    <w:rsid w:val="000E189F"/>
    <w:rsid w:val="000E1C3A"/>
    <w:rsid w:val="000F489B"/>
    <w:rsid w:val="000F615B"/>
    <w:rsid w:val="000F73AD"/>
    <w:rsid w:val="000F752B"/>
    <w:rsid w:val="000F7DCA"/>
    <w:rsid w:val="001028A5"/>
    <w:rsid w:val="00103835"/>
    <w:rsid w:val="00106C83"/>
    <w:rsid w:val="001147C8"/>
    <w:rsid w:val="00114A2D"/>
    <w:rsid w:val="001151DF"/>
    <w:rsid w:val="00121037"/>
    <w:rsid w:val="00122CE0"/>
    <w:rsid w:val="00122DE0"/>
    <w:rsid w:val="00127D97"/>
    <w:rsid w:val="001336E7"/>
    <w:rsid w:val="00134EE1"/>
    <w:rsid w:val="001428DF"/>
    <w:rsid w:val="001429F4"/>
    <w:rsid w:val="00142FD2"/>
    <w:rsid w:val="0014543A"/>
    <w:rsid w:val="001536F4"/>
    <w:rsid w:val="00154785"/>
    <w:rsid w:val="00154791"/>
    <w:rsid w:val="001547D0"/>
    <w:rsid w:val="00161153"/>
    <w:rsid w:val="00164E36"/>
    <w:rsid w:val="00165AF3"/>
    <w:rsid w:val="00167625"/>
    <w:rsid w:val="001704B0"/>
    <w:rsid w:val="001729B6"/>
    <w:rsid w:val="00174FA3"/>
    <w:rsid w:val="00176B22"/>
    <w:rsid w:val="00181F8B"/>
    <w:rsid w:val="0018433C"/>
    <w:rsid w:val="00184959"/>
    <w:rsid w:val="00186107"/>
    <w:rsid w:val="00186B05"/>
    <w:rsid w:val="00190459"/>
    <w:rsid w:val="001918E8"/>
    <w:rsid w:val="00191F1F"/>
    <w:rsid w:val="00194CD6"/>
    <w:rsid w:val="00197E96"/>
    <w:rsid w:val="001A1210"/>
    <w:rsid w:val="001A25A1"/>
    <w:rsid w:val="001A2E6F"/>
    <w:rsid w:val="001A3095"/>
    <w:rsid w:val="001A3467"/>
    <w:rsid w:val="001A46FD"/>
    <w:rsid w:val="001A49D9"/>
    <w:rsid w:val="001A7398"/>
    <w:rsid w:val="001B384F"/>
    <w:rsid w:val="001B3CDB"/>
    <w:rsid w:val="001C03A1"/>
    <w:rsid w:val="001C0A2C"/>
    <w:rsid w:val="001C0E72"/>
    <w:rsid w:val="001C1DDE"/>
    <w:rsid w:val="001C1E3F"/>
    <w:rsid w:val="001C4117"/>
    <w:rsid w:val="001C6EFD"/>
    <w:rsid w:val="001C7724"/>
    <w:rsid w:val="001D1DB8"/>
    <w:rsid w:val="001D2FB4"/>
    <w:rsid w:val="001D763A"/>
    <w:rsid w:val="001D77C2"/>
    <w:rsid w:val="001D7F6C"/>
    <w:rsid w:val="001E21D0"/>
    <w:rsid w:val="001E7777"/>
    <w:rsid w:val="001F10B5"/>
    <w:rsid w:val="001F1101"/>
    <w:rsid w:val="001F3C02"/>
    <w:rsid w:val="001F7414"/>
    <w:rsid w:val="00202788"/>
    <w:rsid w:val="002028BE"/>
    <w:rsid w:val="00205F86"/>
    <w:rsid w:val="0020636B"/>
    <w:rsid w:val="0021446D"/>
    <w:rsid w:val="00214FE9"/>
    <w:rsid w:val="00215F63"/>
    <w:rsid w:val="00217F53"/>
    <w:rsid w:val="0022101B"/>
    <w:rsid w:val="00221214"/>
    <w:rsid w:val="00225004"/>
    <w:rsid w:val="0023315F"/>
    <w:rsid w:val="00234D0B"/>
    <w:rsid w:val="00236961"/>
    <w:rsid w:val="00236E81"/>
    <w:rsid w:val="00237469"/>
    <w:rsid w:val="00240A8E"/>
    <w:rsid w:val="002416F6"/>
    <w:rsid w:val="00243027"/>
    <w:rsid w:val="00243FCC"/>
    <w:rsid w:val="002442E9"/>
    <w:rsid w:val="00245D5B"/>
    <w:rsid w:val="0025100B"/>
    <w:rsid w:val="0025205E"/>
    <w:rsid w:val="002571EA"/>
    <w:rsid w:val="002661B7"/>
    <w:rsid w:val="00271658"/>
    <w:rsid w:val="00272964"/>
    <w:rsid w:val="002742C3"/>
    <w:rsid w:val="002752EA"/>
    <w:rsid w:val="00276274"/>
    <w:rsid w:val="002765D0"/>
    <w:rsid w:val="00281C9D"/>
    <w:rsid w:val="00281E8E"/>
    <w:rsid w:val="00282D1B"/>
    <w:rsid w:val="00285DA3"/>
    <w:rsid w:val="00287437"/>
    <w:rsid w:val="00291F1C"/>
    <w:rsid w:val="0029327C"/>
    <w:rsid w:val="002936D0"/>
    <w:rsid w:val="00293FD8"/>
    <w:rsid w:val="002A0D13"/>
    <w:rsid w:val="002A0E0A"/>
    <w:rsid w:val="002A61A3"/>
    <w:rsid w:val="002A79C8"/>
    <w:rsid w:val="002B1447"/>
    <w:rsid w:val="002B31FF"/>
    <w:rsid w:val="002B45B0"/>
    <w:rsid w:val="002B56F3"/>
    <w:rsid w:val="002B708D"/>
    <w:rsid w:val="002B7515"/>
    <w:rsid w:val="002B7E2E"/>
    <w:rsid w:val="002C2F72"/>
    <w:rsid w:val="002C3D03"/>
    <w:rsid w:val="002C4321"/>
    <w:rsid w:val="002C6E75"/>
    <w:rsid w:val="002D0754"/>
    <w:rsid w:val="002D0D07"/>
    <w:rsid w:val="002D353E"/>
    <w:rsid w:val="002D60CF"/>
    <w:rsid w:val="002D6EA4"/>
    <w:rsid w:val="002D74C2"/>
    <w:rsid w:val="002E3204"/>
    <w:rsid w:val="002E3814"/>
    <w:rsid w:val="002E38C3"/>
    <w:rsid w:val="002E5C07"/>
    <w:rsid w:val="002E714C"/>
    <w:rsid w:val="002F3D8F"/>
    <w:rsid w:val="002F421F"/>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612B"/>
    <w:rsid w:val="00326702"/>
    <w:rsid w:val="00327AC3"/>
    <w:rsid w:val="003309F2"/>
    <w:rsid w:val="00332429"/>
    <w:rsid w:val="0033444C"/>
    <w:rsid w:val="00335212"/>
    <w:rsid w:val="003359D7"/>
    <w:rsid w:val="003372CD"/>
    <w:rsid w:val="00337E98"/>
    <w:rsid w:val="00340B50"/>
    <w:rsid w:val="00341D76"/>
    <w:rsid w:val="003442D7"/>
    <w:rsid w:val="00344A2C"/>
    <w:rsid w:val="00344E45"/>
    <w:rsid w:val="00346691"/>
    <w:rsid w:val="00355840"/>
    <w:rsid w:val="00357BC4"/>
    <w:rsid w:val="00360664"/>
    <w:rsid w:val="00362F45"/>
    <w:rsid w:val="003630A0"/>
    <w:rsid w:val="003634EC"/>
    <w:rsid w:val="00365EDB"/>
    <w:rsid w:val="00366877"/>
    <w:rsid w:val="003712E1"/>
    <w:rsid w:val="0037345C"/>
    <w:rsid w:val="003739F6"/>
    <w:rsid w:val="00374D25"/>
    <w:rsid w:val="0037649F"/>
    <w:rsid w:val="00382110"/>
    <w:rsid w:val="00384F02"/>
    <w:rsid w:val="0038529F"/>
    <w:rsid w:val="003859E2"/>
    <w:rsid w:val="00385AFF"/>
    <w:rsid w:val="00385EE7"/>
    <w:rsid w:val="00386FBE"/>
    <w:rsid w:val="0038705A"/>
    <w:rsid w:val="00395A48"/>
    <w:rsid w:val="003979BD"/>
    <w:rsid w:val="003B2236"/>
    <w:rsid w:val="003B3175"/>
    <w:rsid w:val="003B3781"/>
    <w:rsid w:val="003B4554"/>
    <w:rsid w:val="003B7379"/>
    <w:rsid w:val="003B73C8"/>
    <w:rsid w:val="003B7740"/>
    <w:rsid w:val="003C239E"/>
    <w:rsid w:val="003C2C2A"/>
    <w:rsid w:val="003C2CCC"/>
    <w:rsid w:val="003C6C9E"/>
    <w:rsid w:val="003D1430"/>
    <w:rsid w:val="003D2891"/>
    <w:rsid w:val="003D3FC8"/>
    <w:rsid w:val="003D6A0B"/>
    <w:rsid w:val="003E0A8C"/>
    <w:rsid w:val="003E1EF8"/>
    <w:rsid w:val="003E43F0"/>
    <w:rsid w:val="003E4DE4"/>
    <w:rsid w:val="003E5DCB"/>
    <w:rsid w:val="003F3562"/>
    <w:rsid w:val="003F381B"/>
    <w:rsid w:val="003F3DA9"/>
    <w:rsid w:val="003F462A"/>
    <w:rsid w:val="00401351"/>
    <w:rsid w:val="004046FE"/>
    <w:rsid w:val="00406380"/>
    <w:rsid w:val="00407984"/>
    <w:rsid w:val="00411DFA"/>
    <w:rsid w:val="004129B0"/>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76BB"/>
    <w:rsid w:val="00447F77"/>
    <w:rsid w:val="004519D7"/>
    <w:rsid w:val="0045218A"/>
    <w:rsid w:val="00452515"/>
    <w:rsid w:val="00455A67"/>
    <w:rsid w:val="0046217B"/>
    <w:rsid w:val="00463EA1"/>
    <w:rsid w:val="004717D8"/>
    <w:rsid w:val="00471E00"/>
    <w:rsid w:val="00474EBA"/>
    <w:rsid w:val="00475B6A"/>
    <w:rsid w:val="00476BA3"/>
    <w:rsid w:val="00480AC3"/>
    <w:rsid w:val="004828D8"/>
    <w:rsid w:val="004846CC"/>
    <w:rsid w:val="0048471D"/>
    <w:rsid w:val="004868B9"/>
    <w:rsid w:val="004913CE"/>
    <w:rsid w:val="00492C17"/>
    <w:rsid w:val="004974AD"/>
    <w:rsid w:val="004974E1"/>
    <w:rsid w:val="004A3ABB"/>
    <w:rsid w:val="004A5173"/>
    <w:rsid w:val="004A5230"/>
    <w:rsid w:val="004B003D"/>
    <w:rsid w:val="004B3706"/>
    <w:rsid w:val="004B3E34"/>
    <w:rsid w:val="004B63B0"/>
    <w:rsid w:val="004D1BEB"/>
    <w:rsid w:val="004D2B8A"/>
    <w:rsid w:val="004D377B"/>
    <w:rsid w:val="004D59DA"/>
    <w:rsid w:val="004D5EEE"/>
    <w:rsid w:val="004D6151"/>
    <w:rsid w:val="004D6DF5"/>
    <w:rsid w:val="004E14DC"/>
    <w:rsid w:val="004E1A24"/>
    <w:rsid w:val="004E4852"/>
    <w:rsid w:val="004E4A6C"/>
    <w:rsid w:val="004E6402"/>
    <w:rsid w:val="004E771A"/>
    <w:rsid w:val="004F173B"/>
    <w:rsid w:val="004F586D"/>
    <w:rsid w:val="00501478"/>
    <w:rsid w:val="005030A0"/>
    <w:rsid w:val="00503310"/>
    <w:rsid w:val="00504F10"/>
    <w:rsid w:val="005066DA"/>
    <w:rsid w:val="00506FC6"/>
    <w:rsid w:val="005077FE"/>
    <w:rsid w:val="00511F24"/>
    <w:rsid w:val="00511FD0"/>
    <w:rsid w:val="00512783"/>
    <w:rsid w:val="005130F7"/>
    <w:rsid w:val="005135ED"/>
    <w:rsid w:val="00514D87"/>
    <w:rsid w:val="00517E74"/>
    <w:rsid w:val="00520070"/>
    <w:rsid w:val="00520D9B"/>
    <w:rsid w:val="00526BB3"/>
    <w:rsid w:val="00530F44"/>
    <w:rsid w:val="00532264"/>
    <w:rsid w:val="00533DC2"/>
    <w:rsid w:val="005342A2"/>
    <w:rsid w:val="00534F97"/>
    <w:rsid w:val="00535598"/>
    <w:rsid w:val="00535AE5"/>
    <w:rsid w:val="0053700F"/>
    <w:rsid w:val="00541957"/>
    <w:rsid w:val="00541ECB"/>
    <w:rsid w:val="00545CF7"/>
    <w:rsid w:val="00547870"/>
    <w:rsid w:val="00547EE3"/>
    <w:rsid w:val="0055178A"/>
    <w:rsid w:val="00551D8A"/>
    <w:rsid w:val="00553788"/>
    <w:rsid w:val="0056012D"/>
    <w:rsid w:val="0056196C"/>
    <w:rsid w:val="00567491"/>
    <w:rsid w:val="00567605"/>
    <w:rsid w:val="0057047E"/>
    <w:rsid w:val="0057136C"/>
    <w:rsid w:val="00572A58"/>
    <w:rsid w:val="00574457"/>
    <w:rsid w:val="00574EA0"/>
    <w:rsid w:val="00577067"/>
    <w:rsid w:val="005806C7"/>
    <w:rsid w:val="00581B36"/>
    <w:rsid w:val="0058332B"/>
    <w:rsid w:val="0058363E"/>
    <w:rsid w:val="00583E8E"/>
    <w:rsid w:val="00587908"/>
    <w:rsid w:val="00591AF5"/>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F2022"/>
    <w:rsid w:val="005F4D02"/>
    <w:rsid w:val="005F5558"/>
    <w:rsid w:val="006015F0"/>
    <w:rsid w:val="00601AE7"/>
    <w:rsid w:val="00601C34"/>
    <w:rsid w:val="00601EBD"/>
    <w:rsid w:val="00602A2F"/>
    <w:rsid w:val="0060386E"/>
    <w:rsid w:val="00603F07"/>
    <w:rsid w:val="0060466C"/>
    <w:rsid w:val="006073E2"/>
    <w:rsid w:val="00611C50"/>
    <w:rsid w:val="006168C2"/>
    <w:rsid w:val="00620B85"/>
    <w:rsid w:val="00623262"/>
    <w:rsid w:val="006232CC"/>
    <w:rsid w:val="00623CFE"/>
    <w:rsid w:val="00626480"/>
    <w:rsid w:val="00631C35"/>
    <w:rsid w:val="00631D3F"/>
    <w:rsid w:val="006337FF"/>
    <w:rsid w:val="00636B01"/>
    <w:rsid w:val="00637E5B"/>
    <w:rsid w:val="00640344"/>
    <w:rsid w:val="00640E08"/>
    <w:rsid w:val="00641054"/>
    <w:rsid w:val="00642821"/>
    <w:rsid w:val="00642D1A"/>
    <w:rsid w:val="0064542D"/>
    <w:rsid w:val="00645C02"/>
    <w:rsid w:val="00646FAC"/>
    <w:rsid w:val="00653AE0"/>
    <w:rsid w:val="00653B7F"/>
    <w:rsid w:val="00654B31"/>
    <w:rsid w:val="00657540"/>
    <w:rsid w:val="006645A1"/>
    <w:rsid w:val="0066537B"/>
    <w:rsid w:val="00670A8E"/>
    <w:rsid w:val="0068036E"/>
    <w:rsid w:val="00682C5E"/>
    <w:rsid w:val="00684077"/>
    <w:rsid w:val="00687192"/>
    <w:rsid w:val="00692F4C"/>
    <w:rsid w:val="006943E3"/>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7F35"/>
    <w:rsid w:val="006D03A4"/>
    <w:rsid w:val="006D6160"/>
    <w:rsid w:val="006E1171"/>
    <w:rsid w:val="006E1297"/>
    <w:rsid w:val="006E6FFF"/>
    <w:rsid w:val="006E7805"/>
    <w:rsid w:val="006F0F71"/>
    <w:rsid w:val="006F1879"/>
    <w:rsid w:val="006F669A"/>
    <w:rsid w:val="006F6A29"/>
    <w:rsid w:val="006F7927"/>
    <w:rsid w:val="00704202"/>
    <w:rsid w:val="00704B32"/>
    <w:rsid w:val="00705BE7"/>
    <w:rsid w:val="00707493"/>
    <w:rsid w:val="00715C3B"/>
    <w:rsid w:val="00715C84"/>
    <w:rsid w:val="00716C86"/>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858"/>
    <w:rsid w:val="00755D8B"/>
    <w:rsid w:val="00756D70"/>
    <w:rsid w:val="007604EA"/>
    <w:rsid w:val="00760A2B"/>
    <w:rsid w:val="00763824"/>
    <w:rsid w:val="00763DDA"/>
    <w:rsid w:val="00770417"/>
    <w:rsid w:val="00770FD2"/>
    <w:rsid w:val="00774CA4"/>
    <w:rsid w:val="00774FAA"/>
    <w:rsid w:val="00775458"/>
    <w:rsid w:val="00777B5F"/>
    <w:rsid w:val="00777C1F"/>
    <w:rsid w:val="00784EC4"/>
    <w:rsid w:val="0078688E"/>
    <w:rsid w:val="007905E2"/>
    <w:rsid w:val="00790C4A"/>
    <w:rsid w:val="0079114B"/>
    <w:rsid w:val="0079313F"/>
    <w:rsid w:val="007932BB"/>
    <w:rsid w:val="007A4135"/>
    <w:rsid w:val="007A4DE8"/>
    <w:rsid w:val="007A5F19"/>
    <w:rsid w:val="007B3202"/>
    <w:rsid w:val="007B36FC"/>
    <w:rsid w:val="007B3CBC"/>
    <w:rsid w:val="007B5208"/>
    <w:rsid w:val="007B5995"/>
    <w:rsid w:val="007B5EFC"/>
    <w:rsid w:val="007B7989"/>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0F"/>
    <w:rsid w:val="007D7479"/>
    <w:rsid w:val="007E5BD2"/>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15068"/>
    <w:rsid w:val="008202B0"/>
    <w:rsid w:val="00821F4B"/>
    <w:rsid w:val="00822B79"/>
    <w:rsid w:val="00822FE0"/>
    <w:rsid w:val="00823C97"/>
    <w:rsid w:val="00826193"/>
    <w:rsid w:val="00826F63"/>
    <w:rsid w:val="008273D7"/>
    <w:rsid w:val="00833757"/>
    <w:rsid w:val="00833D43"/>
    <w:rsid w:val="00842C14"/>
    <w:rsid w:val="008451C1"/>
    <w:rsid w:val="00845B74"/>
    <w:rsid w:val="008479DD"/>
    <w:rsid w:val="00851FDC"/>
    <w:rsid w:val="008531FF"/>
    <w:rsid w:val="00853ADF"/>
    <w:rsid w:val="00854A9B"/>
    <w:rsid w:val="008559B8"/>
    <w:rsid w:val="008633F9"/>
    <w:rsid w:val="00863AD7"/>
    <w:rsid w:val="00864DD3"/>
    <w:rsid w:val="00866277"/>
    <w:rsid w:val="00867CFC"/>
    <w:rsid w:val="00871AD8"/>
    <w:rsid w:val="00872226"/>
    <w:rsid w:val="008727B7"/>
    <w:rsid w:val="00872F18"/>
    <w:rsid w:val="008730EB"/>
    <w:rsid w:val="00874EF7"/>
    <w:rsid w:val="008753B7"/>
    <w:rsid w:val="00876312"/>
    <w:rsid w:val="00883F30"/>
    <w:rsid w:val="008860BE"/>
    <w:rsid w:val="008942C9"/>
    <w:rsid w:val="00895F6C"/>
    <w:rsid w:val="008A0AF9"/>
    <w:rsid w:val="008A6693"/>
    <w:rsid w:val="008B15DB"/>
    <w:rsid w:val="008B3332"/>
    <w:rsid w:val="008B449D"/>
    <w:rsid w:val="008B7F86"/>
    <w:rsid w:val="008C06A5"/>
    <w:rsid w:val="008C070D"/>
    <w:rsid w:val="008C1AE4"/>
    <w:rsid w:val="008C22B3"/>
    <w:rsid w:val="008D06D3"/>
    <w:rsid w:val="008D1B39"/>
    <w:rsid w:val="008D3307"/>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5929"/>
    <w:rsid w:val="00907579"/>
    <w:rsid w:val="00913492"/>
    <w:rsid w:val="0091609B"/>
    <w:rsid w:val="0092091E"/>
    <w:rsid w:val="00922BC1"/>
    <w:rsid w:val="00923793"/>
    <w:rsid w:val="009255A2"/>
    <w:rsid w:val="00926E5F"/>
    <w:rsid w:val="00930617"/>
    <w:rsid w:val="00931376"/>
    <w:rsid w:val="00931C40"/>
    <w:rsid w:val="00931D5A"/>
    <w:rsid w:val="00934F8D"/>
    <w:rsid w:val="00935EEF"/>
    <w:rsid w:val="00936D01"/>
    <w:rsid w:val="009431CA"/>
    <w:rsid w:val="00950310"/>
    <w:rsid w:val="00953F07"/>
    <w:rsid w:val="00954BF6"/>
    <w:rsid w:val="00956349"/>
    <w:rsid w:val="009568FA"/>
    <w:rsid w:val="00957589"/>
    <w:rsid w:val="00957DF3"/>
    <w:rsid w:val="0096036D"/>
    <w:rsid w:val="0096221A"/>
    <w:rsid w:val="00971F94"/>
    <w:rsid w:val="00974B55"/>
    <w:rsid w:val="00975A81"/>
    <w:rsid w:val="00977F01"/>
    <w:rsid w:val="00980874"/>
    <w:rsid w:val="0098654C"/>
    <w:rsid w:val="00990B9B"/>
    <w:rsid w:val="00990EA4"/>
    <w:rsid w:val="009944A4"/>
    <w:rsid w:val="00994743"/>
    <w:rsid w:val="009958E4"/>
    <w:rsid w:val="00997B12"/>
    <w:rsid w:val="009A0566"/>
    <w:rsid w:val="009A1ADB"/>
    <w:rsid w:val="009A455F"/>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D58F6"/>
    <w:rsid w:val="009E072C"/>
    <w:rsid w:val="009E245A"/>
    <w:rsid w:val="009E7D89"/>
    <w:rsid w:val="009F0DDB"/>
    <w:rsid w:val="009F1434"/>
    <w:rsid w:val="009F264E"/>
    <w:rsid w:val="009F4F48"/>
    <w:rsid w:val="009F5254"/>
    <w:rsid w:val="009F753A"/>
    <w:rsid w:val="009F7672"/>
    <w:rsid w:val="009F7B91"/>
    <w:rsid w:val="00A039AC"/>
    <w:rsid w:val="00A063C2"/>
    <w:rsid w:val="00A07716"/>
    <w:rsid w:val="00A1292D"/>
    <w:rsid w:val="00A17DA3"/>
    <w:rsid w:val="00A21B03"/>
    <w:rsid w:val="00A2219C"/>
    <w:rsid w:val="00A247A2"/>
    <w:rsid w:val="00A26E0B"/>
    <w:rsid w:val="00A33635"/>
    <w:rsid w:val="00A34F1F"/>
    <w:rsid w:val="00A41C8E"/>
    <w:rsid w:val="00A4212B"/>
    <w:rsid w:val="00A43875"/>
    <w:rsid w:val="00A4439C"/>
    <w:rsid w:val="00A45297"/>
    <w:rsid w:val="00A45CFF"/>
    <w:rsid w:val="00A464CB"/>
    <w:rsid w:val="00A46661"/>
    <w:rsid w:val="00A50219"/>
    <w:rsid w:val="00A5026A"/>
    <w:rsid w:val="00A5061D"/>
    <w:rsid w:val="00A515F5"/>
    <w:rsid w:val="00A52629"/>
    <w:rsid w:val="00A606D4"/>
    <w:rsid w:val="00A60BD4"/>
    <w:rsid w:val="00A622D5"/>
    <w:rsid w:val="00A63677"/>
    <w:rsid w:val="00A6396D"/>
    <w:rsid w:val="00A63B6A"/>
    <w:rsid w:val="00A64232"/>
    <w:rsid w:val="00A6554D"/>
    <w:rsid w:val="00A701C7"/>
    <w:rsid w:val="00A74E74"/>
    <w:rsid w:val="00A77243"/>
    <w:rsid w:val="00A773B0"/>
    <w:rsid w:val="00A803FA"/>
    <w:rsid w:val="00A81C53"/>
    <w:rsid w:val="00A82694"/>
    <w:rsid w:val="00A85447"/>
    <w:rsid w:val="00A937D9"/>
    <w:rsid w:val="00A9556F"/>
    <w:rsid w:val="00A97CF7"/>
    <w:rsid w:val="00AA1C3F"/>
    <w:rsid w:val="00AA54A6"/>
    <w:rsid w:val="00AA62C5"/>
    <w:rsid w:val="00AA72F5"/>
    <w:rsid w:val="00AB0016"/>
    <w:rsid w:val="00AB1949"/>
    <w:rsid w:val="00AB1B0F"/>
    <w:rsid w:val="00AB3E7F"/>
    <w:rsid w:val="00AB6013"/>
    <w:rsid w:val="00AB7C11"/>
    <w:rsid w:val="00AC5E5C"/>
    <w:rsid w:val="00AD04F0"/>
    <w:rsid w:val="00AD2868"/>
    <w:rsid w:val="00AD4CFD"/>
    <w:rsid w:val="00AD5786"/>
    <w:rsid w:val="00AD6893"/>
    <w:rsid w:val="00AE185D"/>
    <w:rsid w:val="00AE2045"/>
    <w:rsid w:val="00AE46B0"/>
    <w:rsid w:val="00AE4CB3"/>
    <w:rsid w:val="00AE5DFA"/>
    <w:rsid w:val="00AE628E"/>
    <w:rsid w:val="00AF15B9"/>
    <w:rsid w:val="00AF4849"/>
    <w:rsid w:val="00AF5252"/>
    <w:rsid w:val="00B00836"/>
    <w:rsid w:val="00B02CE3"/>
    <w:rsid w:val="00B03FA3"/>
    <w:rsid w:val="00B052C3"/>
    <w:rsid w:val="00B06774"/>
    <w:rsid w:val="00B07C63"/>
    <w:rsid w:val="00B07CAF"/>
    <w:rsid w:val="00B12771"/>
    <w:rsid w:val="00B137C6"/>
    <w:rsid w:val="00B15312"/>
    <w:rsid w:val="00B20BB2"/>
    <w:rsid w:val="00B2185C"/>
    <w:rsid w:val="00B265C0"/>
    <w:rsid w:val="00B30F4C"/>
    <w:rsid w:val="00B367BE"/>
    <w:rsid w:val="00B37065"/>
    <w:rsid w:val="00B4171E"/>
    <w:rsid w:val="00B44C2D"/>
    <w:rsid w:val="00B44F1A"/>
    <w:rsid w:val="00B45A07"/>
    <w:rsid w:val="00B46767"/>
    <w:rsid w:val="00B46D2F"/>
    <w:rsid w:val="00B46E23"/>
    <w:rsid w:val="00B47884"/>
    <w:rsid w:val="00B47C54"/>
    <w:rsid w:val="00B50F1F"/>
    <w:rsid w:val="00B52061"/>
    <w:rsid w:val="00B52859"/>
    <w:rsid w:val="00B53C27"/>
    <w:rsid w:val="00B540A7"/>
    <w:rsid w:val="00B56759"/>
    <w:rsid w:val="00B61EC4"/>
    <w:rsid w:val="00B6412E"/>
    <w:rsid w:val="00B649D5"/>
    <w:rsid w:val="00B65AE3"/>
    <w:rsid w:val="00B65E0D"/>
    <w:rsid w:val="00B66A21"/>
    <w:rsid w:val="00B67C0D"/>
    <w:rsid w:val="00B707C0"/>
    <w:rsid w:val="00B72B10"/>
    <w:rsid w:val="00B73AA7"/>
    <w:rsid w:val="00B7626D"/>
    <w:rsid w:val="00B773E9"/>
    <w:rsid w:val="00B809B3"/>
    <w:rsid w:val="00B81EEA"/>
    <w:rsid w:val="00B850D9"/>
    <w:rsid w:val="00B855FB"/>
    <w:rsid w:val="00B86D1B"/>
    <w:rsid w:val="00B87615"/>
    <w:rsid w:val="00B902BB"/>
    <w:rsid w:val="00B9188E"/>
    <w:rsid w:val="00B94860"/>
    <w:rsid w:val="00B95933"/>
    <w:rsid w:val="00B96EFD"/>
    <w:rsid w:val="00B97F67"/>
    <w:rsid w:val="00BA08C8"/>
    <w:rsid w:val="00BA0A58"/>
    <w:rsid w:val="00BA2F0A"/>
    <w:rsid w:val="00BA3C12"/>
    <w:rsid w:val="00BA5BF2"/>
    <w:rsid w:val="00BB2F20"/>
    <w:rsid w:val="00BB3628"/>
    <w:rsid w:val="00BB3C0B"/>
    <w:rsid w:val="00BB5AEE"/>
    <w:rsid w:val="00BC1C41"/>
    <w:rsid w:val="00BC4065"/>
    <w:rsid w:val="00BC4290"/>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7F95"/>
    <w:rsid w:val="00C1079D"/>
    <w:rsid w:val="00C10FE4"/>
    <w:rsid w:val="00C13753"/>
    <w:rsid w:val="00C1542A"/>
    <w:rsid w:val="00C161CD"/>
    <w:rsid w:val="00C2005E"/>
    <w:rsid w:val="00C220B7"/>
    <w:rsid w:val="00C26502"/>
    <w:rsid w:val="00C26570"/>
    <w:rsid w:val="00C353A0"/>
    <w:rsid w:val="00C36682"/>
    <w:rsid w:val="00C37A74"/>
    <w:rsid w:val="00C41367"/>
    <w:rsid w:val="00C42324"/>
    <w:rsid w:val="00C478EA"/>
    <w:rsid w:val="00C47C4A"/>
    <w:rsid w:val="00C510FD"/>
    <w:rsid w:val="00C51E33"/>
    <w:rsid w:val="00C554E6"/>
    <w:rsid w:val="00C565C9"/>
    <w:rsid w:val="00C57074"/>
    <w:rsid w:val="00C62BDF"/>
    <w:rsid w:val="00C65466"/>
    <w:rsid w:val="00C673B0"/>
    <w:rsid w:val="00C7068A"/>
    <w:rsid w:val="00C75F3D"/>
    <w:rsid w:val="00C76FD2"/>
    <w:rsid w:val="00C81384"/>
    <w:rsid w:val="00C84D56"/>
    <w:rsid w:val="00C853D8"/>
    <w:rsid w:val="00C8566C"/>
    <w:rsid w:val="00C87783"/>
    <w:rsid w:val="00C90307"/>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6739"/>
    <w:rsid w:val="00CF0586"/>
    <w:rsid w:val="00CF0AE4"/>
    <w:rsid w:val="00CF28BB"/>
    <w:rsid w:val="00CF7676"/>
    <w:rsid w:val="00D00A11"/>
    <w:rsid w:val="00D031F3"/>
    <w:rsid w:val="00D05555"/>
    <w:rsid w:val="00D056BA"/>
    <w:rsid w:val="00D06294"/>
    <w:rsid w:val="00D07D43"/>
    <w:rsid w:val="00D10420"/>
    <w:rsid w:val="00D1411E"/>
    <w:rsid w:val="00D15B0D"/>
    <w:rsid w:val="00D15C36"/>
    <w:rsid w:val="00D17C41"/>
    <w:rsid w:val="00D20F0C"/>
    <w:rsid w:val="00D21FE0"/>
    <w:rsid w:val="00D2329A"/>
    <w:rsid w:val="00D2442D"/>
    <w:rsid w:val="00D25918"/>
    <w:rsid w:val="00D27F8F"/>
    <w:rsid w:val="00D30C5D"/>
    <w:rsid w:val="00D328B8"/>
    <w:rsid w:val="00D33634"/>
    <w:rsid w:val="00D3591A"/>
    <w:rsid w:val="00D35B0A"/>
    <w:rsid w:val="00D40392"/>
    <w:rsid w:val="00D40910"/>
    <w:rsid w:val="00D41B4E"/>
    <w:rsid w:val="00D43FC8"/>
    <w:rsid w:val="00D47A1D"/>
    <w:rsid w:val="00D50F3B"/>
    <w:rsid w:val="00D51D40"/>
    <w:rsid w:val="00D52F90"/>
    <w:rsid w:val="00D55F59"/>
    <w:rsid w:val="00D563B7"/>
    <w:rsid w:val="00D6312F"/>
    <w:rsid w:val="00D64CBB"/>
    <w:rsid w:val="00D67CDB"/>
    <w:rsid w:val="00D72D13"/>
    <w:rsid w:val="00D73308"/>
    <w:rsid w:val="00D73367"/>
    <w:rsid w:val="00D74CFF"/>
    <w:rsid w:val="00D76AAB"/>
    <w:rsid w:val="00D775A3"/>
    <w:rsid w:val="00D82BC8"/>
    <w:rsid w:val="00D8797B"/>
    <w:rsid w:val="00D905D6"/>
    <w:rsid w:val="00D91105"/>
    <w:rsid w:val="00D91678"/>
    <w:rsid w:val="00D92CCD"/>
    <w:rsid w:val="00D9396F"/>
    <w:rsid w:val="00D97C29"/>
    <w:rsid w:val="00DA1322"/>
    <w:rsid w:val="00DA21B4"/>
    <w:rsid w:val="00DA3DB5"/>
    <w:rsid w:val="00DA4AE9"/>
    <w:rsid w:val="00DB0E58"/>
    <w:rsid w:val="00DB1530"/>
    <w:rsid w:val="00DB66E9"/>
    <w:rsid w:val="00DC08E0"/>
    <w:rsid w:val="00DC54C4"/>
    <w:rsid w:val="00DC6DF0"/>
    <w:rsid w:val="00DC781A"/>
    <w:rsid w:val="00DD1A87"/>
    <w:rsid w:val="00DD478E"/>
    <w:rsid w:val="00DD489E"/>
    <w:rsid w:val="00DD6D1B"/>
    <w:rsid w:val="00DE1FDE"/>
    <w:rsid w:val="00DE2AF1"/>
    <w:rsid w:val="00DE2E58"/>
    <w:rsid w:val="00DE359D"/>
    <w:rsid w:val="00DE549E"/>
    <w:rsid w:val="00DF0220"/>
    <w:rsid w:val="00DF4F8A"/>
    <w:rsid w:val="00DF790A"/>
    <w:rsid w:val="00E003D2"/>
    <w:rsid w:val="00E02204"/>
    <w:rsid w:val="00E03378"/>
    <w:rsid w:val="00E04954"/>
    <w:rsid w:val="00E04BD8"/>
    <w:rsid w:val="00E05E0F"/>
    <w:rsid w:val="00E06D63"/>
    <w:rsid w:val="00E102EA"/>
    <w:rsid w:val="00E107BB"/>
    <w:rsid w:val="00E14146"/>
    <w:rsid w:val="00E1603B"/>
    <w:rsid w:val="00E17112"/>
    <w:rsid w:val="00E22EA9"/>
    <w:rsid w:val="00E24A6B"/>
    <w:rsid w:val="00E252F2"/>
    <w:rsid w:val="00E2660D"/>
    <w:rsid w:val="00E30184"/>
    <w:rsid w:val="00E31062"/>
    <w:rsid w:val="00E32A42"/>
    <w:rsid w:val="00E35E0F"/>
    <w:rsid w:val="00E36F6B"/>
    <w:rsid w:val="00E371D1"/>
    <w:rsid w:val="00E47EB2"/>
    <w:rsid w:val="00E53738"/>
    <w:rsid w:val="00E57562"/>
    <w:rsid w:val="00E61227"/>
    <w:rsid w:val="00E65AB9"/>
    <w:rsid w:val="00E660E7"/>
    <w:rsid w:val="00E6710A"/>
    <w:rsid w:val="00E70F11"/>
    <w:rsid w:val="00E71B63"/>
    <w:rsid w:val="00E723A2"/>
    <w:rsid w:val="00E84F3B"/>
    <w:rsid w:val="00E901D4"/>
    <w:rsid w:val="00E919DB"/>
    <w:rsid w:val="00E92CC3"/>
    <w:rsid w:val="00E95C98"/>
    <w:rsid w:val="00E95E5A"/>
    <w:rsid w:val="00E96594"/>
    <w:rsid w:val="00EA1C9E"/>
    <w:rsid w:val="00EA2676"/>
    <w:rsid w:val="00EA6697"/>
    <w:rsid w:val="00EA736A"/>
    <w:rsid w:val="00EB0DB3"/>
    <w:rsid w:val="00EB144C"/>
    <w:rsid w:val="00EB3A0C"/>
    <w:rsid w:val="00EB6860"/>
    <w:rsid w:val="00EC4233"/>
    <w:rsid w:val="00EC4414"/>
    <w:rsid w:val="00EC5178"/>
    <w:rsid w:val="00EC7DFE"/>
    <w:rsid w:val="00ED19A9"/>
    <w:rsid w:val="00ED35BF"/>
    <w:rsid w:val="00ED3FD5"/>
    <w:rsid w:val="00ED450F"/>
    <w:rsid w:val="00ED5F67"/>
    <w:rsid w:val="00EE1C5F"/>
    <w:rsid w:val="00EF0113"/>
    <w:rsid w:val="00EF032E"/>
    <w:rsid w:val="00EF08AE"/>
    <w:rsid w:val="00EF24DF"/>
    <w:rsid w:val="00EF2813"/>
    <w:rsid w:val="00EF480F"/>
    <w:rsid w:val="00EF4B63"/>
    <w:rsid w:val="00EF5790"/>
    <w:rsid w:val="00EF5916"/>
    <w:rsid w:val="00EF7C5F"/>
    <w:rsid w:val="00F00AEA"/>
    <w:rsid w:val="00F03FD7"/>
    <w:rsid w:val="00F05325"/>
    <w:rsid w:val="00F0602A"/>
    <w:rsid w:val="00F060A7"/>
    <w:rsid w:val="00F07349"/>
    <w:rsid w:val="00F12C6B"/>
    <w:rsid w:val="00F135AA"/>
    <w:rsid w:val="00F15882"/>
    <w:rsid w:val="00F15F19"/>
    <w:rsid w:val="00F17EBA"/>
    <w:rsid w:val="00F21D56"/>
    <w:rsid w:val="00F23C32"/>
    <w:rsid w:val="00F256A6"/>
    <w:rsid w:val="00F25D7E"/>
    <w:rsid w:val="00F265D6"/>
    <w:rsid w:val="00F31DF8"/>
    <w:rsid w:val="00F32859"/>
    <w:rsid w:val="00F334AA"/>
    <w:rsid w:val="00F33730"/>
    <w:rsid w:val="00F40A56"/>
    <w:rsid w:val="00F44489"/>
    <w:rsid w:val="00F44B81"/>
    <w:rsid w:val="00F475EF"/>
    <w:rsid w:val="00F5003E"/>
    <w:rsid w:val="00F5478B"/>
    <w:rsid w:val="00F54A86"/>
    <w:rsid w:val="00F56012"/>
    <w:rsid w:val="00F57C02"/>
    <w:rsid w:val="00F60ABD"/>
    <w:rsid w:val="00F60E44"/>
    <w:rsid w:val="00F62E9D"/>
    <w:rsid w:val="00F652DF"/>
    <w:rsid w:val="00F67F7C"/>
    <w:rsid w:val="00F7183A"/>
    <w:rsid w:val="00F75CDE"/>
    <w:rsid w:val="00F7756F"/>
    <w:rsid w:val="00F77B94"/>
    <w:rsid w:val="00F839FD"/>
    <w:rsid w:val="00F8407E"/>
    <w:rsid w:val="00F84450"/>
    <w:rsid w:val="00F84E5A"/>
    <w:rsid w:val="00F91EE4"/>
    <w:rsid w:val="00F93966"/>
    <w:rsid w:val="00F955F9"/>
    <w:rsid w:val="00FA073F"/>
    <w:rsid w:val="00FB001F"/>
    <w:rsid w:val="00FB0CF3"/>
    <w:rsid w:val="00FB1817"/>
    <w:rsid w:val="00FB7172"/>
    <w:rsid w:val="00FB7375"/>
    <w:rsid w:val="00FB7ED8"/>
    <w:rsid w:val="00FC2B72"/>
    <w:rsid w:val="00FC31CD"/>
    <w:rsid w:val="00FC3FB7"/>
    <w:rsid w:val="00FC7344"/>
    <w:rsid w:val="00FD0B6F"/>
    <w:rsid w:val="00FD13FB"/>
    <w:rsid w:val="00FD2F4A"/>
    <w:rsid w:val="00FD34C6"/>
    <w:rsid w:val="00FD3F3F"/>
    <w:rsid w:val="00FD5D84"/>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96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7B0E4-C321-4C6C-9ACA-81E9C58EF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18</cp:revision>
  <cp:lastPrinted>2011-06-21T20:32:00Z</cp:lastPrinted>
  <dcterms:created xsi:type="dcterms:W3CDTF">2019-07-29T01:18:00Z</dcterms:created>
  <dcterms:modified xsi:type="dcterms:W3CDTF">2019-08-19T23:26:00Z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