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 xml:space="preserve">, including accomplishments and problems encountered, if any.  List all tasks, even if no work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was done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 xml:space="preserve">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6B25A1DD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4FED05B6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F0149C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6FCD17EF" w14:textId="41D54DC6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102731CE" w:rsidR="00551D8A" w:rsidRPr="00551D8A" w:rsidRDefault="00551D8A" w:rsidP="00F0149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56CB81D7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5122F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77777777" w:rsidR="00743C01" w:rsidRPr="00B66A21" w:rsidRDefault="00E602C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602C4">
        <w:rPr>
          <w:rFonts w:ascii="Arial" w:hAnsi="Arial" w:cs="Arial"/>
          <w:b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225"/>
        <w:gridCol w:w="3263"/>
        <w:gridCol w:w="3420"/>
      </w:tblGrid>
      <w:tr w:rsidR="00874EF7" w:rsidRPr="00B66A21" w14:paraId="7E85EC96" w14:textId="77777777" w:rsidTr="009A67B2">
        <w:tc>
          <w:tcPr>
            <w:tcW w:w="422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263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9A67B2">
        <w:tc>
          <w:tcPr>
            <w:tcW w:w="4225" w:type="dxa"/>
          </w:tcPr>
          <w:p w14:paraId="72D24587" w14:textId="1C6236E6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</w:t>
            </w:r>
            <w:r w:rsidR="00E602C4">
              <w:rPr>
                <w:rFonts w:ascii="Arial" w:hAnsi="Arial" w:cs="Arial"/>
                <w:sz w:val="20"/>
                <w:szCs w:val="20"/>
              </w:rPr>
              <w:t xml:space="preserve">5,000 </w:t>
            </w:r>
            <w:r w:rsidR="00F3025C">
              <w:rPr>
                <w:rFonts w:ascii="Arial" w:hAnsi="Arial" w:cs="Arial"/>
                <w:sz w:val="20"/>
                <w:szCs w:val="20"/>
              </w:rPr>
              <w:t>(Port of Portland added)</w:t>
            </w:r>
          </w:p>
        </w:tc>
        <w:tc>
          <w:tcPr>
            <w:tcW w:w="3263" w:type="dxa"/>
          </w:tcPr>
          <w:p w14:paraId="07C242CF" w14:textId="55A9C383" w:rsidR="00874EF7" w:rsidRPr="00B66A21" w:rsidRDefault="00245EE4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3025C">
              <w:rPr>
                <w:rFonts w:ascii="Arial" w:hAnsi="Arial" w:cs="Arial"/>
                <w:sz w:val="20"/>
                <w:szCs w:val="20"/>
              </w:rPr>
              <w:t>55,040</w:t>
            </w:r>
          </w:p>
        </w:tc>
        <w:tc>
          <w:tcPr>
            <w:tcW w:w="3420" w:type="dxa"/>
          </w:tcPr>
          <w:p w14:paraId="4289AEEE" w14:textId="0626B1E9" w:rsidR="00874EF7" w:rsidRPr="00B66A21" w:rsidRDefault="00F302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  <w:r w:rsidR="00F30E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0647E848" w:rsidR="00B66A21" w:rsidRPr="00B66A21" w:rsidRDefault="00F3025C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D23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14:paraId="6E178EC1" w14:textId="46E7C089" w:rsidR="00F3025C" w:rsidRPr="00B66A21" w:rsidRDefault="00BD2306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3025C">
              <w:rPr>
                <w:rFonts w:ascii="Arial" w:hAnsi="Arial" w:cs="Arial"/>
                <w:sz w:val="20"/>
                <w:szCs w:val="20"/>
              </w:rPr>
              <w:t>7,711</w:t>
            </w:r>
          </w:p>
        </w:tc>
        <w:tc>
          <w:tcPr>
            <w:tcW w:w="3420" w:type="dxa"/>
          </w:tcPr>
          <w:p w14:paraId="18CC8012" w14:textId="13308B31" w:rsidR="00B66A21" w:rsidRPr="00B66A21" w:rsidRDefault="00F30E9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3025C">
              <w:rPr>
                <w:rFonts w:ascii="Arial" w:hAnsi="Arial" w:cs="Arial"/>
                <w:sz w:val="20"/>
                <w:szCs w:val="20"/>
              </w:rPr>
              <w:t>3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E63BA" w14:textId="77777777" w:rsidR="00903657" w:rsidRDefault="002C63A0" w:rsidP="009036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Herrera, the contractor for running the STTC facility, began work in March 2018. </w:t>
            </w:r>
            <w:r w:rsidR="0087671A">
              <w:rPr>
                <w:rFonts w:ascii="Arial" w:hAnsi="Arial" w:cs="Arial"/>
                <w:sz w:val="24"/>
                <w:szCs w:val="24"/>
              </w:rPr>
              <w:t xml:space="preserve">Work plan tasks </w:t>
            </w:r>
            <w:r w:rsidR="00903657">
              <w:rPr>
                <w:rFonts w:ascii="Arial" w:hAnsi="Arial" w:cs="Arial"/>
                <w:sz w:val="24"/>
                <w:szCs w:val="24"/>
              </w:rPr>
              <w:t>continued</w:t>
            </w:r>
            <w:r w:rsidR="0087671A">
              <w:rPr>
                <w:rFonts w:ascii="Arial" w:hAnsi="Arial" w:cs="Arial"/>
                <w:sz w:val="24"/>
                <w:szCs w:val="24"/>
              </w:rPr>
              <w:t xml:space="preserve"> this quarter include B34729 Task 2.0 Program Oversight, Task 3.0 Business and Administrative Infrastructure Development, and Subtask 6.0 Facility Set-up and Equipment Calibration. </w:t>
            </w:r>
            <w:r w:rsidR="00903657">
              <w:rPr>
                <w:rFonts w:ascii="Arial" w:hAnsi="Arial" w:cs="Arial"/>
                <w:sz w:val="24"/>
                <w:szCs w:val="24"/>
              </w:rPr>
              <w:t>Updates include:</w:t>
            </w:r>
          </w:p>
          <w:p w14:paraId="55083A84" w14:textId="0E85E862" w:rsidR="0021446D" w:rsidRPr="00575E57" w:rsidRDefault="00066FAE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 of Portland</w:t>
            </w:r>
            <w:r w:rsidR="00F30E9F">
              <w:rPr>
                <w:rFonts w:ascii="Arial" w:hAnsi="Arial" w:cs="Arial"/>
                <w:sz w:val="24"/>
                <w:szCs w:val="24"/>
              </w:rPr>
              <w:t xml:space="preserve"> has joined as a funding and technical advisory partner</w:t>
            </w:r>
            <w:r w:rsidR="00903657" w:rsidRPr="00575E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F4FEB23" w14:textId="74B1F2A0" w:rsidR="00E579E5" w:rsidRDefault="00E579E5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Spring 2019 Pooled Fund TAC meeting </w:t>
            </w:r>
            <w:r>
              <w:rPr>
                <w:rFonts w:ascii="Arial" w:hAnsi="Arial" w:cs="Arial"/>
                <w:sz w:val="24"/>
                <w:szCs w:val="24"/>
              </w:rPr>
              <w:t xml:space="preserve">completed </w:t>
            </w:r>
            <w:r>
              <w:rPr>
                <w:rFonts w:ascii="Arial" w:hAnsi="Arial" w:cs="Arial"/>
                <w:sz w:val="24"/>
                <w:szCs w:val="24"/>
              </w:rPr>
              <w:t>to review STTC setup/calibration progress with STTC manager, STTC contractor, and ODOT contributors.</w:t>
            </w:r>
          </w:p>
          <w:p w14:paraId="2316025E" w14:textId="2A537AEF" w:rsidR="00903657" w:rsidRPr="00575E57" w:rsidRDefault="0061146A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Pilot project strategy in progress to test the STTC</w:t>
            </w:r>
            <w:r w:rsidR="00903657" w:rsidRPr="00575E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4ABDEFE" w14:textId="19965E9E" w:rsidR="000D7389" w:rsidRDefault="00E579E5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Fall </w:t>
            </w:r>
            <w:r w:rsidR="00EE5311">
              <w:rPr>
                <w:rFonts w:ascii="Arial" w:hAnsi="Arial" w:cs="Arial"/>
                <w:sz w:val="24"/>
                <w:szCs w:val="24"/>
              </w:rPr>
              <w:t>2019</w:t>
            </w:r>
            <w:r w:rsidR="000D7389">
              <w:rPr>
                <w:rFonts w:ascii="Arial" w:hAnsi="Arial" w:cs="Arial"/>
                <w:sz w:val="24"/>
                <w:szCs w:val="24"/>
              </w:rPr>
              <w:t xml:space="preserve"> Pooled Fund TAC meeting to review STTC setup/calibration progress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pilot</w:t>
            </w:r>
            <w:r w:rsidR="000D7389">
              <w:rPr>
                <w:rFonts w:ascii="Arial" w:hAnsi="Arial" w:cs="Arial"/>
                <w:sz w:val="24"/>
                <w:szCs w:val="24"/>
              </w:rPr>
              <w:t xml:space="preserve"> with STTC manager, STTC contractor, and ODOT contributors.</w:t>
            </w:r>
          </w:p>
          <w:p w14:paraId="4E3D75C5" w14:textId="148A1EBD" w:rsidR="002C63A0" w:rsidRDefault="00B87FA4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equipment installation/configuration/testing</w:t>
            </w:r>
          </w:p>
          <w:p w14:paraId="11C9F3C8" w14:textId="21D439F3" w:rsidR="009B0A5F" w:rsidRDefault="009B0A5F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for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PennDOT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site visit, aiming for pilot operational.</w:t>
            </w:r>
          </w:p>
          <w:p w14:paraId="44B0AD5E" w14:textId="38B89689" w:rsidR="00575E57" w:rsidRPr="00E579E5" w:rsidRDefault="00575E57" w:rsidP="00E579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4CBAC810" w:rsidR="00601EBD" w:rsidRPr="00DB5036" w:rsidRDefault="009B0A5F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run of facility expected this Fall. </w:t>
            </w:r>
            <w:r w:rsidR="00B87FA4">
              <w:rPr>
                <w:rFonts w:ascii="Arial" w:hAnsi="Arial" w:cs="Arial"/>
                <w:sz w:val="24"/>
                <w:szCs w:val="24"/>
              </w:rPr>
              <w:t>Project is expected to be completed on time</w:t>
            </w:r>
            <w:r w:rsidR="00AF6976">
              <w:rPr>
                <w:rFonts w:ascii="Arial" w:hAnsi="Arial" w:cs="Arial"/>
                <w:sz w:val="24"/>
                <w:szCs w:val="24"/>
              </w:rPr>
              <w:t xml:space="preserve"> by December 2020</w:t>
            </w:r>
            <w:bookmarkStart w:id="0" w:name="_GoBack"/>
            <w:bookmarkEnd w:id="0"/>
            <w:r w:rsidR="00B87FA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29D22" w14:textId="5A472CE3" w:rsidR="00B30985" w:rsidRPr="00DB5036" w:rsidRDefault="00B30985" w:rsidP="00AF6976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quarterly report for </w:t>
            </w:r>
            <w:r w:rsidR="00B9533A">
              <w:rPr>
                <w:rFonts w:ascii="Arial" w:hAnsi="Arial" w:cs="Arial"/>
                <w:sz w:val="24"/>
                <w:szCs w:val="24"/>
              </w:rPr>
              <w:t>Jan 2019 and April 2019</w:t>
            </w:r>
            <w:r>
              <w:rPr>
                <w:rFonts w:ascii="Arial" w:hAnsi="Arial" w:cs="Arial"/>
                <w:sz w:val="24"/>
                <w:szCs w:val="24"/>
              </w:rPr>
              <w:t xml:space="preserve"> incorrectly duplicated ODOT FY2019 Q1</w:t>
            </w:r>
            <w:r w:rsidR="00B9533A">
              <w:rPr>
                <w:rFonts w:ascii="Arial" w:hAnsi="Arial" w:cs="Arial"/>
                <w:sz w:val="24"/>
                <w:szCs w:val="24"/>
              </w:rPr>
              <w:t xml:space="preserve"> spending</w:t>
            </w:r>
            <w:r>
              <w:rPr>
                <w:rFonts w:ascii="Arial" w:hAnsi="Arial" w:cs="Arial"/>
                <w:sz w:val="24"/>
                <w:szCs w:val="24"/>
              </w:rPr>
              <w:t>. This current quarterly</w:t>
            </w:r>
            <w:r w:rsidR="00B9533A">
              <w:rPr>
                <w:rFonts w:ascii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hAnsi="Arial" w:cs="Arial"/>
                <w:sz w:val="24"/>
                <w:szCs w:val="24"/>
              </w:rPr>
              <w:t xml:space="preserve">eport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has been corrected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F64B4" w14:textId="15A909B0" w:rsidR="00E35E0F" w:rsidRDefault="00870801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  <w:r w:rsidR="00575E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C6C6A" w14:textId="4573E76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66FAE"/>
    <w:rsid w:val="000736BB"/>
    <w:rsid w:val="000807EF"/>
    <w:rsid w:val="00090517"/>
    <w:rsid w:val="000B665A"/>
    <w:rsid w:val="000C01B0"/>
    <w:rsid w:val="000D70F4"/>
    <w:rsid w:val="000D7389"/>
    <w:rsid w:val="00106C83"/>
    <w:rsid w:val="00132E15"/>
    <w:rsid w:val="001547D0"/>
    <w:rsid w:val="00161153"/>
    <w:rsid w:val="001A16A9"/>
    <w:rsid w:val="0021446D"/>
    <w:rsid w:val="00245EE4"/>
    <w:rsid w:val="00293FD8"/>
    <w:rsid w:val="002A79C8"/>
    <w:rsid w:val="002C63A0"/>
    <w:rsid w:val="003004C3"/>
    <w:rsid w:val="003636E1"/>
    <w:rsid w:val="003752BD"/>
    <w:rsid w:val="0038705A"/>
    <w:rsid w:val="003E5C54"/>
    <w:rsid w:val="004144E6"/>
    <w:rsid w:val="004156B2"/>
    <w:rsid w:val="0042082A"/>
    <w:rsid w:val="00437734"/>
    <w:rsid w:val="004E14DC"/>
    <w:rsid w:val="005122F1"/>
    <w:rsid w:val="00535598"/>
    <w:rsid w:val="00543E76"/>
    <w:rsid w:val="00547EE3"/>
    <w:rsid w:val="00551D8A"/>
    <w:rsid w:val="00575E57"/>
    <w:rsid w:val="00581680"/>
    <w:rsid w:val="00581B36"/>
    <w:rsid w:val="00583E8E"/>
    <w:rsid w:val="00601EBD"/>
    <w:rsid w:val="0061146A"/>
    <w:rsid w:val="00682C5E"/>
    <w:rsid w:val="00690D4F"/>
    <w:rsid w:val="006958F6"/>
    <w:rsid w:val="006B6B4C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75CC4"/>
    <w:rsid w:val="009A67B2"/>
    <w:rsid w:val="009B0A5F"/>
    <w:rsid w:val="00A43875"/>
    <w:rsid w:val="00A627C5"/>
    <w:rsid w:val="00A63677"/>
    <w:rsid w:val="00A65B0D"/>
    <w:rsid w:val="00A83E84"/>
    <w:rsid w:val="00A84F6B"/>
    <w:rsid w:val="00AC3359"/>
    <w:rsid w:val="00AC6C55"/>
    <w:rsid w:val="00AE46B0"/>
    <w:rsid w:val="00AF6976"/>
    <w:rsid w:val="00B13A30"/>
    <w:rsid w:val="00B2185C"/>
    <w:rsid w:val="00B224B8"/>
    <w:rsid w:val="00B242E2"/>
    <w:rsid w:val="00B30985"/>
    <w:rsid w:val="00B66A21"/>
    <w:rsid w:val="00B87FA4"/>
    <w:rsid w:val="00B9533A"/>
    <w:rsid w:val="00BD2306"/>
    <w:rsid w:val="00C13753"/>
    <w:rsid w:val="00CA6035"/>
    <w:rsid w:val="00D05DC0"/>
    <w:rsid w:val="00DB5036"/>
    <w:rsid w:val="00E14FFC"/>
    <w:rsid w:val="00E35E0F"/>
    <w:rsid w:val="00E371D1"/>
    <w:rsid w:val="00E53738"/>
    <w:rsid w:val="00E579E5"/>
    <w:rsid w:val="00E602C4"/>
    <w:rsid w:val="00ED5F67"/>
    <w:rsid w:val="00EE5311"/>
    <w:rsid w:val="00EF08AE"/>
    <w:rsid w:val="00EF5790"/>
    <w:rsid w:val="00F0149C"/>
    <w:rsid w:val="00F3025C"/>
    <w:rsid w:val="00F30E9F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4FF17-86BE-43BD-B7B4-03C72077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13</cp:revision>
  <cp:lastPrinted>2011-06-21T20:32:00Z</cp:lastPrinted>
  <dcterms:created xsi:type="dcterms:W3CDTF">2019-07-31T19:51:00Z</dcterms:created>
  <dcterms:modified xsi:type="dcterms:W3CDTF">2019-07-31T23:06:00Z</dcterms:modified>
</cp:coreProperties>
</file>