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E97553"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E97553" w:rsidRPr="00E97553">
              <w:rPr>
                <w:rFonts w:ascii="Arial" w:hAnsi="Arial" w:cs="Arial"/>
                <w:b/>
                <w:sz w:val="36"/>
                <w:szCs w:val="36"/>
                <w:u w:val="single"/>
              </w:rPr>
              <w:t>x</w:t>
            </w:r>
            <w:r w:rsidRPr="00E97553">
              <w:rPr>
                <w:rFonts w:ascii="Arial" w:hAnsi="Arial" w:cs="Arial"/>
                <w:b/>
                <w:sz w:val="36"/>
                <w:szCs w:val="36"/>
              </w:rPr>
              <w:t xml:space="preserve"> </w:t>
            </w:r>
            <w:r w:rsidRPr="00E97553">
              <w:rPr>
                <w:rFonts w:ascii="Arial" w:hAnsi="Arial" w:cs="Arial"/>
                <w:b/>
                <w:sz w:val="20"/>
                <w:szCs w:val="20"/>
              </w:rPr>
              <w:t>Quarter 1 (January 1 – March 31</w:t>
            </w:r>
            <w:r w:rsidR="005C75FE" w:rsidRPr="00E97553">
              <w:rPr>
                <w:rFonts w:ascii="Arial" w:hAnsi="Arial" w:cs="Arial"/>
                <w:b/>
                <w:sz w:val="20"/>
                <w:szCs w:val="20"/>
              </w:rPr>
              <w:t xml:space="preserve">, </w:t>
            </w:r>
            <w:r w:rsidR="003E4DE4" w:rsidRPr="00E97553">
              <w:rPr>
                <w:rFonts w:ascii="Arial" w:hAnsi="Arial" w:cs="Arial"/>
                <w:b/>
                <w:sz w:val="20"/>
                <w:szCs w:val="20"/>
              </w:rPr>
              <w:t>201</w:t>
            </w:r>
            <w:r w:rsidR="00E97553" w:rsidRPr="00E97553">
              <w:rPr>
                <w:rFonts w:ascii="Arial" w:hAnsi="Arial" w:cs="Arial"/>
                <w:b/>
                <w:sz w:val="20"/>
                <w:szCs w:val="20"/>
              </w:rPr>
              <w:t>9</w:t>
            </w:r>
            <w:r w:rsidRPr="00E97553">
              <w:rPr>
                <w:rFonts w:ascii="Arial" w:hAnsi="Arial" w:cs="Arial"/>
                <w:b/>
                <w:sz w:val="20"/>
                <w:szCs w:val="20"/>
              </w:rPr>
              <w:t>)</w:t>
            </w:r>
          </w:p>
          <w:p w:rsidR="000C209F" w:rsidRPr="009C7A94"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9C7A94" w:rsidRPr="009C7A94">
              <w:rPr>
                <w:rFonts w:ascii="Arial" w:hAnsi="Arial" w:cs="Arial"/>
                <w:sz w:val="36"/>
                <w:szCs w:val="36"/>
                <w:u w:val="single"/>
              </w:rPr>
              <w:t>_</w:t>
            </w:r>
            <w:r w:rsidR="00C47C4A" w:rsidRPr="009C7A94">
              <w:rPr>
                <w:rFonts w:ascii="Arial" w:hAnsi="Arial" w:cs="Arial"/>
                <w:sz w:val="36"/>
                <w:szCs w:val="36"/>
              </w:rPr>
              <w:t xml:space="preserve"> </w:t>
            </w:r>
            <w:r w:rsidRPr="009C7A94">
              <w:rPr>
                <w:rFonts w:ascii="Arial" w:hAnsi="Arial" w:cs="Arial"/>
                <w:sz w:val="20"/>
                <w:szCs w:val="20"/>
              </w:rPr>
              <w:t>Quarter 2 (April 1 – June 30</w:t>
            </w:r>
            <w:r w:rsidR="002C4321" w:rsidRPr="009C7A94">
              <w:rPr>
                <w:rFonts w:ascii="Arial" w:hAnsi="Arial" w:cs="Arial"/>
                <w:sz w:val="20"/>
                <w:szCs w:val="20"/>
              </w:rPr>
              <w:t>, 201</w:t>
            </w:r>
            <w:r w:rsidR="00E97553">
              <w:rPr>
                <w:rFonts w:ascii="Arial" w:hAnsi="Arial" w:cs="Arial"/>
                <w:sz w:val="20"/>
                <w:szCs w:val="20"/>
              </w:rPr>
              <w:t>9</w:t>
            </w:r>
            <w:r w:rsidRPr="009C7A94">
              <w:rPr>
                <w:rFonts w:ascii="Arial" w:hAnsi="Arial" w:cs="Arial"/>
                <w:sz w:val="20"/>
                <w:szCs w:val="20"/>
              </w:rPr>
              <w:t>)</w:t>
            </w:r>
          </w:p>
          <w:p w:rsidR="000C209F" w:rsidRPr="001917A5" w:rsidRDefault="001917A5" w:rsidP="00360664">
            <w:pPr>
              <w:spacing w:after="0" w:line="240" w:lineRule="auto"/>
              <w:ind w:right="-720"/>
              <w:rPr>
                <w:rFonts w:ascii="Arial" w:hAnsi="Arial" w:cs="Arial"/>
                <w:sz w:val="20"/>
                <w:szCs w:val="20"/>
              </w:rPr>
            </w:pPr>
            <w:r w:rsidRPr="001917A5">
              <w:rPr>
                <w:rFonts w:ascii="Arial" w:hAnsi="Arial" w:cs="Arial"/>
                <w:sz w:val="36"/>
                <w:szCs w:val="36"/>
                <w:u w:val="single"/>
              </w:rPr>
              <w:t>_</w:t>
            </w:r>
            <w:r w:rsidR="001D763A" w:rsidRPr="001917A5">
              <w:rPr>
                <w:rFonts w:ascii="Arial" w:hAnsi="Arial" w:cs="Arial"/>
                <w:sz w:val="36"/>
                <w:szCs w:val="36"/>
              </w:rPr>
              <w:t xml:space="preserve"> </w:t>
            </w:r>
            <w:r w:rsidR="000C209F" w:rsidRPr="001917A5">
              <w:rPr>
                <w:rFonts w:ascii="Arial" w:hAnsi="Arial" w:cs="Arial"/>
                <w:sz w:val="20"/>
                <w:szCs w:val="20"/>
              </w:rPr>
              <w:t>Quarter 3 (July 1 – September 30</w:t>
            </w:r>
            <w:r w:rsidR="002C4321" w:rsidRPr="001917A5">
              <w:rPr>
                <w:rFonts w:ascii="Arial" w:hAnsi="Arial" w:cs="Arial"/>
                <w:sz w:val="20"/>
                <w:szCs w:val="20"/>
              </w:rPr>
              <w:t>, 201</w:t>
            </w:r>
            <w:r w:rsidR="00E97553">
              <w:rPr>
                <w:rFonts w:ascii="Arial" w:hAnsi="Arial" w:cs="Arial"/>
                <w:sz w:val="20"/>
                <w:szCs w:val="20"/>
              </w:rPr>
              <w:t>9</w:t>
            </w:r>
            <w:r w:rsidR="000C209F" w:rsidRPr="001917A5">
              <w:rPr>
                <w:rFonts w:ascii="Arial" w:hAnsi="Arial" w:cs="Arial"/>
                <w:sz w:val="20"/>
                <w:szCs w:val="20"/>
              </w:rPr>
              <w:t>)</w:t>
            </w:r>
          </w:p>
          <w:p w:rsidR="000C209F" w:rsidRPr="00E97553" w:rsidRDefault="00E97553" w:rsidP="00E97553">
            <w:pPr>
              <w:spacing w:after="0" w:line="240" w:lineRule="auto"/>
              <w:ind w:right="-720"/>
              <w:rPr>
                <w:rFonts w:ascii="Arial" w:hAnsi="Arial" w:cs="Arial"/>
                <w:sz w:val="20"/>
                <w:szCs w:val="20"/>
              </w:rPr>
            </w:pPr>
            <w:r w:rsidRPr="00E97553">
              <w:rPr>
                <w:rFonts w:ascii="Arial" w:hAnsi="Arial" w:cs="Arial"/>
                <w:sz w:val="36"/>
                <w:szCs w:val="36"/>
                <w:u w:val="single"/>
              </w:rPr>
              <w:t>_</w:t>
            </w:r>
            <w:r w:rsidR="00532264" w:rsidRPr="00E97553">
              <w:rPr>
                <w:rFonts w:ascii="Arial" w:hAnsi="Arial" w:cs="Arial"/>
                <w:sz w:val="36"/>
                <w:szCs w:val="36"/>
              </w:rPr>
              <w:t xml:space="preserve"> </w:t>
            </w:r>
            <w:r w:rsidR="000C209F" w:rsidRPr="00E97553">
              <w:rPr>
                <w:rFonts w:ascii="Arial" w:hAnsi="Arial" w:cs="Arial"/>
                <w:sz w:val="20"/>
                <w:szCs w:val="20"/>
              </w:rPr>
              <w:t xml:space="preserve">Quarter </w:t>
            </w:r>
            <w:r w:rsidR="005C75FE" w:rsidRPr="00E97553">
              <w:rPr>
                <w:rFonts w:ascii="Arial" w:hAnsi="Arial" w:cs="Arial"/>
                <w:sz w:val="20"/>
                <w:szCs w:val="20"/>
              </w:rPr>
              <w:t>4 (October 1 – December 31</w:t>
            </w:r>
            <w:r w:rsidR="002C4321" w:rsidRPr="00E97553">
              <w:rPr>
                <w:rFonts w:ascii="Arial" w:hAnsi="Arial" w:cs="Arial"/>
                <w:sz w:val="20"/>
                <w:szCs w:val="20"/>
              </w:rPr>
              <w:t>, 201</w:t>
            </w:r>
            <w:r w:rsidRPr="00E97553">
              <w:rPr>
                <w:rFonts w:ascii="Arial" w:hAnsi="Arial" w:cs="Arial"/>
                <w:sz w:val="20"/>
                <w:szCs w:val="20"/>
              </w:rPr>
              <w:t>9</w:t>
            </w:r>
            <w:r w:rsidR="000C209F" w:rsidRPr="00E97553">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30, 2020</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080DD3" w:rsidRPr="00080DD3">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927A9"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22</w:t>
            </w:r>
            <w:r>
              <w:rPr>
                <w:rFonts w:ascii="Arial" w:hAnsi="Arial" w:cs="Arial"/>
                <w:sz w:val="20"/>
                <w:szCs w:val="20"/>
              </w:rPr>
              <w:t>0,000.00</w:t>
            </w:r>
            <w:r w:rsidR="00934F8D">
              <w:rPr>
                <w:rFonts w:ascii="Arial" w:hAnsi="Arial" w:cs="Arial"/>
                <w:sz w:val="20"/>
                <w:szCs w:val="20"/>
              </w:rPr>
              <w:t xml:space="preserve"> (current contract)</w:t>
            </w:r>
          </w:p>
          <w:p w:rsidR="00934F8D" w:rsidRPr="00360664"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6</w:t>
            </w:r>
            <w:r w:rsidR="003927A9">
              <w:rPr>
                <w:rFonts w:ascii="Arial" w:hAnsi="Arial" w:cs="Arial"/>
                <w:sz w:val="20"/>
                <w:szCs w:val="20"/>
              </w:rPr>
              <w:t>0</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rsidR="000C209F" w:rsidRPr="00215F63" w:rsidRDefault="00D544AE"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3</w:t>
            </w:r>
            <w:r w:rsidR="001D52CD">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841D01" w:rsidP="00FE2457">
            <w:pPr>
              <w:spacing w:after="0" w:line="240" w:lineRule="auto"/>
              <w:ind w:left="-108" w:right="-108"/>
              <w:jc w:val="center"/>
              <w:rPr>
                <w:rFonts w:ascii="Arial" w:hAnsi="Arial" w:cs="Arial"/>
                <w:sz w:val="20"/>
                <w:szCs w:val="20"/>
              </w:rPr>
            </w:pPr>
            <w:r>
              <w:rPr>
                <w:rFonts w:ascii="Arial" w:hAnsi="Arial" w:cs="Arial"/>
                <w:sz w:val="20"/>
                <w:szCs w:val="20"/>
              </w:rPr>
              <w:t>30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rsidR="008E57BB" w:rsidRDefault="008E57BB" w:rsidP="00C26502">
            <w:pPr>
              <w:spacing w:after="0" w:line="240" w:lineRule="auto"/>
              <w:rPr>
                <w:rFonts w:ascii="Arial" w:hAnsi="Arial" w:cs="Arial"/>
                <w:sz w:val="20"/>
                <w:szCs w:val="20"/>
              </w:rPr>
            </w:pPr>
          </w:p>
          <w:p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rsidR="009F209C" w:rsidRPr="009F209C" w:rsidRDefault="009F209C" w:rsidP="009F209C">
            <w:pPr>
              <w:spacing w:after="0" w:line="240" w:lineRule="auto"/>
              <w:rPr>
                <w:rFonts w:ascii="Arial" w:hAnsi="Arial" w:cs="Arial"/>
                <w:sz w:val="20"/>
                <w:szCs w:val="20"/>
              </w:rPr>
            </w:pPr>
          </w:p>
          <w:p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rsidR="009F209C" w:rsidRPr="009F209C" w:rsidRDefault="009F209C" w:rsidP="009F209C">
            <w:pPr>
              <w:spacing w:after="0" w:line="240" w:lineRule="auto"/>
              <w:rPr>
                <w:rFonts w:ascii="Arial" w:hAnsi="Arial" w:cs="Arial"/>
                <w:sz w:val="20"/>
                <w:szCs w:val="20"/>
              </w:rPr>
            </w:pP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1. Excavate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 xml:space="preserve">3. Re-compact the top 6 </w:t>
            </w:r>
            <w:proofErr w:type="spellStart"/>
            <w:r w:rsidRPr="00EA4C9D">
              <w:rPr>
                <w:rFonts w:ascii="Arial" w:hAnsi="Arial" w:cs="Arial"/>
                <w:sz w:val="20"/>
                <w:szCs w:val="20"/>
              </w:rPr>
              <w:t>ft</w:t>
            </w:r>
            <w:proofErr w:type="spellEnd"/>
            <w:r w:rsidRPr="00EA4C9D">
              <w:rPr>
                <w:rFonts w:ascii="Arial" w:hAnsi="Arial" w:cs="Arial"/>
                <w:sz w:val="20"/>
                <w:szCs w:val="20"/>
              </w:rPr>
              <w:t xml:space="preserve"> of the soil backfill behind the existing MSE wall.</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rsidR="00EA4C9D" w:rsidRPr="004F173B" w:rsidRDefault="00EA4C9D" w:rsidP="000F615B">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A2569D">
              <w:rPr>
                <w:rFonts w:ascii="Arial" w:hAnsi="Arial" w:cs="Arial"/>
                <w:b/>
                <w:sz w:val="20"/>
                <w:szCs w:val="20"/>
              </w:rPr>
              <w:t>Progress this Quarter (includes meetings, work plan status, contract status, significant progress, etc.):</w:t>
            </w:r>
          </w:p>
          <w:p w:rsidR="000C209F" w:rsidRPr="0058680D" w:rsidRDefault="000C209F" w:rsidP="00716C86">
            <w:pPr>
              <w:spacing w:after="0" w:line="240" w:lineRule="auto"/>
              <w:rPr>
                <w:rFonts w:ascii="Arial" w:hAnsi="Arial" w:cs="Arial"/>
                <w:sz w:val="20"/>
                <w:szCs w:val="20"/>
              </w:rPr>
            </w:pP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completed testing.</w:t>
            </w:r>
          </w:p>
          <w:p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48726C">
              <w:rPr>
                <w:rFonts w:ascii="Arial" w:hAnsi="Arial" w:cs="Arial"/>
                <w:sz w:val="20"/>
                <w:szCs w:val="20"/>
              </w:rPr>
              <w:t xml:space="preserve">Started memo </w:t>
            </w:r>
            <w:r w:rsidR="0048726C" w:rsidRPr="0048726C">
              <w:rPr>
                <w:rFonts w:ascii="Arial" w:hAnsi="Arial" w:cs="Arial"/>
                <w:sz w:val="20"/>
                <w:szCs w:val="20"/>
              </w:rPr>
              <w:t xml:space="preserve">reporting </w:t>
            </w:r>
            <w:r w:rsidR="0048726C">
              <w:rPr>
                <w:rFonts w:ascii="Arial" w:hAnsi="Arial" w:cs="Arial"/>
                <w:sz w:val="20"/>
                <w:szCs w:val="20"/>
              </w:rPr>
              <w:t xml:space="preserve">on </w:t>
            </w:r>
            <w:r w:rsidR="00346208">
              <w:rPr>
                <w:rFonts w:ascii="Arial" w:hAnsi="Arial" w:cs="Arial"/>
                <w:sz w:val="20"/>
                <w:szCs w:val="20"/>
              </w:rPr>
              <w:t xml:space="preserve">this </w:t>
            </w:r>
            <w:r w:rsidR="0048726C">
              <w:rPr>
                <w:rFonts w:ascii="Arial" w:hAnsi="Arial" w:cs="Arial"/>
                <w:sz w:val="20"/>
                <w:szCs w:val="20"/>
              </w:rPr>
              <w:t xml:space="preserve">completed </w:t>
            </w:r>
            <w:r w:rsidR="0048726C" w:rsidRPr="0048726C">
              <w:rPr>
                <w:rFonts w:ascii="Arial" w:hAnsi="Arial" w:cs="Arial"/>
                <w:sz w:val="20"/>
                <w:szCs w:val="20"/>
              </w:rPr>
              <w:t>testing</w:t>
            </w:r>
            <w:r w:rsidR="0048726C">
              <w:rPr>
                <w:rFonts w:ascii="Arial" w:hAnsi="Arial" w:cs="Arial"/>
                <w:sz w:val="20"/>
                <w:szCs w:val="20"/>
              </w:rPr>
              <w:t>.</w:t>
            </w:r>
          </w:p>
          <w:p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BD0621" w:rsidRPr="00BD0621">
              <w:rPr>
                <w:rFonts w:ascii="Arial" w:hAnsi="Arial" w:cs="Arial"/>
                <w:sz w:val="20"/>
                <w:szCs w:val="20"/>
              </w:rPr>
              <w:t xml:space="preserve">Started memo reporting on </w:t>
            </w:r>
            <w:r w:rsidR="00BD0621">
              <w:rPr>
                <w:rFonts w:ascii="Arial" w:hAnsi="Arial" w:cs="Arial"/>
                <w:sz w:val="20"/>
                <w:szCs w:val="20"/>
              </w:rPr>
              <w:t xml:space="preserve">this </w:t>
            </w:r>
            <w:r w:rsidR="00BD0621" w:rsidRPr="00BD0621">
              <w:rPr>
                <w:rFonts w:ascii="Arial" w:hAnsi="Arial" w:cs="Arial"/>
                <w:sz w:val="20"/>
                <w:szCs w:val="20"/>
              </w:rPr>
              <w:t>completed testing</w:t>
            </w:r>
            <w:r w:rsidR="00BD0621">
              <w:rPr>
                <w:rFonts w:ascii="Arial" w:hAnsi="Arial" w:cs="Arial"/>
                <w:sz w:val="20"/>
                <w:szCs w:val="20"/>
              </w:rPr>
              <w:t>.</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Not started.</w:t>
            </w:r>
          </w:p>
          <w:p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Not started.</w:t>
            </w:r>
          </w:p>
          <w:p w:rsidR="002D74C2" w:rsidRDefault="002D74C2"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B6247A">
              <w:rPr>
                <w:rFonts w:ascii="Arial" w:hAnsi="Arial" w:cs="Arial"/>
                <w:sz w:val="20"/>
                <w:szCs w:val="20"/>
              </w:rPr>
              <w:t>UDOT added some funding transfers received from the TPF study partner states to the research contract and authorized work on Tasks 8-12.</w:t>
            </w:r>
          </w:p>
          <w:p w:rsidR="00F4758A" w:rsidRPr="006E7805" w:rsidRDefault="00F4758A"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A2569D">
              <w:rPr>
                <w:rFonts w:ascii="Arial" w:hAnsi="Arial" w:cs="Arial"/>
                <w:b/>
                <w:sz w:val="20"/>
                <w:szCs w:val="20"/>
              </w:rPr>
              <w:t>Anticipated work next quarter</w:t>
            </w:r>
            <w:r w:rsidRPr="00A2569D">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E1967">
              <w:rPr>
                <w:rFonts w:ascii="Arial" w:hAnsi="Arial" w:cs="Arial"/>
                <w:sz w:val="20"/>
                <w:szCs w:val="20"/>
              </w:rPr>
              <w:t xml:space="preserve">Submit </w:t>
            </w:r>
            <w:r w:rsidR="00050981">
              <w:rPr>
                <w:rFonts w:ascii="Arial" w:hAnsi="Arial" w:cs="Arial"/>
                <w:sz w:val="20"/>
                <w:szCs w:val="20"/>
              </w:rPr>
              <w:t xml:space="preserve">the </w:t>
            </w:r>
            <w:r w:rsidR="00567593" w:rsidRPr="00567593">
              <w:rPr>
                <w:rFonts w:ascii="Arial" w:hAnsi="Arial" w:cs="Arial"/>
                <w:sz w:val="20"/>
                <w:szCs w:val="20"/>
              </w:rPr>
              <w:t xml:space="preserve">task </w:t>
            </w:r>
            <w:r w:rsidR="00050981">
              <w:rPr>
                <w:rFonts w:ascii="Arial" w:hAnsi="Arial" w:cs="Arial"/>
                <w:sz w:val="20"/>
                <w:szCs w:val="20"/>
              </w:rPr>
              <w:t>completion memo</w:t>
            </w:r>
            <w:r w:rsidR="00FE1967">
              <w:rPr>
                <w:rFonts w:ascii="Arial" w:hAnsi="Arial" w:cs="Arial"/>
                <w:sz w:val="20"/>
                <w:szCs w:val="20"/>
              </w:rPr>
              <w:t xml:space="preserve"> with </w:t>
            </w:r>
            <w:r w:rsidR="006743F1">
              <w:rPr>
                <w:rFonts w:ascii="Arial" w:hAnsi="Arial" w:cs="Arial"/>
                <w:sz w:val="20"/>
                <w:szCs w:val="20"/>
              </w:rPr>
              <w:t xml:space="preserve">test </w:t>
            </w:r>
            <w:r w:rsidR="00567593" w:rsidRPr="00567593">
              <w:rPr>
                <w:rFonts w:ascii="Arial" w:hAnsi="Arial" w:cs="Arial"/>
                <w:sz w:val="20"/>
                <w:szCs w:val="20"/>
              </w:rPr>
              <w:t>layout, procedure, 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050981">
              <w:rPr>
                <w:rFonts w:ascii="Arial" w:hAnsi="Arial" w:cs="Arial"/>
                <w:sz w:val="20"/>
                <w:szCs w:val="20"/>
              </w:rPr>
              <w:t xml:space="preserve"> the task completion memo with </w:t>
            </w:r>
            <w:r w:rsidR="006743F1">
              <w:rPr>
                <w:rFonts w:ascii="Arial" w:hAnsi="Arial" w:cs="Arial"/>
                <w:sz w:val="20"/>
                <w:szCs w:val="20"/>
              </w:rPr>
              <w:t xml:space="preserve">test </w:t>
            </w:r>
            <w:r w:rsidR="00050981">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050981">
              <w:rPr>
                <w:rFonts w:ascii="Arial" w:hAnsi="Arial" w:cs="Arial"/>
                <w:sz w:val="20"/>
                <w:szCs w:val="20"/>
              </w:rPr>
              <w:t xml:space="preserve"> the task completion memo with </w:t>
            </w:r>
            <w:r w:rsidR="006743F1">
              <w:rPr>
                <w:rFonts w:ascii="Arial" w:hAnsi="Arial" w:cs="Arial"/>
                <w:sz w:val="20"/>
                <w:szCs w:val="20"/>
              </w:rPr>
              <w:t xml:space="preserve">test </w:t>
            </w:r>
            <w:r w:rsidR="00050981">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FE1967">
              <w:rPr>
                <w:rFonts w:ascii="Arial" w:hAnsi="Arial" w:cs="Arial"/>
                <w:sz w:val="20"/>
                <w:szCs w:val="20"/>
              </w:rPr>
              <w:t>Submit</w:t>
            </w:r>
            <w:r w:rsidR="002B515E">
              <w:rPr>
                <w:rFonts w:ascii="Arial" w:hAnsi="Arial" w:cs="Arial"/>
                <w:sz w:val="20"/>
                <w:szCs w:val="20"/>
              </w:rPr>
              <w:t xml:space="preserve"> the task completion memo with </w:t>
            </w:r>
            <w:r w:rsidR="006743F1">
              <w:rPr>
                <w:rFonts w:ascii="Arial" w:hAnsi="Arial" w:cs="Arial"/>
                <w:sz w:val="20"/>
                <w:szCs w:val="20"/>
              </w:rPr>
              <w:t xml:space="preserve">test </w:t>
            </w:r>
            <w:r w:rsidR="002B515E">
              <w:rPr>
                <w:rFonts w:ascii="Arial" w:hAnsi="Arial" w:cs="Arial"/>
                <w:sz w:val="20"/>
                <w:szCs w:val="20"/>
              </w:rPr>
              <w:t xml:space="preserve">layout, procedure, </w:t>
            </w:r>
            <w:r w:rsidR="00FE1967" w:rsidRPr="00567593">
              <w:rPr>
                <w:rFonts w:ascii="Arial" w:hAnsi="Arial" w:cs="Arial"/>
                <w:sz w:val="20"/>
                <w:szCs w:val="20"/>
              </w:rPr>
              <w:t>basic results, and load-deflection curves.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54272F">
              <w:rPr>
                <w:rFonts w:ascii="Arial" w:hAnsi="Arial" w:cs="Arial"/>
                <w:sz w:val="20"/>
                <w:szCs w:val="20"/>
              </w:rPr>
              <w:t>D</w:t>
            </w:r>
            <w:r w:rsidR="00F21774" w:rsidRPr="00F21774">
              <w:rPr>
                <w:rFonts w:ascii="Arial" w:hAnsi="Arial" w:cs="Arial"/>
                <w:sz w:val="20"/>
                <w:szCs w:val="20"/>
              </w:rPr>
              <w:t>evelop p-multipliers for Phase 2 lateral pile load testing results</w:t>
            </w:r>
            <w:r w:rsidR="00CE2EAA">
              <w:rPr>
                <w:rFonts w:ascii="Arial" w:hAnsi="Arial" w:cs="Arial"/>
                <w:sz w:val="20"/>
                <w:szCs w:val="20"/>
              </w:rPr>
              <w:t>,</w:t>
            </w:r>
            <w:r w:rsidR="006743F1">
              <w:rPr>
                <w:rFonts w:ascii="Arial" w:hAnsi="Arial" w:cs="Arial"/>
                <w:sz w:val="20"/>
                <w:szCs w:val="20"/>
              </w:rPr>
              <w:t xml:space="preserve"> and submit </w:t>
            </w:r>
            <w:r w:rsidR="0017398B">
              <w:rPr>
                <w:rFonts w:ascii="Arial" w:hAnsi="Arial" w:cs="Arial"/>
                <w:sz w:val="20"/>
                <w:szCs w:val="20"/>
              </w:rPr>
              <w:t xml:space="preserve">the </w:t>
            </w:r>
            <w:r w:rsidR="00CE2EAA">
              <w:rPr>
                <w:rFonts w:ascii="Arial" w:hAnsi="Arial" w:cs="Arial"/>
                <w:sz w:val="20"/>
                <w:szCs w:val="20"/>
              </w:rPr>
              <w:t xml:space="preserve">task </w:t>
            </w:r>
            <w:r w:rsidR="006743F1">
              <w:rPr>
                <w:rFonts w:ascii="Arial" w:hAnsi="Arial" w:cs="Arial"/>
                <w:sz w:val="20"/>
                <w:szCs w:val="20"/>
              </w:rPr>
              <w:t>completion memo.</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CE590E">
              <w:rPr>
                <w:rFonts w:ascii="Arial" w:hAnsi="Arial" w:cs="Arial"/>
                <w:sz w:val="20"/>
                <w:szCs w:val="20"/>
              </w:rPr>
              <w:t>Start developing reinforcement tensile force equations</w:t>
            </w:r>
            <w:r w:rsidR="00092D47">
              <w:rPr>
                <w:rFonts w:ascii="Arial" w:hAnsi="Arial" w:cs="Arial"/>
                <w:sz w:val="20"/>
                <w:szCs w:val="20"/>
              </w:rPr>
              <w:t>.</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5E4F2E">
              <w:rPr>
                <w:rFonts w:ascii="Arial" w:hAnsi="Arial" w:cs="Arial"/>
                <w:sz w:val="20"/>
                <w:szCs w:val="20"/>
              </w:rPr>
              <w:t xml:space="preserve"> Consider </w:t>
            </w:r>
            <w:r w:rsidR="00270FAE">
              <w:rPr>
                <w:rFonts w:ascii="Arial" w:hAnsi="Arial" w:cs="Arial"/>
                <w:sz w:val="20"/>
                <w:szCs w:val="20"/>
              </w:rPr>
              <w:t xml:space="preserve">holding </w:t>
            </w:r>
            <w:r w:rsidR="005E4F2E">
              <w:rPr>
                <w:rFonts w:ascii="Arial" w:hAnsi="Arial" w:cs="Arial"/>
                <w:sz w:val="20"/>
                <w:szCs w:val="20"/>
              </w:rPr>
              <w:t xml:space="preserve">a TAC web conference </w:t>
            </w:r>
            <w:r w:rsidR="00C40378">
              <w:rPr>
                <w:rFonts w:ascii="Arial" w:hAnsi="Arial" w:cs="Arial"/>
                <w:sz w:val="20"/>
                <w:szCs w:val="20"/>
              </w:rPr>
              <w:t>to provide updates and discuss progress.</w:t>
            </w:r>
          </w:p>
          <w:p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p>
          <w:p w:rsidR="00590473" w:rsidRDefault="00590473" w:rsidP="00215F63">
            <w:pPr>
              <w:keepNext/>
              <w:keepLines/>
              <w:tabs>
                <w:tab w:val="left" w:pos="7567"/>
              </w:tabs>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77CDB">
              <w:rPr>
                <w:rFonts w:ascii="Arial" w:hAnsi="Arial" w:cs="Arial"/>
                <w:sz w:val="20"/>
                <w:szCs w:val="20"/>
              </w:rPr>
              <w:t>Consider adding the remaining pooled fund commitment amount to the contract for face-to-face TAC meetings or additional numerical analysis and pressure cell analysis.</w:t>
            </w:r>
          </w:p>
          <w:p w:rsidR="004202CA" w:rsidRPr="0078688E" w:rsidRDefault="004202CA"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403DFF">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A2569D">
              <w:rPr>
                <w:rFonts w:ascii="Arial" w:hAnsi="Arial" w:cs="Arial"/>
                <w:b/>
                <w:sz w:val="20"/>
                <w:szCs w:val="20"/>
              </w:rPr>
              <w:t>Significant Results:</w:t>
            </w:r>
          </w:p>
          <w:p w:rsidR="00443B8F" w:rsidRDefault="00443B8F" w:rsidP="00360664">
            <w:pPr>
              <w:spacing w:after="0" w:line="240" w:lineRule="auto"/>
              <w:rPr>
                <w:rFonts w:ascii="Arial" w:hAnsi="Arial" w:cs="Arial"/>
                <w:b/>
                <w:sz w:val="20"/>
                <w:szCs w:val="20"/>
              </w:rPr>
            </w:pPr>
          </w:p>
          <w:p w:rsidR="000313D4" w:rsidRDefault="00443B8F" w:rsidP="00360664">
            <w:pPr>
              <w:spacing w:after="0" w:line="240" w:lineRule="auto"/>
              <w:rPr>
                <w:rFonts w:ascii="Arial" w:hAnsi="Arial" w:cs="Arial"/>
                <w:sz w:val="20"/>
                <w:szCs w:val="20"/>
              </w:rPr>
            </w:pPr>
            <w:r>
              <w:rPr>
                <w:rFonts w:ascii="Arial" w:hAnsi="Arial" w:cs="Arial"/>
                <w:sz w:val="20"/>
                <w:szCs w:val="20"/>
              </w:rPr>
              <w:t>Data reduction work continued this past quarter with work on the lateral pile group load test.  This test involved simultaneous lateral loading of three 12.75 inch diameter</w:t>
            </w:r>
            <w:r w:rsidR="003A6056">
              <w:rPr>
                <w:rFonts w:ascii="Arial" w:hAnsi="Arial" w:cs="Arial"/>
                <w:sz w:val="20"/>
                <w:szCs w:val="20"/>
              </w:rPr>
              <w:t xml:space="preserve"> pipe piles located about </w:t>
            </w:r>
            <w:r w:rsidR="007A05E1">
              <w:rPr>
                <w:rFonts w:ascii="Arial" w:hAnsi="Arial" w:cs="Arial"/>
                <w:sz w:val="20"/>
                <w:szCs w:val="20"/>
              </w:rPr>
              <w:t>three</w:t>
            </w:r>
            <w:r w:rsidR="003A6056">
              <w:rPr>
                <w:rFonts w:ascii="Arial" w:hAnsi="Arial" w:cs="Arial"/>
                <w:sz w:val="20"/>
                <w:szCs w:val="20"/>
              </w:rPr>
              <w:t xml:space="preserve"> pile diameters behind the wall (cente</w:t>
            </w:r>
            <w:r w:rsidR="007A05E1">
              <w:rPr>
                <w:rFonts w:ascii="Arial" w:hAnsi="Arial" w:cs="Arial"/>
                <w:sz w:val="20"/>
                <w:szCs w:val="20"/>
              </w:rPr>
              <w:t>r-</w:t>
            </w:r>
            <w:r w:rsidR="003A6056">
              <w:rPr>
                <w:rFonts w:ascii="Arial" w:hAnsi="Arial" w:cs="Arial"/>
                <w:sz w:val="20"/>
                <w:szCs w:val="20"/>
              </w:rPr>
              <w:t>of</w:t>
            </w:r>
            <w:r w:rsidR="007A05E1">
              <w:rPr>
                <w:rFonts w:ascii="Arial" w:hAnsi="Arial" w:cs="Arial"/>
                <w:sz w:val="20"/>
                <w:szCs w:val="20"/>
              </w:rPr>
              <w:t>-</w:t>
            </w:r>
            <w:r w:rsidR="003A6056">
              <w:rPr>
                <w:rFonts w:ascii="Arial" w:hAnsi="Arial" w:cs="Arial"/>
                <w:sz w:val="20"/>
                <w:szCs w:val="20"/>
              </w:rPr>
              <w:t>pile to back of wall).</w:t>
            </w:r>
            <w:r w:rsidR="007A05E1">
              <w:rPr>
                <w:rFonts w:ascii="Arial" w:hAnsi="Arial" w:cs="Arial"/>
                <w:sz w:val="20"/>
                <w:szCs w:val="20"/>
              </w:rPr>
              <w:t xml:space="preserve">  Each pile was connected to a steel frame that transferred</w:t>
            </w:r>
            <w:r w:rsidR="001E408A">
              <w:rPr>
                <w:rFonts w:ascii="Arial" w:hAnsi="Arial" w:cs="Arial"/>
                <w:sz w:val="20"/>
                <w:szCs w:val="20"/>
              </w:rPr>
              <w:t xml:space="preserve"> load to each pile by a tie-rod attached to the frame with a pinned-head connection.</w:t>
            </w:r>
            <w:r w:rsidR="007A05E1">
              <w:rPr>
                <w:rFonts w:ascii="Arial" w:hAnsi="Arial" w:cs="Arial"/>
                <w:sz w:val="20"/>
                <w:szCs w:val="20"/>
              </w:rPr>
              <w:t xml:space="preserve"> Load was applied to the frame using two 120 kip actuators</w:t>
            </w:r>
            <w:r w:rsidR="001E408A">
              <w:rPr>
                <w:rFonts w:ascii="Arial" w:hAnsi="Arial" w:cs="Arial"/>
                <w:sz w:val="20"/>
                <w:szCs w:val="20"/>
              </w:rPr>
              <w:t xml:space="preserve"> with load cells and each tie-rod was instrumented </w:t>
            </w:r>
            <w:r w:rsidR="00B03008">
              <w:rPr>
                <w:rFonts w:ascii="Arial" w:hAnsi="Arial" w:cs="Arial"/>
                <w:sz w:val="20"/>
                <w:szCs w:val="20"/>
              </w:rPr>
              <w:t xml:space="preserve">with strain gauges </w:t>
            </w:r>
            <w:r w:rsidR="001E408A">
              <w:rPr>
                <w:rFonts w:ascii="Arial" w:hAnsi="Arial" w:cs="Arial"/>
                <w:sz w:val="20"/>
                <w:szCs w:val="20"/>
              </w:rPr>
              <w:t>to measure the load carried by each pile in the group.  String potentiometers were attached to each pile at the load point to measure pile head deflection relative to an independent reference frame. In addition to the pile group test, a lateral load test was performed on an identical single pipe pile that was located about four pile diameters behind the wall</w:t>
            </w:r>
            <w:r w:rsidR="00B03008">
              <w:rPr>
                <w:rFonts w:ascii="Arial" w:hAnsi="Arial" w:cs="Arial"/>
                <w:sz w:val="20"/>
                <w:szCs w:val="20"/>
              </w:rPr>
              <w:t>, a</w:t>
            </w:r>
            <w:r w:rsidR="005047EA">
              <w:rPr>
                <w:rFonts w:ascii="Arial" w:hAnsi="Arial" w:cs="Arial"/>
                <w:sz w:val="20"/>
                <w:szCs w:val="20"/>
              </w:rPr>
              <w:t xml:space="preserve"> spacing where pile group interaction with the wall should have been relatively minor.  Pile head load versus pile head deflection curves for each of the test piles in the group (east, center, and west) and the single pile are presented in Fig</w:t>
            </w:r>
            <w:r w:rsidR="00403DFF">
              <w:rPr>
                <w:rFonts w:ascii="Arial" w:hAnsi="Arial" w:cs="Arial"/>
                <w:sz w:val="20"/>
                <w:szCs w:val="20"/>
              </w:rPr>
              <w:t>.</w:t>
            </w:r>
            <w:r w:rsidR="005047EA">
              <w:rPr>
                <w:rFonts w:ascii="Arial" w:hAnsi="Arial" w:cs="Arial"/>
                <w:sz w:val="20"/>
                <w:szCs w:val="20"/>
              </w:rPr>
              <w:t xml:space="preserve"> 1.   </w:t>
            </w:r>
          </w:p>
          <w:p w:rsidR="00443B8F" w:rsidRPr="00443B8F" w:rsidRDefault="008D544A" w:rsidP="000313D4">
            <w:pPr>
              <w:spacing w:after="0" w:line="240" w:lineRule="auto"/>
              <w:ind w:firstLine="1620"/>
              <w:rPr>
                <w:rFonts w:ascii="Arial" w:hAnsi="Arial" w:cs="Arial"/>
                <w:sz w:val="20"/>
                <w:szCs w:val="20"/>
              </w:rPr>
            </w:pPr>
            <w:r w:rsidRPr="008D544A">
              <w:rPr>
                <w:rFonts w:ascii="Arial" w:hAnsi="Arial" w:cs="Arial"/>
                <w:noProof/>
                <w:sz w:val="20"/>
                <w:szCs w:val="20"/>
              </w:rPr>
              <w:drawing>
                <wp:inline distT="0" distB="0" distL="0" distR="0">
                  <wp:extent cx="4371975" cy="272906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6133" cy="2731657"/>
                          </a:xfrm>
                          <a:prstGeom prst="rect">
                            <a:avLst/>
                          </a:prstGeom>
                          <a:noFill/>
                          <a:ln>
                            <a:noFill/>
                          </a:ln>
                        </pic:spPr>
                      </pic:pic>
                    </a:graphicData>
                  </a:graphic>
                </wp:inline>
              </w:drawing>
            </w:r>
            <w:r w:rsidR="005047EA">
              <w:rPr>
                <w:rFonts w:ascii="Arial" w:hAnsi="Arial" w:cs="Arial"/>
                <w:sz w:val="20"/>
                <w:szCs w:val="20"/>
              </w:rPr>
              <w:t xml:space="preserve"> </w:t>
            </w:r>
            <w:r w:rsidR="007A05E1">
              <w:rPr>
                <w:rFonts w:ascii="Arial" w:hAnsi="Arial" w:cs="Arial"/>
                <w:sz w:val="20"/>
                <w:szCs w:val="20"/>
              </w:rPr>
              <w:t xml:space="preserve"> </w:t>
            </w:r>
            <w:r w:rsidR="003A6056">
              <w:rPr>
                <w:rFonts w:ascii="Arial" w:hAnsi="Arial" w:cs="Arial"/>
                <w:sz w:val="20"/>
                <w:szCs w:val="20"/>
              </w:rPr>
              <w:t xml:space="preserve">  </w:t>
            </w:r>
            <w:r w:rsidR="00443B8F">
              <w:rPr>
                <w:rFonts w:ascii="Arial" w:hAnsi="Arial" w:cs="Arial"/>
                <w:sz w:val="20"/>
                <w:szCs w:val="20"/>
              </w:rPr>
              <w:t xml:space="preserve"> </w:t>
            </w:r>
          </w:p>
          <w:p w:rsidR="00A2569D" w:rsidRDefault="00A2569D" w:rsidP="00360664">
            <w:pPr>
              <w:spacing w:after="0" w:line="240" w:lineRule="auto"/>
              <w:rPr>
                <w:rFonts w:ascii="Arial" w:hAnsi="Arial" w:cs="Arial"/>
                <w:b/>
                <w:sz w:val="20"/>
                <w:szCs w:val="20"/>
              </w:rPr>
            </w:pPr>
          </w:p>
          <w:p w:rsidR="00A2569D" w:rsidRPr="003F5FBA" w:rsidRDefault="005047EA" w:rsidP="00360664">
            <w:pPr>
              <w:spacing w:after="0" w:line="240" w:lineRule="auto"/>
              <w:rPr>
                <w:rFonts w:ascii="Arial" w:hAnsi="Arial" w:cs="Arial"/>
                <w:b/>
                <w:sz w:val="20"/>
                <w:szCs w:val="20"/>
              </w:rPr>
            </w:pPr>
            <w:r>
              <w:rPr>
                <w:rFonts w:ascii="Arial" w:hAnsi="Arial" w:cs="Arial"/>
                <w:b/>
                <w:sz w:val="20"/>
                <w:szCs w:val="20"/>
              </w:rPr>
              <w:t>Fig. 1 Pile head load vs. pile head deflection curves for each test pile in the group relative to a single pile.</w:t>
            </w:r>
          </w:p>
          <w:p w:rsidR="00D52F90" w:rsidRDefault="00D52F90" w:rsidP="00D52F90">
            <w:pPr>
              <w:spacing w:after="0" w:line="240" w:lineRule="auto"/>
              <w:rPr>
                <w:rFonts w:ascii="Arial" w:hAnsi="Arial" w:cs="Arial"/>
                <w:sz w:val="20"/>
                <w:szCs w:val="20"/>
              </w:rPr>
            </w:pPr>
          </w:p>
          <w:p w:rsidR="000D2822" w:rsidRDefault="005047EA" w:rsidP="000313D4">
            <w:pPr>
              <w:spacing w:after="0" w:line="240" w:lineRule="auto"/>
              <w:rPr>
                <w:rFonts w:ascii="Arial" w:hAnsi="Arial" w:cs="Arial"/>
                <w:sz w:val="20"/>
                <w:szCs w:val="20"/>
              </w:rPr>
            </w:pPr>
            <w:bookmarkStart w:id="0" w:name="_GoBack"/>
            <w:bookmarkEnd w:id="0"/>
            <w:r>
              <w:rPr>
                <w:rFonts w:ascii="Arial" w:hAnsi="Arial" w:cs="Arial"/>
                <w:sz w:val="20"/>
                <w:szCs w:val="20"/>
              </w:rPr>
              <w:lastRenderedPageBreak/>
              <w:t>For a given deflection, t</w:t>
            </w:r>
            <w:r w:rsidRPr="005047EA">
              <w:rPr>
                <w:rFonts w:ascii="Arial" w:hAnsi="Arial" w:cs="Arial"/>
                <w:sz w:val="20"/>
                <w:szCs w:val="20"/>
              </w:rPr>
              <w:t xml:space="preserve">he </w:t>
            </w:r>
            <w:r>
              <w:rPr>
                <w:rFonts w:ascii="Arial" w:hAnsi="Arial" w:cs="Arial"/>
                <w:sz w:val="20"/>
                <w:szCs w:val="20"/>
              </w:rPr>
              <w:t>load-deflection curve for the single pile test plots higher than th</w:t>
            </w:r>
            <w:r w:rsidR="00403DFF">
              <w:rPr>
                <w:rFonts w:ascii="Arial" w:hAnsi="Arial" w:cs="Arial"/>
                <w:sz w:val="20"/>
                <w:szCs w:val="20"/>
              </w:rPr>
              <w:t>ose</w:t>
            </w:r>
            <w:r>
              <w:rPr>
                <w:rFonts w:ascii="Arial" w:hAnsi="Arial" w:cs="Arial"/>
                <w:sz w:val="20"/>
                <w:szCs w:val="20"/>
              </w:rPr>
              <w:t xml:space="preserve"> for the piles in the group.  However, this is expected considering that the </w:t>
            </w:r>
            <w:r w:rsidR="002616D7">
              <w:rPr>
                <w:rFonts w:ascii="Arial" w:hAnsi="Arial" w:cs="Arial"/>
                <w:sz w:val="20"/>
                <w:szCs w:val="20"/>
              </w:rPr>
              <w:t xml:space="preserve">single pile was located at 4D behind the wall while the piles in the group were at 3D behind the wall.  For a given deflection, the center pile carried the greatest load which was somewhat lower than the single pile.  </w:t>
            </w:r>
            <w:r w:rsidR="009D7815">
              <w:rPr>
                <w:rFonts w:ascii="Arial" w:hAnsi="Arial" w:cs="Arial"/>
                <w:sz w:val="20"/>
                <w:szCs w:val="20"/>
              </w:rPr>
              <w:t>In contrast, the</w:t>
            </w:r>
            <w:r w:rsidR="002616D7">
              <w:rPr>
                <w:rFonts w:ascii="Arial" w:hAnsi="Arial" w:cs="Arial"/>
                <w:sz w:val="20"/>
                <w:szCs w:val="20"/>
              </w:rPr>
              <w:t xml:space="preserve"> east and west piles </w:t>
            </w:r>
            <w:r w:rsidR="009D7815">
              <w:rPr>
                <w:rFonts w:ascii="Arial" w:hAnsi="Arial" w:cs="Arial"/>
                <w:sz w:val="20"/>
                <w:szCs w:val="20"/>
              </w:rPr>
              <w:t xml:space="preserve">carried </w:t>
            </w:r>
            <w:r w:rsidR="000313D4">
              <w:rPr>
                <w:rFonts w:ascii="Arial" w:hAnsi="Arial" w:cs="Arial"/>
                <w:sz w:val="20"/>
                <w:szCs w:val="20"/>
              </w:rPr>
              <w:t xml:space="preserve">lower loads than the center pile but </w:t>
            </w:r>
            <w:r w:rsidR="00403DFF">
              <w:rPr>
                <w:rFonts w:ascii="Arial" w:hAnsi="Arial" w:cs="Arial"/>
                <w:sz w:val="20"/>
                <w:szCs w:val="20"/>
              </w:rPr>
              <w:t xml:space="preserve">with nearly identical load-deflection curves. </w:t>
            </w:r>
          </w:p>
          <w:p w:rsidR="00403DFF" w:rsidRDefault="00403DFF" w:rsidP="000313D4">
            <w:pPr>
              <w:spacing w:after="0" w:line="240" w:lineRule="auto"/>
              <w:rPr>
                <w:rFonts w:ascii="Arial" w:hAnsi="Arial" w:cs="Arial"/>
                <w:sz w:val="20"/>
                <w:szCs w:val="20"/>
              </w:rPr>
            </w:pPr>
          </w:p>
          <w:p w:rsidR="008D544A" w:rsidRDefault="00403DFF" w:rsidP="000313D4">
            <w:pPr>
              <w:spacing w:after="0" w:line="240" w:lineRule="auto"/>
              <w:rPr>
                <w:rFonts w:ascii="Arial" w:hAnsi="Arial" w:cs="Arial"/>
                <w:sz w:val="20"/>
                <w:szCs w:val="20"/>
              </w:rPr>
            </w:pPr>
            <w:r>
              <w:rPr>
                <w:rFonts w:ascii="Arial" w:hAnsi="Arial" w:cs="Arial"/>
                <w:sz w:val="20"/>
                <w:szCs w:val="20"/>
              </w:rPr>
              <w:t>Fig. 2 provides p</w:t>
            </w:r>
            <w:r w:rsidRPr="00403DFF">
              <w:rPr>
                <w:rFonts w:ascii="Arial" w:hAnsi="Arial" w:cs="Arial"/>
                <w:sz w:val="20"/>
                <w:szCs w:val="20"/>
              </w:rPr>
              <w:t>ile head load vs. pile head deflection curves for each test pile in the group relative to a single pile after correction for the difference in distance behind the wall.</w:t>
            </w:r>
            <w:r>
              <w:rPr>
                <w:rFonts w:ascii="Arial" w:hAnsi="Arial" w:cs="Arial"/>
                <w:sz w:val="20"/>
                <w:szCs w:val="20"/>
              </w:rPr>
              <w:t xml:space="preserve">  After this </w:t>
            </w:r>
            <w:r w:rsidR="008D544A">
              <w:rPr>
                <w:rFonts w:ascii="Arial" w:hAnsi="Arial" w:cs="Arial"/>
                <w:sz w:val="20"/>
                <w:szCs w:val="20"/>
              </w:rPr>
              <w:t xml:space="preserve">adjustment, the load-deflection curve for the single pile and the center pile are almost the same, while the load-deflection curves for the east and west piles are lower.  This may result from the tensile reinforcements near the center pile being more fully developed from displacement of the soil around the test pile while the deflection of the soil around the test piles on the east and west sides of the group might be smaller and allow less tensile reinforcement to develop.  However, this hypothesis will need to be investigated in more detail when the strain gauge data </w:t>
            </w:r>
            <w:r w:rsidR="0087604C">
              <w:rPr>
                <w:rFonts w:ascii="Arial" w:hAnsi="Arial" w:cs="Arial"/>
                <w:sz w:val="20"/>
                <w:szCs w:val="20"/>
              </w:rPr>
              <w:t xml:space="preserve">for the reinforcements </w:t>
            </w:r>
            <w:r w:rsidR="008D544A">
              <w:rPr>
                <w:rFonts w:ascii="Arial" w:hAnsi="Arial" w:cs="Arial"/>
                <w:sz w:val="20"/>
                <w:szCs w:val="20"/>
              </w:rPr>
              <w:t>is reduced and analyzed.</w:t>
            </w:r>
          </w:p>
          <w:p w:rsidR="00403DFF" w:rsidRDefault="008D544A" w:rsidP="000313D4">
            <w:pPr>
              <w:spacing w:after="0" w:line="240" w:lineRule="auto"/>
              <w:rPr>
                <w:rFonts w:ascii="Arial" w:hAnsi="Arial" w:cs="Arial"/>
                <w:sz w:val="20"/>
                <w:szCs w:val="20"/>
              </w:rPr>
            </w:pPr>
            <w:r>
              <w:rPr>
                <w:rFonts w:ascii="Arial" w:hAnsi="Arial" w:cs="Arial"/>
                <w:sz w:val="20"/>
                <w:szCs w:val="20"/>
              </w:rPr>
              <w:t xml:space="preserve"> </w:t>
            </w:r>
          </w:p>
          <w:p w:rsidR="00403DFF" w:rsidRPr="00403DFF" w:rsidRDefault="00403DFF" w:rsidP="00403DFF">
            <w:pPr>
              <w:spacing w:after="0" w:line="240" w:lineRule="auto"/>
              <w:ind w:firstLine="1260"/>
              <w:rPr>
                <w:rFonts w:ascii="Arial" w:hAnsi="Arial" w:cs="Arial"/>
                <w:sz w:val="20"/>
                <w:szCs w:val="20"/>
              </w:rPr>
            </w:pPr>
            <w:r>
              <w:rPr>
                <w:noProof/>
              </w:rPr>
              <w:drawing>
                <wp:inline distT="0" distB="0" distL="0" distR="0" wp14:anchorId="11B9F47A" wp14:editId="4F06E474">
                  <wp:extent cx="4572000" cy="2857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3DFF" w:rsidRPr="00327244" w:rsidRDefault="00403DFF" w:rsidP="000313D4">
            <w:pPr>
              <w:spacing w:after="0" w:line="240" w:lineRule="auto"/>
              <w:rPr>
                <w:rFonts w:ascii="Arial" w:hAnsi="Arial" w:cs="Arial"/>
                <w:strike/>
                <w:sz w:val="20"/>
                <w:szCs w:val="20"/>
              </w:rPr>
            </w:pPr>
          </w:p>
          <w:p w:rsidR="00403DFF" w:rsidRDefault="00403DFF" w:rsidP="00403DFF">
            <w:pPr>
              <w:spacing w:after="0" w:line="240" w:lineRule="auto"/>
              <w:rPr>
                <w:rFonts w:ascii="Arial" w:hAnsi="Arial" w:cs="Arial"/>
                <w:b/>
                <w:sz w:val="20"/>
                <w:szCs w:val="20"/>
              </w:rPr>
            </w:pPr>
            <w:r>
              <w:rPr>
                <w:rFonts w:ascii="Arial" w:hAnsi="Arial" w:cs="Arial"/>
                <w:b/>
                <w:sz w:val="20"/>
                <w:szCs w:val="20"/>
              </w:rPr>
              <w:t>Fig. 2 Pile head load vs. pile head deflection curves for each test pile in the group relative to a single pile after correction for the difference in distance behind the wall.</w:t>
            </w:r>
          </w:p>
          <w:p w:rsidR="008D544A" w:rsidRDefault="008D544A" w:rsidP="00403DFF">
            <w:pPr>
              <w:spacing w:after="0" w:line="240" w:lineRule="auto"/>
              <w:rPr>
                <w:rFonts w:ascii="Arial" w:hAnsi="Arial" w:cs="Arial"/>
                <w:b/>
                <w:sz w:val="20"/>
                <w:szCs w:val="20"/>
              </w:rPr>
            </w:pPr>
          </w:p>
          <w:p w:rsidR="008D544A" w:rsidRDefault="008D544A" w:rsidP="00403DFF">
            <w:pPr>
              <w:spacing w:after="0" w:line="240" w:lineRule="auto"/>
              <w:rPr>
                <w:rFonts w:ascii="Arial" w:hAnsi="Arial" w:cs="Arial"/>
                <w:b/>
                <w:sz w:val="20"/>
                <w:szCs w:val="20"/>
              </w:rPr>
            </w:pPr>
          </w:p>
          <w:p w:rsidR="006558D1" w:rsidRDefault="006558D1"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r w:rsidRPr="008D544A">
              <w:rPr>
                <w:rFonts w:ascii="Arial" w:hAnsi="Arial" w:cs="Arial"/>
                <w:sz w:val="20"/>
                <w:szCs w:val="20"/>
              </w:rPr>
              <w:t xml:space="preserve">Fig. 3 shows the pile head load versus deflection curves for the adjusted single pile test and for the average pile in the group. </w:t>
            </w:r>
            <w:r w:rsidR="001A3610">
              <w:rPr>
                <w:rFonts w:ascii="Arial" w:hAnsi="Arial" w:cs="Arial"/>
                <w:sz w:val="20"/>
                <w:szCs w:val="20"/>
              </w:rPr>
              <w:t xml:space="preserve">Because of the reduced lateral resistance of the east and west piles during this test, the average lateral pile head load for the group is lower than that for the single pile.  However, it is unclear at this point whether the lateral pile resistance for the group would be closer to the load-deflection curve for the single pile. </w:t>
            </w:r>
            <w:r w:rsidRPr="008D544A">
              <w:rPr>
                <w:rFonts w:ascii="Arial" w:hAnsi="Arial" w:cs="Arial"/>
                <w:sz w:val="20"/>
                <w:szCs w:val="20"/>
              </w:rPr>
              <w:t xml:space="preserve"> </w:t>
            </w: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8D544A" w:rsidP="00403DFF">
            <w:pPr>
              <w:spacing w:after="0" w:line="240" w:lineRule="auto"/>
              <w:rPr>
                <w:rFonts w:ascii="Arial" w:hAnsi="Arial" w:cs="Arial"/>
                <w:sz w:val="20"/>
                <w:szCs w:val="20"/>
              </w:rPr>
            </w:pPr>
          </w:p>
          <w:p w:rsidR="008D544A" w:rsidRDefault="001A3610" w:rsidP="001A3610">
            <w:pPr>
              <w:spacing w:after="0" w:line="240" w:lineRule="auto"/>
              <w:ind w:firstLine="1350"/>
              <w:rPr>
                <w:rFonts w:ascii="Arial" w:hAnsi="Arial" w:cs="Arial"/>
                <w:sz w:val="20"/>
                <w:szCs w:val="20"/>
              </w:rPr>
            </w:pPr>
            <w:r w:rsidRPr="001A3610">
              <w:rPr>
                <w:rFonts w:ascii="Arial" w:hAnsi="Arial" w:cs="Arial"/>
                <w:noProof/>
                <w:sz w:val="20"/>
                <w:szCs w:val="20"/>
              </w:rPr>
              <w:drawing>
                <wp:inline distT="0" distB="0" distL="0" distR="0">
                  <wp:extent cx="4572000" cy="2847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847975"/>
                          </a:xfrm>
                          <a:prstGeom prst="rect">
                            <a:avLst/>
                          </a:prstGeom>
                          <a:noFill/>
                          <a:ln>
                            <a:noFill/>
                          </a:ln>
                        </pic:spPr>
                      </pic:pic>
                    </a:graphicData>
                  </a:graphic>
                </wp:inline>
              </w:drawing>
            </w:r>
          </w:p>
          <w:p w:rsidR="008D544A" w:rsidRDefault="008D544A" w:rsidP="00403DFF">
            <w:pPr>
              <w:spacing w:after="0" w:line="240" w:lineRule="auto"/>
              <w:rPr>
                <w:rFonts w:ascii="Arial" w:hAnsi="Arial" w:cs="Arial"/>
                <w:sz w:val="20"/>
                <w:szCs w:val="20"/>
              </w:rPr>
            </w:pPr>
          </w:p>
          <w:p w:rsidR="001A3610" w:rsidRPr="001A3610" w:rsidRDefault="001A3610" w:rsidP="001A3610">
            <w:pPr>
              <w:spacing w:after="0" w:line="240" w:lineRule="auto"/>
              <w:rPr>
                <w:rFonts w:ascii="Arial" w:hAnsi="Arial" w:cs="Arial"/>
                <w:b/>
                <w:sz w:val="20"/>
                <w:szCs w:val="20"/>
              </w:rPr>
            </w:pPr>
            <w:r w:rsidRPr="001A3610">
              <w:rPr>
                <w:rFonts w:ascii="Arial" w:hAnsi="Arial" w:cs="Arial"/>
                <w:b/>
                <w:sz w:val="20"/>
                <w:szCs w:val="20"/>
              </w:rPr>
              <w:t xml:space="preserve">Fig. 3 Pile head load vs. deflection curves for the adjusted single pile test and for the average pile in the group.  </w:t>
            </w:r>
          </w:p>
          <w:p w:rsidR="008D544A" w:rsidRDefault="008D544A" w:rsidP="00403DFF">
            <w:pPr>
              <w:spacing w:after="0" w:line="240" w:lineRule="auto"/>
              <w:rPr>
                <w:rFonts w:ascii="Arial" w:hAnsi="Arial" w:cs="Arial"/>
                <w:b/>
                <w:sz w:val="20"/>
                <w:szCs w:val="20"/>
              </w:rPr>
            </w:pPr>
          </w:p>
          <w:p w:rsidR="008D544A" w:rsidRPr="003F5FBA" w:rsidRDefault="008D544A" w:rsidP="00403DFF">
            <w:pPr>
              <w:spacing w:after="0" w:line="240" w:lineRule="auto"/>
              <w:rPr>
                <w:rFonts w:ascii="Arial" w:hAnsi="Arial" w:cs="Arial"/>
                <w:b/>
                <w:sz w:val="20"/>
                <w:szCs w:val="20"/>
              </w:rPr>
            </w:pPr>
          </w:p>
          <w:p w:rsidR="000D2822" w:rsidRPr="00327244" w:rsidRDefault="000D2822" w:rsidP="00186729">
            <w:pPr>
              <w:spacing w:after="0" w:line="240" w:lineRule="auto"/>
              <w:rPr>
                <w:rFonts w:ascii="Arial" w:hAnsi="Arial" w:cs="Arial"/>
                <w:strike/>
                <w:sz w:val="20"/>
                <w:szCs w:val="20"/>
              </w:rPr>
            </w:pPr>
          </w:p>
          <w:p w:rsidR="00ED3BC8" w:rsidRPr="00CC401B" w:rsidRDefault="00ED3BC8" w:rsidP="00A2569D">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rsidR="000C209F"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E85DDE" w:rsidRDefault="00E85DDE" w:rsidP="00360664">
            <w:pPr>
              <w:spacing w:after="0" w:line="240" w:lineRule="auto"/>
              <w:rPr>
                <w:rFonts w:ascii="Arial" w:hAnsi="Arial" w:cs="Arial"/>
                <w:b/>
                <w:sz w:val="20"/>
                <w:szCs w:val="20"/>
              </w:rPr>
            </w:pPr>
          </w:p>
          <w:p w:rsidR="00E85DDE" w:rsidRPr="004D4972" w:rsidRDefault="00BC6F87" w:rsidP="00360664">
            <w:pPr>
              <w:spacing w:after="0" w:line="240" w:lineRule="auto"/>
              <w:rPr>
                <w:rFonts w:ascii="Arial" w:hAnsi="Arial" w:cs="Arial"/>
                <w:sz w:val="20"/>
                <w:szCs w:val="20"/>
              </w:rPr>
            </w:pPr>
            <w:r>
              <w:rPr>
                <w:rFonts w:ascii="Arial" w:hAnsi="Arial" w:cs="Arial"/>
                <w:sz w:val="20"/>
                <w:szCs w:val="20"/>
              </w:rPr>
              <w:t>None.</w:t>
            </w:r>
          </w:p>
          <w:p w:rsidR="00097E8F" w:rsidRPr="006C2158"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272" w:rsidRDefault="00971272" w:rsidP="00106C83">
      <w:pPr>
        <w:spacing w:after="0" w:line="240" w:lineRule="auto"/>
      </w:pPr>
      <w:r>
        <w:separator/>
      </w:r>
    </w:p>
  </w:endnote>
  <w:endnote w:type="continuationSeparator" w:id="0">
    <w:p w:rsidR="00971272" w:rsidRDefault="0097127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272" w:rsidRDefault="00971272" w:rsidP="00106C83">
      <w:pPr>
        <w:spacing w:after="0" w:line="240" w:lineRule="auto"/>
      </w:pPr>
      <w:r>
        <w:separator/>
      </w:r>
    </w:p>
  </w:footnote>
  <w:footnote w:type="continuationSeparator" w:id="0">
    <w:p w:rsidR="00971272" w:rsidRDefault="00971272"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4656"/>
    <w:rsid w:val="0007547B"/>
    <w:rsid w:val="00080DD3"/>
    <w:rsid w:val="0008172C"/>
    <w:rsid w:val="00085456"/>
    <w:rsid w:val="00086047"/>
    <w:rsid w:val="0008637E"/>
    <w:rsid w:val="00087DC0"/>
    <w:rsid w:val="00090119"/>
    <w:rsid w:val="00092D47"/>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DCA"/>
    <w:rsid w:val="001014B9"/>
    <w:rsid w:val="001028A5"/>
    <w:rsid w:val="00102D05"/>
    <w:rsid w:val="00103835"/>
    <w:rsid w:val="00106C83"/>
    <w:rsid w:val="001147C8"/>
    <w:rsid w:val="00114A2D"/>
    <w:rsid w:val="001151DF"/>
    <w:rsid w:val="00121037"/>
    <w:rsid w:val="00122CE0"/>
    <w:rsid w:val="00122DE0"/>
    <w:rsid w:val="00127D97"/>
    <w:rsid w:val="001336E7"/>
    <w:rsid w:val="00134EE1"/>
    <w:rsid w:val="001428DF"/>
    <w:rsid w:val="001429F4"/>
    <w:rsid w:val="00142FD2"/>
    <w:rsid w:val="0014543A"/>
    <w:rsid w:val="001536F4"/>
    <w:rsid w:val="00154785"/>
    <w:rsid w:val="00154791"/>
    <w:rsid w:val="001547D0"/>
    <w:rsid w:val="00160DCD"/>
    <w:rsid w:val="00161153"/>
    <w:rsid w:val="00164E36"/>
    <w:rsid w:val="00165AF3"/>
    <w:rsid w:val="00167625"/>
    <w:rsid w:val="001729B6"/>
    <w:rsid w:val="0017398B"/>
    <w:rsid w:val="00174FA3"/>
    <w:rsid w:val="00176B22"/>
    <w:rsid w:val="00177CDB"/>
    <w:rsid w:val="00181F8B"/>
    <w:rsid w:val="0018433C"/>
    <w:rsid w:val="00184959"/>
    <w:rsid w:val="00186107"/>
    <w:rsid w:val="00186729"/>
    <w:rsid w:val="00186B05"/>
    <w:rsid w:val="00190459"/>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F10B5"/>
    <w:rsid w:val="001F1101"/>
    <w:rsid w:val="001F3C02"/>
    <w:rsid w:val="001F68B9"/>
    <w:rsid w:val="001F7414"/>
    <w:rsid w:val="00202788"/>
    <w:rsid w:val="002028BE"/>
    <w:rsid w:val="00205F86"/>
    <w:rsid w:val="0020636B"/>
    <w:rsid w:val="0021446D"/>
    <w:rsid w:val="00214FE9"/>
    <w:rsid w:val="00215F63"/>
    <w:rsid w:val="00217F53"/>
    <w:rsid w:val="0022101B"/>
    <w:rsid w:val="00221214"/>
    <w:rsid w:val="00225004"/>
    <w:rsid w:val="0023315F"/>
    <w:rsid w:val="00234D0B"/>
    <w:rsid w:val="00236961"/>
    <w:rsid w:val="00236E81"/>
    <w:rsid w:val="00237469"/>
    <w:rsid w:val="00240A8E"/>
    <w:rsid w:val="002416F6"/>
    <w:rsid w:val="00243027"/>
    <w:rsid w:val="00243FCC"/>
    <w:rsid w:val="002442E9"/>
    <w:rsid w:val="00245D5B"/>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5A48"/>
    <w:rsid w:val="003979BD"/>
    <w:rsid w:val="003A6056"/>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717D8"/>
    <w:rsid w:val="00471E00"/>
    <w:rsid w:val="00474EBA"/>
    <w:rsid w:val="00475B6A"/>
    <w:rsid w:val="00476BA3"/>
    <w:rsid w:val="00480AC3"/>
    <w:rsid w:val="004828D8"/>
    <w:rsid w:val="004846CC"/>
    <w:rsid w:val="0048471D"/>
    <w:rsid w:val="004868B9"/>
    <w:rsid w:val="0048726C"/>
    <w:rsid w:val="004913CE"/>
    <w:rsid w:val="00492C17"/>
    <w:rsid w:val="004974E1"/>
    <w:rsid w:val="004A3ABB"/>
    <w:rsid w:val="004A5173"/>
    <w:rsid w:val="004A5230"/>
    <w:rsid w:val="004B003D"/>
    <w:rsid w:val="004B3E34"/>
    <w:rsid w:val="004B63B0"/>
    <w:rsid w:val="004D1BEB"/>
    <w:rsid w:val="004D2B8A"/>
    <w:rsid w:val="004D377B"/>
    <w:rsid w:val="004D4972"/>
    <w:rsid w:val="004D5EEE"/>
    <w:rsid w:val="004D6151"/>
    <w:rsid w:val="004D6DF5"/>
    <w:rsid w:val="004E14DC"/>
    <w:rsid w:val="004E1A24"/>
    <w:rsid w:val="004E4852"/>
    <w:rsid w:val="004E4A6C"/>
    <w:rsid w:val="004E6402"/>
    <w:rsid w:val="004E771A"/>
    <w:rsid w:val="004F173B"/>
    <w:rsid w:val="004F586D"/>
    <w:rsid w:val="00501478"/>
    <w:rsid w:val="005030A0"/>
    <w:rsid w:val="00503310"/>
    <w:rsid w:val="005047EA"/>
    <w:rsid w:val="00504F10"/>
    <w:rsid w:val="005066DA"/>
    <w:rsid w:val="00506FC6"/>
    <w:rsid w:val="005077FE"/>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AE7"/>
    <w:rsid w:val="00601EBD"/>
    <w:rsid w:val="00602A2F"/>
    <w:rsid w:val="0060386E"/>
    <w:rsid w:val="00603F07"/>
    <w:rsid w:val="0060441D"/>
    <w:rsid w:val="006073E2"/>
    <w:rsid w:val="00611C50"/>
    <w:rsid w:val="006168C2"/>
    <w:rsid w:val="00620B85"/>
    <w:rsid w:val="00623262"/>
    <w:rsid w:val="006232CC"/>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7192"/>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6FFF"/>
    <w:rsid w:val="006E7805"/>
    <w:rsid w:val="006F1879"/>
    <w:rsid w:val="006F669A"/>
    <w:rsid w:val="006F6A29"/>
    <w:rsid w:val="006F7927"/>
    <w:rsid w:val="00704202"/>
    <w:rsid w:val="00705BE7"/>
    <w:rsid w:val="00707493"/>
    <w:rsid w:val="00715C3B"/>
    <w:rsid w:val="00715C84"/>
    <w:rsid w:val="00716C86"/>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4EC4"/>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F005D"/>
    <w:rsid w:val="007F0353"/>
    <w:rsid w:val="007F0BF1"/>
    <w:rsid w:val="007F2705"/>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6693"/>
    <w:rsid w:val="008B15DB"/>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57BB"/>
    <w:rsid w:val="008E6C4D"/>
    <w:rsid w:val="008E6F0C"/>
    <w:rsid w:val="008E75C5"/>
    <w:rsid w:val="008E7F29"/>
    <w:rsid w:val="008F00F3"/>
    <w:rsid w:val="008F3D6B"/>
    <w:rsid w:val="008F5A12"/>
    <w:rsid w:val="008F6304"/>
    <w:rsid w:val="008F7F87"/>
    <w:rsid w:val="00900981"/>
    <w:rsid w:val="00901F7B"/>
    <w:rsid w:val="00902A65"/>
    <w:rsid w:val="0090315B"/>
    <w:rsid w:val="00905929"/>
    <w:rsid w:val="00907579"/>
    <w:rsid w:val="009134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221A"/>
    <w:rsid w:val="009631F5"/>
    <w:rsid w:val="00971272"/>
    <w:rsid w:val="00974B55"/>
    <w:rsid w:val="00975A81"/>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7A94"/>
    <w:rsid w:val="009D7815"/>
    <w:rsid w:val="009E072C"/>
    <w:rsid w:val="009E245A"/>
    <w:rsid w:val="009E7D89"/>
    <w:rsid w:val="009F1434"/>
    <w:rsid w:val="009F209C"/>
    <w:rsid w:val="009F264E"/>
    <w:rsid w:val="009F4F48"/>
    <w:rsid w:val="009F753A"/>
    <w:rsid w:val="009F7672"/>
    <w:rsid w:val="00A039AC"/>
    <w:rsid w:val="00A063C2"/>
    <w:rsid w:val="00A07716"/>
    <w:rsid w:val="00A1292D"/>
    <w:rsid w:val="00A17DA3"/>
    <w:rsid w:val="00A21B03"/>
    <w:rsid w:val="00A2219C"/>
    <w:rsid w:val="00A247A2"/>
    <w:rsid w:val="00A2569D"/>
    <w:rsid w:val="00A26653"/>
    <w:rsid w:val="00A26E0B"/>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37D9"/>
    <w:rsid w:val="00A93FE4"/>
    <w:rsid w:val="00A9556F"/>
    <w:rsid w:val="00A97CF7"/>
    <w:rsid w:val="00AA1C3F"/>
    <w:rsid w:val="00AA54A6"/>
    <w:rsid w:val="00AA62C5"/>
    <w:rsid w:val="00AA72F5"/>
    <w:rsid w:val="00AB0016"/>
    <w:rsid w:val="00AB156A"/>
    <w:rsid w:val="00AB1949"/>
    <w:rsid w:val="00AB1B0F"/>
    <w:rsid w:val="00AB3E7F"/>
    <w:rsid w:val="00AB6013"/>
    <w:rsid w:val="00AB7C11"/>
    <w:rsid w:val="00AC5E5C"/>
    <w:rsid w:val="00AC6F45"/>
    <w:rsid w:val="00AD04F0"/>
    <w:rsid w:val="00AD2868"/>
    <w:rsid w:val="00AD4CFD"/>
    <w:rsid w:val="00AD5786"/>
    <w:rsid w:val="00AD6893"/>
    <w:rsid w:val="00AE185D"/>
    <w:rsid w:val="00AE2045"/>
    <w:rsid w:val="00AE46B0"/>
    <w:rsid w:val="00AE4CB3"/>
    <w:rsid w:val="00AE628E"/>
    <w:rsid w:val="00AF15B9"/>
    <w:rsid w:val="00AF4849"/>
    <w:rsid w:val="00AF5252"/>
    <w:rsid w:val="00B00836"/>
    <w:rsid w:val="00B02CE3"/>
    <w:rsid w:val="00B03008"/>
    <w:rsid w:val="00B052C3"/>
    <w:rsid w:val="00B07C63"/>
    <w:rsid w:val="00B07CAF"/>
    <w:rsid w:val="00B12771"/>
    <w:rsid w:val="00B137C6"/>
    <w:rsid w:val="00B15312"/>
    <w:rsid w:val="00B2185C"/>
    <w:rsid w:val="00B265C0"/>
    <w:rsid w:val="00B30F4C"/>
    <w:rsid w:val="00B367BE"/>
    <w:rsid w:val="00B37065"/>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61CD"/>
    <w:rsid w:val="00C2005E"/>
    <w:rsid w:val="00C220B7"/>
    <w:rsid w:val="00C26502"/>
    <w:rsid w:val="00C26570"/>
    <w:rsid w:val="00C2762F"/>
    <w:rsid w:val="00C353A0"/>
    <w:rsid w:val="00C36682"/>
    <w:rsid w:val="00C40378"/>
    <w:rsid w:val="00C41367"/>
    <w:rsid w:val="00C42324"/>
    <w:rsid w:val="00C478EA"/>
    <w:rsid w:val="00C47C4A"/>
    <w:rsid w:val="00C510FD"/>
    <w:rsid w:val="00C51E33"/>
    <w:rsid w:val="00C554E6"/>
    <w:rsid w:val="00C57074"/>
    <w:rsid w:val="00C62BDF"/>
    <w:rsid w:val="00C65466"/>
    <w:rsid w:val="00C673B0"/>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5918"/>
    <w:rsid w:val="00D27F8F"/>
    <w:rsid w:val="00D30C5D"/>
    <w:rsid w:val="00D328B8"/>
    <w:rsid w:val="00D33634"/>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6D1B"/>
    <w:rsid w:val="00DE1FDE"/>
    <w:rsid w:val="00DE2E58"/>
    <w:rsid w:val="00DE359D"/>
    <w:rsid w:val="00DE3A08"/>
    <w:rsid w:val="00DE549E"/>
    <w:rsid w:val="00DF0220"/>
    <w:rsid w:val="00DF4F8A"/>
    <w:rsid w:val="00DF790A"/>
    <w:rsid w:val="00E003D2"/>
    <w:rsid w:val="00E02204"/>
    <w:rsid w:val="00E03378"/>
    <w:rsid w:val="00E04954"/>
    <w:rsid w:val="00E04BD8"/>
    <w:rsid w:val="00E05E0F"/>
    <w:rsid w:val="00E06D63"/>
    <w:rsid w:val="00E107BB"/>
    <w:rsid w:val="00E14146"/>
    <w:rsid w:val="00E1603B"/>
    <w:rsid w:val="00E17112"/>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774"/>
    <w:rsid w:val="00F21D56"/>
    <w:rsid w:val="00F23C32"/>
    <w:rsid w:val="00F256A6"/>
    <w:rsid w:val="00F25D7E"/>
    <w:rsid w:val="00F265D6"/>
    <w:rsid w:val="00F31DF8"/>
    <w:rsid w:val="00F32859"/>
    <w:rsid w:val="00F334AA"/>
    <w:rsid w:val="00F33730"/>
    <w:rsid w:val="00F40A56"/>
    <w:rsid w:val="00F44489"/>
    <w:rsid w:val="00F44B81"/>
    <w:rsid w:val="00F4758A"/>
    <w:rsid w:val="00F475EF"/>
    <w:rsid w:val="00F5003E"/>
    <w:rsid w:val="00F5478B"/>
    <w:rsid w:val="00F54A86"/>
    <w:rsid w:val="00F56012"/>
    <w:rsid w:val="00F60ABD"/>
    <w:rsid w:val="00F62E9D"/>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73F"/>
    <w:rsid w:val="00FB001F"/>
    <w:rsid w:val="00FB0CF3"/>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davidstevens@utah.gov"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ollins\Documents\Projects\Piles%20Near%20MSE%20Walls%20Phase%202\Single%20&amp;%20Group%20Tests\Group%20Test%20No-Reload%20Curv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93744531933508"/>
          <c:y val="6.5231481481481488E-2"/>
          <c:w val="0.80017366579177607"/>
          <c:h val="0.75329505686789155"/>
        </c:manualLayout>
      </c:layout>
      <c:scatterChart>
        <c:scatterStyle val="lineMarker"/>
        <c:varyColors val="0"/>
        <c:ser>
          <c:idx val="0"/>
          <c:order val="0"/>
          <c:tx>
            <c:strRef>
              <c:f>Sheet1!$S$44</c:f>
              <c:strCache>
                <c:ptCount val="1"/>
                <c:pt idx="0">
                  <c:v>Single</c:v>
                </c:pt>
              </c:strCache>
            </c:strRef>
          </c:tx>
          <c:spPr>
            <a:ln w="19050" cap="rnd">
              <a:solidFill>
                <a:schemeClr val="tx1"/>
              </a:solidFill>
              <a:round/>
            </a:ln>
            <a:effectLst/>
          </c:spPr>
          <c:marker>
            <c:symbol val="circle"/>
            <c:size val="6"/>
            <c:spPr>
              <a:solidFill>
                <a:schemeClr val="tx1"/>
              </a:solidFill>
              <a:ln w="9525">
                <a:solidFill>
                  <a:srgbClr val="0070C0"/>
                </a:solidFill>
              </a:ln>
              <a:effectLst/>
            </c:spPr>
          </c:marker>
          <c:xVal>
            <c:numRef>
              <c:f>Sheet1!$T$48:$T$70</c:f>
              <c:numCache>
                <c:formatCode>General</c:formatCode>
                <c:ptCount val="23"/>
                <c:pt idx="0">
                  <c:v>0</c:v>
                </c:pt>
                <c:pt idx="1">
                  <c:v>0.15000000000000036</c:v>
                </c:pt>
                <c:pt idx="2">
                  <c:v>0.15000000000000036</c:v>
                </c:pt>
                <c:pt idx="3">
                  <c:v>0.25999999999999979</c:v>
                </c:pt>
                <c:pt idx="4">
                  <c:v>0.25999999999999979</c:v>
                </c:pt>
                <c:pt idx="5">
                  <c:v>0.50999999999999979</c:v>
                </c:pt>
                <c:pt idx="6">
                  <c:v>0.52000000000000046</c:v>
                </c:pt>
                <c:pt idx="7">
                  <c:v>0.75999999999999979</c:v>
                </c:pt>
                <c:pt idx="8">
                  <c:v>0.79</c:v>
                </c:pt>
                <c:pt idx="9">
                  <c:v>1.0099999999999998</c:v>
                </c:pt>
                <c:pt idx="10">
                  <c:v>1.0300000000000002</c:v>
                </c:pt>
                <c:pt idx="11">
                  <c:v>1.2599999999999998</c:v>
                </c:pt>
                <c:pt idx="12">
                  <c:v>1.2800000000000002</c:v>
                </c:pt>
                <c:pt idx="13">
                  <c:v>1.5200000000000005</c:v>
                </c:pt>
                <c:pt idx="14">
                  <c:v>1.5300000000000002</c:v>
                </c:pt>
                <c:pt idx="15">
                  <c:v>1.7599999999999998</c:v>
                </c:pt>
                <c:pt idx="16">
                  <c:v>1.7800000000000002</c:v>
                </c:pt>
                <c:pt idx="17">
                  <c:v>2.0200000000000005</c:v>
                </c:pt>
                <c:pt idx="18">
                  <c:v>2.04</c:v>
                </c:pt>
                <c:pt idx="19">
                  <c:v>2.2599999999999998</c:v>
                </c:pt>
                <c:pt idx="20">
                  <c:v>2.2800000000000002</c:v>
                </c:pt>
                <c:pt idx="21">
                  <c:v>2.5599999999999996</c:v>
                </c:pt>
                <c:pt idx="22">
                  <c:v>2.5599999999999996</c:v>
                </c:pt>
              </c:numCache>
            </c:numRef>
          </c:xVal>
          <c:yVal>
            <c:numRef>
              <c:f>Sheet1!$U$48:$U$70</c:f>
              <c:numCache>
                <c:formatCode>General</c:formatCode>
                <c:ptCount val="23"/>
                <c:pt idx="0">
                  <c:v>0</c:v>
                </c:pt>
                <c:pt idx="1">
                  <c:v>16.643999999999998</c:v>
                </c:pt>
                <c:pt idx="2">
                  <c:v>15.768000000000001</c:v>
                </c:pt>
                <c:pt idx="3">
                  <c:v>23.652000000000001</c:v>
                </c:pt>
                <c:pt idx="4">
                  <c:v>22.776</c:v>
                </c:pt>
                <c:pt idx="5">
                  <c:v>37.667999999999999</c:v>
                </c:pt>
                <c:pt idx="6">
                  <c:v>35.915999999999997</c:v>
                </c:pt>
                <c:pt idx="7">
                  <c:v>46.427999999999997</c:v>
                </c:pt>
                <c:pt idx="8">
                  <c:v>44.675999999999995</c:v>
                </c:pt>
                <c:pt idx="9">
                  <c:v>54.311999999999998</c:v>
                </c:pt>
                <c:pt idx="10">
                  <c:v>52.559999999999995</c:v>
                </c:pt>
                <c:pt idx="11">
                  <c:v>60.443999999999996</c:v>
                </c:pt>
                <c:pt idx="12">
                  <c:v>57.815999999999995</c:v>
                </c:pt>
                <c:pt idx="13">
                  <c:v>65.7</c:v>
                </c:pt>
                <c:pt idx="14">
                  <c:v>63.072000000000003</c:v>
                </c:pt>
                <c:pt idx="15">
                  <c:v>70.955999999999989</c:v>
                </c:pt>
                <c:pt idx="16">
                  <c:v>67.451999999999998</c:v>
                </c:pt>
                <c:pt idx="17">
                  <c:v>73.584000000000003</c:v>
                </c:pt>
                <c:pt idx="18">
                  <c:v>70.955999999999989</c:v>
                </c:pt>
                <c:pt idx="19">
                  <c:v>75.335999999999999</c:v>
                </c:pt>
                <c:pt idx="20">
                  <c:v>72.707999999999998</c:v>
                </c:pt>
                <c:pt idx="21">
                  <c:v>77.087999999999994</c:v>
                </c:pt>
                <c:pt idx="22">
                  <c:v>77.087999999999994</c:v>
                </c:pt>
              </c:numCache>
            </c:numRef>
          </c:yVal>
          <c:smooth val="0"/>
          <c:extLst xmlns:c16r2="http://schemas.microsoft.com/office/drawing/2015/06/chart">
            <c:ext xmlns:c16="http://schemas.microsoft.com/office/drawing/2014/chart" uri="{C3380CC4-5D6E-409C-BE32-E72D297353CC}">
              <c16:uniqueId val="{00000000-E197-4DEE-B5E9-4B6CC4767A52}"/>
            </c:ext>
          </c:extLst>
        </c:ser>
        <c:ser>
          <c:idx val="1"/>
          <c:order val="1"/>
          <c:tx>
            <c:strRef>
              <c:f>Sheet1!$S$2</c:f>
              <c:strCache>
                <c:ptCount val="1"/>
                <c:pt idx="0">
                  <c:v>East </c:v>
                </c:pt>
              </c:strCache>
            </c:strRef>
          </c:tx>
          <c:spPr>
            <a:ln w="25400" cap="rnd">
              <a:solidFill>
                <a:srgbClr val="00B050"/>
              </a:solidFill>
              <a:round/>
            </a:ln>
            <a:effectLst/>
          </c:spPr>
          <c:marker>
            <c:symbol val="diamond"/>
            <c:size val="7"/>
            <c:spPr>
              <a:solidFill>
                <a:srgbClr val="00B050"/>
              </a:solidFill>
              <a:ln w="9525">
                <a:solidFill>
                  <a:srgbClr val="00B050"/>
                </a:solidFill>
              </a:ln>
              <a:effectLst/>
            </c:spPr>
          </c:marker>
          <c:xVal>
            <c:numRef>
              <c:f>Sheet1!$S$7:$S$31</c:f>
              <c:numCache>
                <c:formatCode>General</c:formatCode>
                <c:ptCount val="25"/>
                <c:pt idx="0">
                  <c:v>0</c:v>
                </c:pt>
                <c:pt idx="1">
                  <c:v>7.0000000000000007E-2</c:v>
                </c:pt>
                <c:pt idx="2">
                  <c:v>9.0000000000000024E-2</c:v>
                </c:pt>
                <c:pt idx="3">
                  <c:v>0.2</c:v>
                </c:pt>
                <c:pt idx="4">
                  <c:v>0.2</c:v>
                </c:pt>
                <c:pt idx="5">
                  <c:v>0.36000000000000004</c:v>
                </c:pt>
                <c:pt idx="6">
                  <c:v>0.36999999999999994</c:v>
                </c:pt>
                <c:pt idx="7">
                  <c:v>0.62000000000000011</c:v>
                </c:pt>
                <c:pt idx="8">
                  <c:v>0.64000000000000012</c:v>
                </c:pt>
                <c:pt idx="9">
                  <c:v>0.94</c:v>
                </c:pt>
                <c:pt idx="10">
                  <c:v>0.97</c:v>
                </c:pt>
                <c:pt idx="11">
                  <c:v>1.21</c:v>
                </c:pt>
                <c:pt idx="12">
                  <c:v>1.23</c:v>
                </c:pt>
                <c:pt idx="13">
                  <c:v>#N/A</c:v>
                </c:pt>
                <c:pt idx="14">
                  <c:v>#N/A</c:v>
                </c:pt>
                <c:pt idx="15">
                  <c:v>#N/A</c:v>
                </c:pt>
                <c:pt idx="16">
                  <c:v>#N/A</c:v>
                </c:pt>
                <c:pt idx="17">
                  <c:v>1.24</c:v>
                </c:pt>
                <c:pt idx="18">
                  <c:v>1.27</c:v>
                </c:pt>
                <c:pt idx="19">
                  <c:v>1.49</c:v>
                </c:pt>
                <c:pt idx="20">
                  <c:v>1.52</c:v>
                </c:pt>
                <c:pt idx="21">
                  <c:v>1.8</c:v>
                </c:pt>
                <c:pt idx="22">
                  <c:v>1.82</c:v>
                </c:pt>
                <c:pt idx="23">
                  <c:v>2.17</c:v>
                </c:pt>
                <c:pt idx="24">
                  <c:v>2.19</c:v>
                </c:pt>
              </c:numCache>
            </c:numRef>
          </c:xVal>
          <c:yVal>
            <c:numRef>
              <c:f>Sheet1!$P$7:$P$31</c:f>
              <c:numCache>
                <c:formatCode>General</c:formatCode>
                <c:ptCount val="25"/>
                <c:pt idx="0">
                  <c:v>0</c:v>
                </c:pt>
                <c:pt idx="1">
                  <c:v>5</c:v>
                </c:pt>
                <c:pt idx="2">
                  <c:v>4.9000000000000004</c:v>
                </c:pt>
                <c:pt idx="3">
                  <c:v>12.4</c:v>
                </c:pt>
                <c:pt idx="4">
                  <c:v>11.7</c:v>
                </c:pt>
                <c:pt idx="5">
                  <c:v>20.100000000000001</c:v>
                </c:pt>
                <c:pt idx="6">
                  <c:v>18.5</c:v>
                </c:pt>
                <c:pt idx="7">
                  <c:v>27.1</c:v>
                </c:pt>
                <c:pt idx="8">
                  <c:v>25.2</c:v>
                </c:pt>
                <c:pt idx="9">
                  <c:v>34.1</c:v>
                </c:pt>
                <c:pt idx="10">
                  <c:v>32</c:v>
                </c:pt>
                <c:pt idx="11">
                  <c:v>38.299999999999997</c:v>
                </c:pt>
                <c:pt idx="12">
                  <c:v>35.9</c:v>
                </c:pt>
                <c:pt idx="13">
                  <c:v>#N/A</c:v>
                </c:pt>
                <c:pt idx="14">
                  <c:v>#N/A</c:v>
                </c:pt>
                <c:pt idx="15">
                  <c:v>#N/A</c:v>
                </c:pt>
                <c:pt idx="16">
                  <c:v>#N/A</c:v>
                </c:pt>
                <c:pt idx="17">
                  <c:v>39</c:v>
                </c:pt>
                <c:pt idx="18">
                  <c:v>38.299999999999997</c:v>
                </c:pt>
                <c:pt idx="19">
                  <c:v>44</c:v>
                </c:pt>
                <c:pt idx="20">
                  <c:v>42.1</c:v>
                </c:pt>
                <c:pt idx="21">
                  <c:v>47.5</c:v>
                </c:pt>
                <c:pt idx="22">
                  <c:v>45.2</c:v>
                </c:pt>
                <c:pt idx="23">
                  <c:v>51.9</c:v>
                </c:pt>
                <c:pt idx="24">
                  <c:v>49.4</c:v>
                </c:pt>
              </c:numCache>
            </c:numRef>
          </c:yVal>
          <c:smooth val="0"/>
          <c:extLst xmlns:c16r2="http://schemas.microsoft.com/office/drawing/2015/06/chart">
            <c:ext xmlns:c16="http://schemas.microsoft.com/office/drawing/2014/chart" uri="{C3380CC4-5D6E-409C-BE32-E72D297353CC}">
              <c16:uniqueId val="{00000001-E197-4DEE-B5E9-4B6CC4767A52}"/>
            </c:ext>
          </c:extLst>
        </c:ser>
        <c:ser>
          <c:idx val="2"/>
          <c:order val="2"/>
          <c:tx>
            <c:strRef>
              <c:f>Sheet1!$R$2</c:f>
              <c:strCache>
                <c:ptCount val="1"/>
                <c:pt idx="0">
                  <c:v>Center</c:v>
                </c:pt>
              </c:strCache>
            </c:strRef>
          </c:tx>
          <c:spPr>
            <a:ln w="19050" cap="rnd">
              <a:solidFill>
                <a:srgbClr val="0070C0"/>
              </a:solidFill>
              <a:round/>
            </a:ln>
            <a:effectLst/>
          </c:spPr>
          <c:marker>
            <c:symbol val="triangle"/>
            <c:size val="7"/>
            <c:spPr>
              <a:solidFill>
                <a:srgbClr val="0070C0"/>
              </a:solidFill>
              <a:ln w="9525">
                <a:solidFill>
                  <a:srgbClr val="0070C0"/>
                </a:solidFill>
              </a:ln>
              <a:effectLst/>
            </c:spPr>
          </c:marker>
          <c:xVal>
            <c:numRef>
              <c:f>Sheet1!$R$7:$R$31</c:f>
              <c:numCache>
                <c:formatCode>General</c:formatCode>
                <c:ptCount val="25"/>
                <c:pt idx="0">
                  <c:v>0</c:v>
                </c:pt>
                <c:pt idx="1">
                  <c:v>8.0000000000000071E-2</c:v>
                </c:pt>
                <c:pt idx="2">
                  <c:v>9.0000000000000302E-2</c:v>
                </c:pt>
                <c:pt idx="3">
                  <c:v>0.18999999999999995</c:v>
                </c:pt>
                <c:pt idx="4">
                  <c:v>0.20000000000000018</c:v>
                </c:pt>
                <c:pt idx="5">
                  <c:v>0.40000000000000036</c:v>
                </c:pt>
                <c:pt idx="6">
                  <c:v>0.42000000000000037</c:v>
                </c:pt>
                <c:pt idx="7">
                  <c:v>0.71</c:v>
                </c:pt>
                <c:pt idx="8">
                  <c:v>0.73</c:v>
                </c:pt>
                <c:pt idx="9">
                  <c:v>1.02</c:v>
                </c:pt>
                <c:pt idx="10">
                  <c:v>1.0300000000000002</c:v>
                </c:pt>
                <c:pt idx="11">
                  <c:v>1.27</c:v>
                </c:pt>
                <c:pt idx="12">
                  <c:v>1.29</c:v>
                </c:pt>
                <c:pt idx="13">
                  <c:v>#N/A</c:v>
                </c:pt>
                <c:pt idx="14">
                  <c:v>#N/A</c:v>
                </c:pt>
                <c:pt idx="15">
                  <c:v>#N/A</c:v>
                </c:pt>
                <c:pt idx="16">
                  <c:v>#N/A</c:v>
                </c:pt>
                <c:pt idx="17">
                  <c:v>1.2400000000000002</c:v>
                </c:pt>
                <c:pt idx="18">
                  <c:v>1.2600000000000002</c:v>
                </c:pt>
                <c:pt idx="19">
                  <c:v>1.5699999999999998</c:v>
                </c:pt>
                <c:pt idx="20">
                  <c:v>1.6099999999999999</c:v>
                </c:pt>
                <c:pt idx="21">
                  <c:v>1.9200000000000004</c:v>
                </c:pt>
                <c:pt idx="22">
                  <c:v>1.94</c:v>
                </c:pt>
                <c:pt idx="23">
                  <c:v>2.23</c:v>
                </c:pt>
                <c:pt idx="24">
                  <c:v>2.2500000000000004</c:v>
                </c:pt>
              </c:numCache>
            </c:numRef>
          </c:xVal>
          <c:yVal>
            <c:numRef>
              <c:f>Sheet1!$O$7:$O$31</c:f>
              <c:numCache>
                <c:formatCode>General</c:formatCode>
                <c:ptCount val="25"/>
                <c:pt idx="0">
                  <c:v>0</c:v>
                </c:pt>
                <c:pt idx="1">
                  <c:v>9.6999999999999993</c:v>
                </c:pt>
                <c:pt idx="2">
                  <c:v>9.5</c:v>
                </c:pt>
                <c:pt idx="3">
                  <c:v>20.9</c:v>
                </c:pt>
                <c:pt idx="4">
                  <c:v>20</c:v>
                </c:pt>
                <c:pt idx="5">
                  <c:v>32.299999999999997</c:v>
                </c:pt>
                <c:pt idx="6">
                  <c:v>30.4</c:v>
                </c:pt>
                <c:pt idx="7">
                  <c:v>42.5</c:v>
                </c:pt>
                <c:pt idx="8">
                  <c:v>40.200000000000003</c:v>
                </c:pt>
                <c:pt idx="9">
                  <c:v>50.9</c:v>
                </c:pt>
                <c:pt idx="10">
                  <c:v>48.3</c:v>
                </c:pt>
                <c:pt idx="11">
                  <c:v>57.1</c:v>
                </c:pt>
                <c:pt idx="12">
                  <c:v>54.2</c:v>
                </c:pt>
                <c:pt idx="13">
                  <c:v>#N/A</c:v>
                </c:pt>
                <c:pt idx="14">
                  <c:v>#N/A</c:v>
                </c:pt>
                <c:pt idx="15">
                  <c:v>#N/A</c:v>
                </c:pt>
                <c:pt idx="16">
                  <c:v>#N/A</c:v>
                </c:pt>
                <c:pt idx="17">
                  <c:v>59.9</c:v>
                </c:pt>
                <c:pt idx="18">
                  <c:v>57.6</c:v>
                </c:pt>
                <c:pt idx="19">
                  <c:v>68.3</c:v>
                </c:pt>
                <c:pt idx="20">
                  <c:v>65.3</c:v>
                </c:pt>
                <c:pt idx="21">
                  <c:v>72.900000000000006</c:v>
                </c:pt>
                <c:pt idx="22">
                  <c:v>70.099999999999994</c:v>
                </c:pt>
                <c:pt idx="23">
                  <c:v>77.400000000000006</c:v>
                </c:pt>
                <c:pt idx="24">
                  <c:v>74.099999999999994</c:v>
                </c:pt>
              </c:numCache>
            </c:numRef>
          </c:yVal>
          <c:smooth val="0"/>
          <c:extLst xmlns:c16r2="http://schemas.microsoft.com/office/drawing/2015/06/chart">
            <c:ext xmlns:c16="http://schemas.microsoft.com/office/drawing/2014/chart" uri="{C3380CC4-5D6E-409C-BE32-E72D297353CC}">
              <c16:uniqueId val="{00000002-E197-4DEE-B5E9-4B6CC4767A52}"/>
            </c:ext>
          </c:extLst>
        </c:ser>
        <c:ser>
          <c:idx val="3"/>
          <c:order val="3"/>
          <c:tx>
            <c:strRef>
              <c:f>Sheet1!$T$2</c:f>
              <c:strCache>
                <c:ptCount val="1"/>
                <c:pt idx="0">
                  <c:v>West</c:v>
                </c:pt>
              </c:strCache>
            </c:strRef>
          </c:tx>
          <c:spPr>
            <a:ln w="19050" cap="rnd">
              <a:solidFill>
                <a:srgbClr val="FF0000"/>
              </a:solidFill>
              <a:round/>
            </a:ln>
            <a:effectLst/>
          </c:spPr>
          <c:marker>
            <c:symbol val="circle"/>
            <c:size val="6"/>
            <c:spPr>
              <a:solidFill>
                <a:srgbClr val="FF0000"/>
              </a:solidFill>
              <a:ln w="9525">
                <a:solidFill>
                  <a:srgbClr val="FF0000"/>
                </a:solidFill>
              </a:ln>
              <a:effectLst/>
            </c:spPr>
          </c:marker>
          <c:xVal>
            <c:numRef>
              <c:f>Sheet1!$T$7:$T$31</c:f>
              <c:numCache>
                <c:formatCode>General</c:formatCode>
                <c:ptCount val="25"/>
                <c:pt idx="0">
                  <c:v>0</c:v>
                </c:pt>
                <c:pt idx="1">
                  <c:v>6.0000000000000053E-2</c:v>
                </c:pt>
                <c:pt idx="2">
                  <c:v>6.0000000000000053E-2</c:v>
                </c:pt>
                <c:pt idx="3">
                  <c:v>0.13999999999999968</c:v>
                </c:pt>
                <c:pt idx="4">
                  <c:v>0.13999999999999968</c:v>
                </c:pt>
                <c:pt idx="5">
                  <c:v>0.31999999999999984</c:v>
                </c:pt>
                <c:pt idx="6">
                  <c:v>0.33999999999999986</c:v>
                </c:pt>
                <c:pt idx="7">
                  <c:v>0.62999999999999989</c:v>
                </c:pt>
                <c:pt idx="8">
                  <c:v>0.62999999999999989</c:v>
                </c:pt>
                <c:pt idx="9">
                  <c:v>0.91000000000000014</c:v>
                </c:pt>
                <c:pt idx="10">
                  <c:v>0.91999999999999993</c:v>
                </c:pt>
                <c:pt idx="11">
                  <c:v>1.1899999999999995</c:v>
                </c:pt>
                <c:pt idx="12">
                  <c:v>1.1899999999999995</c:v>
                </c:pt>
                <c:pt idx="13">
                  <c:v>#N/A</c:v>
                </c:pt>
                <c:pt idx="14">
                  <c:v>#N/A</c:v>
                </c:pt>
                <c:pt idx="15">
                  <c:v>#N/A</c:v>
                </c:pt>
                <c:pt idx="16">
                  <c:v>#N/A</c:v>
                </c:pt>
                <c:pt idx="17">
                  <c:v>1.1299999999999999</c:v>
                </c:pt>
                <c:pt idx="18">
                  <c:v>1.1499999999999995</c:v>
                </c:pt>
                <c:pt idx="19">
                  <c:v>1.5999999999999996</c:v>
                </c:pt>
                <c:pt idx="20">
                  <c:v>1.6399999999999997</c:v>
                </c:pt>
                <c:pt idx="21">
                  <c:v>2.0499999999999998</c:v>
                </c:pt>
                <c:pt idx="22">
                  <c:v>2.08</c:v>
                </c:pt>
                <c:pt idx="23">
                  <c:v>2.3499999999999996</c:v>
                </c:pt>
                <c:pt idx="24">
                  <c:v>2.37</c:v>
                </c:pt>
              </c:numCache>
            </c:numRef>
          </c:xVal>
          <c:yVal>
            <c:numRef>
              <c:f>Sheet1!$Q$7:$Q$31</c:f>
              <c:numCache>
                <c:formatCode>General</c:formatCode>
                <c:ptCount val="25"/>
                <c:pt idx="0">
                  <c:v>0</c:v>
                </c:pt>
                <c:pt idx="1">
                  <c:v>7.5</c:v>
                </c:pt>
                <c:pt idx="2">
                  <c:v>7.1</c:v>
                </c:pt>
                <c:pt idx="3">
                  <c:v>12.2</c:v>
                </c:pt>
                <c:pt idx="4">
                  <c:v>11.6</c:v>
                </c:pt>
                <c:pt idx="5">
                  <c:v>20.3</c:v>
                </c:pt>
                <c:pt idx="6">
                  <c:v>19.100000000000001</c:v>
                </c:pt>
                <c:pt idx="7">
                  <c:v>28.5</c:v>
                </c:pt>
                <c:pt idx="8">
                  <c:v>27</c:v>
                </c:pt>
                <c:pt idx="9">
                  <c:v>34.299999999999997</c:v>
                </c:pt>
                <c:pt idx="10">
                  <c:v>32.299999999999997</c:v>
                </c:pt>
                <c:pt idx="11">
                  <c:v>38.700000000000003</c:v>
                </c:pt>
                <c:pt idx="12">
                  <c:v>36.5</c:v>
                </c:pt>
                <c:pt idx="13">
                  <c:v>#N/A</c:v>
                </c:pt>
                <c:pt idx="14">
                  <c:v>#N/A</c:v>
                </c:pt>
                <c:pt idx="15">
                  <c:v>#N/A</c:v>
                </c:pt>
                <c:pt idx="16">
                  <c:v>#N/A</c:v>
                </c:pt>
                <c:pt idx="17">
                  <c:v>37.9</c:v>
                </c:pt>
                <c:pt idx="18">
                  <c:v>36.1</c:v>
                </c:pt>
                <c:pt idx="19">
                  <c:v>45.1</c:v>
                </c:pt>
                <c:pt idx="20">
                  <c:v>42.8</c:v>
                </c:pt>
                <c:pt idx="21">
                  <c:v>42.7</c:v>
                </c:pt>
                <c:pt idx="22">
                  <c:v>41.3</c:v>
                </c:pt>
                <c:pt idx="23">
                  <c:v>45.2</c:v>
                </c:pt>
                <c:pt idx="24">
                  <c:v>43.4</c:v>
                </c:pt>
              </c:numCache>
            </c:numRef>
          </c:yVal>
          <c:smooth val="0"/>
          <c:extLst xmlns:c16r2="http://schemas.microsoft.com/office/drawing/2015/06/chart">
            <c:ext xmlns:c16="http://schemas.microsoft.com/office/drawing/2014/chart" uri="{C3380CC4-5D6E-409C-BE32-E72D297353CC}">
              <c16:uniqueId val="{00000003-E197-4DEE-B5E9-4B6CC4767A52}"/>
            </c:ext>
          </c:extLst>
        </c:ser>
        <c:dLbls>
          <c:showLegendKey val="0"/>
          <c:showVal val="0"/>
          <c:showCatName val="0"/>
          <c:showSerName val="0"/>
          <c:showPercent val="0"/>
          <c:showBubbleSize val="0"/>
        </c:dLbls>
        <c:axId val="138445184"/>
        <c:axId val="138447488"/>
      </c:scatterChart>
      <c:valAx>
        <c:axId val="138445184"/>
        <c:scaling>
          <c:orientation val="minMax"/>
          <c:max val="3"/>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a:t>Pile</a:t>
                </a:r>
                <a:r>
                  <a:rPr lang="en-US" baseline="0"/>
                  <a:t> Head Displacement (in)</a:t>
                </a:r>
                <a:endParaRPr lang="en-US"/>
              </a:p>
            </c:rich>
          </c:tx>
          <c:layout>
            <c:manualLayout>
              <c:xMode val="edge"/>
              <c:yMode val="edge"/>
              <c:x val="0.31394094488188978"/>
              <c:y val="0.91982292213473316"/>
            </c:manualLayout>
          </c:layout>
          <c:overlay val="0"/>
          <c:spPr>
            <a:noFill/>
            <a:ln>
              <a:noFill/>
            </a:ln>
            <a:effectLst/>
          </c:spPr>
        </c:title>
        <c:numFmt formatCode="General" sourceLinked="1"/>
        <c:majorTickMark val="cross"/>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38447488"/>
        <c:crosses val="autoZero"/>
        <c:crossBetween val="midCat"/>
      </c:valAx>
      <c:valAx>
        <c:axId val="138447488"/>
        <c:scaling>
          <c:orientation val="minMax"/>
          <c:max val="16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a:t>Pile Head Load (kips)</a:t>
                </a:r>
              </a:p>
            </c:rich>
          </c:tx>
          <c:layout>
            <c:manualLayout>
              <c:xMode val="edge"/>
              <c:yMode val="edge"/>
              <c:x val="0"/>
              <c:y val="0.19889273840769908"/>
            </c:manualLayout>
          </c:layout>
          <c:overlay val="0"/>
          <c:spPr>
            <a:noFill/>
            <a:ln>
              <a:noFill/>
            </a:ln>
            <a:effectLst/>
          </c:spPr>
        </c:title>
        <c:numFmt formatCode="General" sourceLinked="1"/>
        <c:majorTickMark val="cross"/>
        <c:minorTickMark val="in"/>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crossAx val="138445184"/>
        <c:crosses val="autoZero"/>
        <c:crossBetween val="midCat"/>
      </c:valAx>
      <c:spPr>
        <a:noFill/>
        <a:ln w="19050">
          <a:solidFill>
            <a:schemeClr val="tx1"/>
          </a:solidFill>
        </a:ln>
        <a:effectLst/>
      </c:spPr>
    </c:plotArea>
    <c:legend>
      <c:legendPos val="r"/>
      <c:layout>
        <c:manualLayout>
          <c:xMode val="edge"/>
          <c:yMode val="edge"/>
          <c:x val="0.20426377952755909"/>
          <c:y val="0.10877989209682125"/>
          <c:w val="0.18838932633420821"/>
          <c:h val="0.259324876057159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200">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D3765-5EBE-4833-9120-547CC318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7</cp:revision>
  <cp:lastPrinted>2011-06-21T20:32:00Z</cp:lastPrinted>
  <dcterms:created xsi:type="dcterms:W3CDTF">2019-05-09T00:29:00Z</dcterms:created>
  <dcterms:modified xsi:type="dcterms:W3CDTF">2019-05-09T21:25:00Z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