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522535">
        <w:rPr>
          <w:rFonts w:ascii="Arial" w:hAnsi="Arial" w:cs="Arial"/>
          <w:sz w:val="24"/>
          <w:szCs w:val="24"/>
        </w:rPr>
        <w:t>1/30</w:t>
      </w:r>
      <w:r w:rsidR="00BC025A">
        <w:rPr>
          <w:rFonts w:ascii="Arial" w:hAnsi="Arial" w:cs="Arial"/>
          <w:sz w:val="24"/>
          <w:szCs w:val="24"/>
        </w:rPr>
        <w:t>/2019</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22535"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D72E92">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522535"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582289">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522535"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44043A">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522535" w:rsidP="0065500C">
            <w:pPr>
              <w:spacing w:before="120"/>
              <w:ind w:right="-720"/>
              <w:rPr>
                <w:rFonts w:ascii="Arial" w:hAnsi="Arial" w:cs="Arial"/>
                <w:sz w:val="20"/>
                <w:szCs w:val="20"/>
              </w:rPr>
            </w:pPr>
            <w:sdt>
              <w:sdtPr>
                <w:rPr>
                  <w:rFonts w:ascii="Arial" w:hAnsi="Arial" w:cs="Arial"/>
                  <w:sz w:val="24"/>
                  <w:szCs w:val="36"/>
                </w:rPr>
                <w:id w:val="1674843121"/>
                <w14:checkbox>
                  <w14:checked w14:val="1"/>
                  <w14:checkedState w14:val="2612" w14:font="MS Gothic"/>
                  <w14:uncheckedState w14:val="2610" w14:font="MS Gothic"/>
                </w14:checkbox>
              </w:sdtPr>
              <w:sdtEndPr/>
              <w:sdtContent>
                <w:r w:rsidR="0044043A">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4C3104" w:rsidP="00786BF4">
            <w:pPr>
              <w:ind w:right="-720"/>
              <w:rPr>
                <w:rFonts w:ascii="Arial" w:hAnsi="Arial" w:cs="Arial"/>
                <w:sz w:val="20"/>
                <w:szCs w:val="20"/>
              </w:rPr>
            </w:pPr>
            <w:r>
              <w:rPr>
                <w:rFonts w:ascii="Arial" w:hAnsi="Arial" w:cs="Arial"/>
                <w:sz w:val="20"/>
                <w:szCs w:val="20"/>
              </w:rPr>
              <w:t>Apr. 16, 2020</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4C3104" w:rsidP="00786BF4">
            <w:pPr>
              <w:ind w:right="-720"/>
              <w:rPr>
                <w:rFonts w:ascii="Arial" w:hAnsi="Arial" w:cs="Arial"/>
                <w:sz w:val="20"/>
                <w:szCs w:val="20"/>
              </w:rPr>
            </w:pPr>
            <w:r>
              <w:rPr>
                <w:rFonts w:ascii="Arial" w:hAnsi="Arial" w:cs="Arial"/>
                <w:sz w:val="20"/>
                <w:szCs w:val="20"/>
              </w:rPr>
              <w:t>3</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lastRenderedPageBreak/>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522535" w:rsidP="00551D8A">
            <w:pPr>
              <w:ind w:right="-720"/>
              <w:rPr>
                <w:rFonts w:ascii="Arial" w:hAnsi="Arial" w:cs="Arial"/>
                <w:sz w:val="20"/>
                <w:szCs w:val="20"/>
                <w:highlight w:val="yellow"/>
              </w:rPr>
            </w:pPr>
            <w:r w:rsidRPr="00522535">
              <w:rPr>
                <w:rFonts w:ascii="Arial" w:hAnsi="Arial" w:cs="Arial"/>
                <w:sz w:val="20"/>
                <w:szCs w:val="20"/>
              </w:rPr>
              <w:t>4,382,976</w:t>
            </w:r>
          </w:p>
        </w:tc>
        <w:tc>
          <w:tcPr>
            <w:tcW w:w="3330" w:type="dxa"/>
          </w:tcPr>
          <w:p w:rsidR="00874EF7" w:rsidRPr="00B73B47" w:rsidRDefault="00522535" w:rsidP="00551D8A">
            <w:pPr>
              <w:ind w:right="-720"/>
              <w:rPr>
                <w:rFonts w:ascii="Arial" w:hAnsi="Arial" w:cs="Arial"/>
                <w:sz w:val="20"/>
                <w:szCs w:val="20"/>
                <w:highlight w:val="yellow"/>
              </w:rPr>
            </w:pPr>
            <w:r w:rsidRPr="00522535">
              <w:rPr>
                <w:rFonts w:ascii="Arial" w:hAnsi="Arial" w:cs="Arial"/>
                <w:sz w:val="20"/>
                <w:szCs w:val="20"/>
              </w:rPr>
              <w:t>2,768,697</w:t>
            </w:r>
          </w:p>
        </w:tc>
        <w:tc>
          <w:tcPr>
            <w:tcW w:w="3420" w:type="dxa"/>
          </w:tcPr>
          <w:p w:rsidR="00874EF7" w:rsidRPr="00522535" w:rsidRDefault="00522535" w:rsidP="00551D8A">
            <w:pPr>
              <w:ind w:right="-720"/>
              <w:rPr>
                <w:rFonts w:ascii="Arial" w:hAnsi="Arial" w:cs="Arial"/>
                <w:sz w:val="20"/>
                <w:szCs w:val="20"/>
              </w:rPr>
            </w:pPr>
            <w:r>
              <w:rPr>
                <w:rFonts w:ascii="Arial" w:hAnsi="Arial" w:cs="Arial"/>
                <w:sz w:val="20"/>
                <w:szCs w:val="20"/>
              </w:rPr>
              <w:t>63</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522535" w:rsidP="00F54200">
            <w:pPr>
              <w:ind w:right="-720"/>
              <w:rPr>
                <w:rFonts w:ascii="Arial" w:hAnsi="Arial" w:cs="Arial"/>
                <w:sz w:val="20"/>
                <w:szCs w:val="20"/>
                <w:highlight w:val="yellow"/>
              </w:rPr>
            </w:pPr>
            <w:r w:rsidRPr="00522535">
              <w:rPr>
                <w:rFonts w:ascii="Arial" w:hAnsi="Arial" w:cs="Arial"/>
                <w:sz w:val="20"/>
                <w:szCs w:val="20"/>
              </w:rPr>
              <w:t>117,185</w:t>
            </w:r>
          </w:p>
        </w:tc>
        <w:tc>
          <w:tcPr>
            <w:tcW w:w="3330" w:type="dxa"/>
          </w:tcPr>
          <w:p w:rsidR="00B66A21" w:rsidRPr="00B73B47" w:rsidRDefault="00522535" w:rsidP="00874EF7">
            <w:pPr>
              <w:ind w:right="-720"/>
              <w:rPr>
                <w:rFonts w:ascii="Arial" w:hAnsi="Arial" w:cs="Arial"/>
                <w:sz w:val="20"/>
                <w:szCs w:val="20"/>
                <w:highlight w:val="yellow"/>
              </w:rPr>
            </w:pPr>
            <w:r w:rsidRPr="00522535">
              <w:rPr>
                <w:rFonts w:ascii="Arial" w:hAnsi="Arial" w:cs="Arial"/>
                <w:sz w:val="20"/>
                <w:szCs w:val="20"/>
              </w:rPr>
              <w:t>117,185</w:t>
            </w:r>
          </w:p>
        </w:tc>
        <w:tc>
          <w:tcPr>
            <w:tcW w:w="3420" w:type="dxa"/>
          </w:tcPr>
          <w:p w:rsidR="00B66A21" w:rsidRPr="00B73B47" w:rsidRDefault="00B66A21" w:rsidP="00874EF7">
            <w:pPr>
              <w:ind w:right="-720"/>
              <w:rPr>
                <w:rFonts w:ascii="Arial" w:hAnsi="Arial" w:cs="Arial"/>
                <w:sz w:val="20"/>
                <w:szCs w:val="20"/>
                <w:highlight w:val="yellow"/>
              </w:rPr>
            </w:pPr>
            <w:bookmarkStart w:id="0" w:name="_GoBack"/>
            <w:bookmarkEnd w:id="0"/>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Capability and Usage Guidelines for</w:t>
            </w:r>
            <w:r w:rsidR="00D176C8">
              <w:rPr>
                <w:rFonts w:ascii="Arial" w:hAnsi="Arial" w:cs="Arial"/>
                <w:sz w:val="20"/>
                <w:szCs w:val="20"/>
              </w:rPr>
              <w:t xml:space="preserve"> Color Changeable Message Signs: </w:t>
            </w:r>
            <w:r w:rsidR="00F469D4">
              <w:rPr>
                <w:rFonts w:ascii="Arial" w:hAnsi="Arial" w:cs="Arial"/>
                <w:sz w:val="20"/>
                <w:szCs w:val="20"/>
              </w:rPr>
              <w:t>The</w:t>
            </w:r>
            <w:r w:rsidR="00D176C8">
              <w:rPr>
                <w:rFonts w:ascii="Arial" w:hAnsi="Arial" w:cs="Arial"/>
                <w:sz w:val="20"/>
                <w:szCs w:val="20"/>
              </w:rPr>
              <w:t xml:space="preserve"> guidelines for using color full-matrix changeable message signs </w:t>
            </w:r>
            <w:r w:rsidR="00F469D4">
              <w:rPr>
                <w:rFonts w:ascii="Arial" w:hAnsi="Arial" w:cs="Arial"/>
                <w:sz w:val="20"/>
                <w:szCs w:val="20"/>
              </w:rPr>
              <w:t>have been developed and will be published in the next quarter</w:t>
            </w:r>
            <w:r w:rsidR="00D72E92">
              <w:rPr>
                <w:rFonts w:ascii="Arial" w:hAnsi="Arial" w:cs="Arial"/>
                <w:sz w:val="20"/>
                <w:szCs w:val="20"/>
              </w:rPr>
              <w:t xml:space="preserve">. </w:t>
            </w:r>
            <w:r w:rsidR="00F469D4">
              <w:rPr>
                <w:rFonts w:ascii="Arial" w:hAnsi="Arial" w:cs="Arial"/>
                <w:sz w:val="20"/>
                <w:szCs w:val="20"/>
              </w:rPr>
              <w:t>The</w:t>
            </w:r>
            <w:r w:rsidR="00582289">
              <w:rPr>
                <w:rFonts w:ascii="Arial" w:hAnsi="Arial" w:cs="Arial"/>
                <w:sz w:val="20"/>
                <w:szCs w:val="20"/>
              </w:rPr>
              <w:t xml:space="preserve"> research</w:t>
            </w:r>
            <w:r w:rsidR="00D72E92">
              <w:rPr>
                <w:rFonts w:ascii="Arial" w:hAnsi="Arial" w:cs="Arial"/>
                <w:sz w:val="20"/>
                <w:szCs w:val="20"/>
              </w:rPr>
              <w:t xml:space="preserve"> work plan </w:t>
            </w:r>
            <w:r w:rsidR="004A4943">
              <w:rPr>
                <w:rFonts w:ascii="Arial" w:hAnsi="Arial" w:cs="Arial"/>
                <w:sz w:val="20"/>
                <w:szCs w:val="20"/>
              </w:rPr>
              <w:t xml:space="preserve">for a human factors study </w:t>
            </w:r>
            <w:r w:rsidR="00582289">
              <w:rPr>
                <w:rFonts w:ascii="Arial" w:hAnsi="Arial" w:cs="Arial"/>
                <w:sz w:val="20"/>
                <w:szCs w:val="20"/>
              </w:rPr>
              <w:t xml:space="preserve">was </w:t>
            </w:r>
            <w:r w:rsidR="00F469D4">
              <w:rPr>
                <w:rFonts w:ascii="Arial" w:hAnsi="Arial" w:cs="Arial"/>
                <w:sz w:val="20"/>
                <w:szCs w:val="20"/>
              </w:rPr>
              <w:t>approved by the TMC PFS project committee</w:t>
            </w:r>
            <w:r w:rsidR="004A4943">
              <w:rPr>
                <w:rFonts w:ascii="Arial" w:hAnsi="Arial" w:cs="Arial"/>
                <w:sz w:val="20"/>
                <w:szCs w:val="20"/>
              </w:rPr>
              <w:t>.</w:t>
            </w:r>
          </w:p>
          <w:p w:rsidR="00550F63" w:rsidRDefault="00550F63" w:rsidP="003831F2">
            <w:pPr>
              <w:rPr>
                <w:rFonts w:ascii="Arial" w:hAnsi="Arial" w:cs="Arial"/>
                <w:sz w:val="20"/>
                <w:szCs w:val="20"/>
              </w:rPr>
            </w:pPr>
          </w:p>
          <w:p w:rsidR="00550F63" w:rsidRDefault="00550F63" w:rsidP="003831F2">
            <w:pPr>
              <w:rPr>
                <w:rFonts w:ascii="Arial" w:hAnsi="Arial" w:cs="Arial"/>
                <w:sz w:val="20"/>
                <w:szCs w:val="20"/>
              </w:rPr>
            </w:pPr>
            <w:r>
              <w:rPr>
                <w:rFonts w:ascii="Arial" w:hAnsi="Arial" w:cs="Arial"/>
                <w:sz w:val="20"/>
                <w:szCs w:val="20"/>
              </w:rPr>
              <w:t>Considerations of Current and Emerging TMC Data</w:t>
            </w:r>
            <w:r w:rsidR="00D176C8">
              <w:rPr>
                <w:rFonts w:ascii="Arial" w:hAnsi="Arial" w:cs="Arial"/>
                <w:sz w:val="20"/>
                <w:szCs w:val="20"/>
              </w:rPr>
              <w:t xml:space="preserve">: </w:t>
            </w:r>
            <w:r w:rsidR="00D72E92">
              <w:rPr>
                <w:rFonts w:ascii="Arial" w:hAnsi="Arial" w:cs="Arial"/>
                <w:sz w:val="20"/>
                <w:szCs w:val="20"/>
              </w:rPr>
              <w:t xml:space="preserve">The project was on schedule. A draft project report </w:t>
            </w:r>
            <w:r w:rsidR="00F469D4">
              <w:rPr>
                <w:rFonts w:ascii="Arial" w:hAnsi="Arial" w:cs="Arial"/>
                <w:sz w:val="20"/>
                <w:szCs w:val="20"/>
              </w:rPr>
              <w:t>was delivered for review</w:t>
            </w:r>
            <w:r w:rsidR="00D176C8">
              <w:rPr>
                <w:rFonts w:ascii="Arial" w:hAnsi="Arial" w:cs="Arial"/>
                <w:sz w:val="20"/>
                <w:szCs w:val="20"/>
              </w:rPr>
              <w:t>.</w:t>
            </w:r>
          </w:p>
          <w:p w:rsidR="00071E9B" w:rsidRDefault="00071E9B" w:rsidP="003831F2">
            <w:pPr>
              <w:rPr>
                <w:rFonts w:ascii="Arial" w:hAnsi="Arial" w:cs="Arial"/>
                <w:sz w:val="20"/>
                <w:szCs w:val="20"/>
              </w:rPr>
            </w:pPr>
          </w:p>
          <w:p w:rsidR="00C7711C" w:rsidRDefault="005C1932" w:rsidP="003831F2">
            <w:pPr>
              <w:rPr>
                <w:rFonts w:ascii="Arial" w:hAnsi="Arial" w:cs="Arial"/>
                <w:sz w:val="20"/>
                <w:szCs w:val="20"/>
              </w:rPr>
            </w:pPr>
            <w:r>
              <w:rPr>
                <w:rFonts w:ascii="Arial" w:hAnsi="Arial" w:cs="Arial"/>
                <w:sz w:val="20"/>
                <w:szCs w:val="20"/>
              </w:rPr>
              <w:t>Streaming Video Sharing and Distribution: The project kicked off in September 2018 and was on schedule. A draft letter report synthesizing information gathered through literature search was submitted to review. The project team held a conference call on December 13, 2018 to review the project progress and the draft letter report.</w:t>
            </w:r>
          </w:p>
          <w:p w:rsidR="008F5307" w:rsidRDefault="008F5307" w:rsidP="003831F2">
            <w:pPr>
              <w:rPr>
                <w:rFonts w:ascii="Arial" w:hAnsi="Arial" w:cs="Arial"/>
                <w:sz w:val="20"/>
                <w:szCs w:val="20"/>
              </w:rPr>
            </w:pPr>
          </w:p>
          <w:p w:rsidR="007B7309" w:rsidRDefault="007B7309" w:rsidP="007B7309">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was</w:t>
            </w:r>
            <w:r w:rsidRPr="00071E9B">
              <w:rPr>
                <w:rFonts w:ascii="Arial" w:hAnsi="Arial" w:cs="Arial"/>
                <w:sz w:val="20"/>
                <w:szCs w:val="20"/>
              </w:rPr>
              <w:t xml:space="preserve"> held on </w:t>
            </w:r>
            <w:r w:rsidR="00F469D4">
              <w:rPr>
                <w:rFonts w:ascii="Arial" w:hAnsi="Arial" w:cs="Arial"/>
                <w:sz w:val="20"/>
                <w:szCs w:val="20"/>
              </w:rPr>
              <w:t>December 12</w:t>
            </w:r>
            <w:r>
              <w:rPr>
                <w:rFonts w:ascii="Arial" w:hAnsi="Arial" w:cs="Arial"/>
                <w:sz w:val="20"/>
                <w:szCs w:val="20"/>
              </w:rPr>
              <w:t>, 2018</w:t>
            </w:r>
            <w:r w:rsidRPr="00071E9B">
              <w:rPr>
                <w:rFonts w:ascii="Arial" w:hAnsi="Arial" w:cs="Arial"/>
                <w:sz w:val="20"/>
                <w:szCs w:val="20"/>
              </w:rPr>
              <w:t>. Members review</w:t>
            </w:r>
            <w:r>
              <w:rPr>
                <w:rFonts w:ascii="Arial" w:hAnsi="Arial" w:cs="Arial"/>
                <w:sz w:val="20"/>
                <w:szCs w:val="20"/>
              </w:rPr>
              <w:t>ed</w:t>
            </w:r>
            <w:r w:rsidRPr="00071E9B">
              <w:rPr>
                <w:rFonts w:ascii="Arial" w:hAnsi="Arial" w:cs="Arial"/>
                <w:sz w:val="20"/>
                <w:szCs w:val="20"/>
              </w:rPr>
              <w:t xml:space="preserve"> the progress of on-going projects</w:t>
            </w:r>
            <w:r>
              <w:rPr>
                <w:rFonts w:ascii="Arial" w:hAnsi="Arial" w:cs="Arial"/>
                <w:sz w:val="20"/>
                <w:szCs w:val="20"/>
              </w:rPr>
              <w:t xml:space="preserve"> and</w:t>
            </w:r>
            <w:r w:rsidRPr="00071E9B">
              <w:rPr>
                <w:rFonts w:ascii="Arial" w:hAnsi="Arial" w:cs="Arial"/>
                <w:sz w:val="20"/>
                <w:szCs w:val="20"/>
              </w:rPr>
              <w:t xml:space="preserve"> discuss</w:t>
            </w:r>
            <w:r>
              <w:rPr>
                <w:rFonts w:ascii="Arial" w:hAnsi="Arial" w:cs="Arial"/>
                <w:sz w:val="20"/>
                <w:szCs w:val="20"/>
              </w:rPr>
              <w:t>ed</w:t>
            </w:r>
            <w:r w:rsidRPr="00071E9B">
              <w:rPr>
                <w:rFonts w:ascii="Arial" w:hAnsi="Arial" w:cs="Arial"/>
                <w:sz w:val="20"/>
                <w:szCs w:val="20"/>
              </w:rPr>
              <w:t xml:space="preserve"> </w:t>
            </w:r>
            <w:r>
              <w:rPr>
                <w:rFonts w:ascii="Arial" w:hAnsi="Arial" w:cs="Arial"/>
                <w:sz w:val="20"/>
                <w:szCs w:val="20"/>
              </w:rPr>
              <w:t>the scopes, priorities and schedule of upcoming projects</w:t>
            </w:r>
            <w:r w:rsidRPr="00071E9B">
              <w:rPr>
                <w:rFonts w:ascii="Arial" w:hAnsi="Arial" w:cs="Arial"/>
                <w:sz w:val="20"/>
                <w:szCs w:val="20"/>
              </w:rPr>
              <w:t>.</w:t>
            </w:r>
          </w:p>
          <w:p w:rsidR="003E14E3" w:rsidRDefault="003E14E3" w:rsidP="003831F2">
            <w:pPr>
              <w:rPr>
                <w:rFonts w:ascii="Arial" w:hAnsi="Arial" w:cs="Arial"/>
                <w:sz w:val="20"/>
                <w:szCs w:val="20"/>
              </w:rPr>
            </w:pPr>
          </w:p>
          <w:p w:rsidR="007B7309" w:rsidRDefault="007B7309" w:rsidP="003831F2">
            <w:pPr>
              <w:rPr>
                <w:rFonts w:ascii="Arial" w:hAnsi="Arial" w:cs="Arial"/>
                <w:sz w:val="20"/>
                <w:szCs w:val="20"/>
              </w:rPr>
            </w:pPr>
          </w:p>
          <w:p w:rsidR="00D176C8" w:rsidRDefault="00D176C8" w:rsidP="003831F2">
            <w:pPr>
              <w:rPr>
                <w:rFonts w:ascii="Arial" w:hAnsi="Arial" w:cs="Arial"/>
                <w:sz w:val="20"/>
                <w:szCs w:val="20"/>
              </w:rPr>
            </w:pPr>
          </w:p>
          <w:p w:rsidR="005C1932" w:rsidRDefault="005C1932" w:rsidP="003831F2">
            <w:pPr>
              <w:rPr>
                <w:rFonts w:ascii="Arial" w:hAnsi="Arial" w:cs="Arial"/>
                <w:sz w:val="20"/>
                <w:szCs w:val="20"/>
              </w:rPr>
            </w:pPr>
          </w:p>
          <w:p w:rsidR="005C1932" w:rsidRDefault="005C1932" w:rsidP="003831F2">
            <w:pPr>
              <w:rPr>
                <w:rFonts w:ascii="Arial" w:hAnsi="Arial" w:cs="Arial"/>
                <w:sz w:val="20"/>
                <w:szCs w:val="20"/>
              </w:rPr>
            </w:pPr>
          </w:p>
          <w:p w:rsidR="005C1932" w:rsidRDefault="005C1932" w:rsidP="003831F2">
            <w:pPr>
              <w:rPr>
                <w:rFonts w:ascii="Arial" w:hAnsi="Arial" w:cs="Arial"/>
                <w:sz w:val="20"/>
                <w:szCs w:val="20"/>
              </w:rPr>
            </w:pPr>
          </w:p>
          <w:p w:rsidR="005C1932" w:rsidRDefault="005C1932" w:rsidP="003831F2">
            <w:pPr>
              <w:rPr>
                <w:rFonts w:ascii="Arial" w:hAnsi="Arial" w:cs="Arial"/>
                <w:sz w:val="20"/>
                <w:szCs w:val="20"/>
              </w:rPr>
            </w:pP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D176C8" w:rsidRDefault="00D176C8" w:rsidP="00D176C8">
            <w:pPr>
              <w:rPr>
                <w:rFonts w:ascii="Arial" w:hAnsi="Arial" w:cs="Arial"/>
                <w:sz w:val="20"/>
                <w:szCs w:val="20"/>
              </w:rPr>
            </w:pPr>
            <w:r>
              <w:rPr>
                <w:rFonts w:ascii="Arial" w:hAnsi="Arial" w:cs="Arial"/>
                <w:sz w:val="20"/>
                <w:szCs w:val="20"/>
              </w:rPr>
              <w:t xml:space="preserve">Capability and Usage Guidelines for Color Changeable Message Signs: </w:t>
            </w:r>
            <w:r w:rsidR="007B7309">
              <w:rPr>
                <w:rFonts w:ascii="Arial" w:hAnsi="Arial" w:cs="Arial"/>
                <w:sz w:val="20"/>
                <w:szCs w:val="20"/>
              </w:rPr>
              <w:t>T</w:t>
            </w:r>
            <w:r>
              <w:rPr>
                <w:rFonts w:ascii="Arial" w:hAnsi="Arial" w:cs="Arial"/>
                <w:sz w:val="20"/>
                <w:szCs w:val="20"/>
              </w:rPr>
              <w:t xml:space="preserve">he human factors study will </w:t>
            </w:r>
            <w:r w:rsidR="007B7309">
              <w:rPr>
                <w:rFonts w:ascii="Arial" w:hAnsi="Arial" w:cs="Arial"/>
                <w:sz w:val="20"/>
                <w:szCs w:val="20"/>
              </w:rPr>
              <w:t xml:space="preserve">commence </w:t>
            </w:r>
            <w:r w:rsidR="005C1932">
              <w:rPr>
                <w:rFonts w:ascii="Arial" w:hAnsi="Arial" w:cs="Arial"/>
                <w:sz w:val="20"/>
                <w:szCs w:val="20"/>
              </w:rPr>
              <w:t>in January 2019 and carry through fall of 2019.</w:t>
            </w:r>
          </w:p>
          <w:p w:rsidR="00D176C8" w:rsidRDefault="00D176C8" w:rsidP="00D176C8">
            <w:pPr>
              <w:rPr>
                <w:rFonts w:ascii="Arial" w:hAnsi="Arial" w:cs="Arial"/>
                <w:sz w:val="20"/>
                <w:szCs w:val="20"/>
              </w:rPr>
            </w:pPr>
          </w:p>
          <w:p w:rsidR="000051EB" w:rsidRDefault="00D176C8" w:rsidP="000051EB">
            <w:pPr>
              <w:rPr>
                <w:rFonts w:ascii="Arial" w:hAnsi="Arial" w:cs="Arial"/>
                <w:sz w:val="20"/>
                <w:szCs w:val="20"/>
              </w:rPr>
            </w:pPr>
            <w:r>
              <w:rPr>
                <w:rFonts w:ascii="Arial" w:hAnsi="Arial" w:cs="Arial"/>
                <w:sz w:val="20"/>
                <w:szCs w:val="20"/>
              </w:rPr>
              <w:t xml:space="preserve">Considerations of Current and Emerging TMC Data: A </w:t>
            </w:r>
            <w:r w:rsidR="005C1932">
              <w:rPr>
                <w:rFonts w:ascii="Arial" w:hAnsi="Arial" w:cs="Arial"/>
                <w:sz w:val="20"/>
                <w:szCs w:val="20"/>
              </w:rPr>
              <w:t>final</w:t>
            </w:r>
            <w:r>
              <w:rPr>
                <w:rFonts w:ascii="Arial" w:hAnsi="Arial" w:cs="Arial"/>
                <w:sz w:val="20"/>
                <w:szCs w:val="20"/>
              </w:rPr>
              <w:t xml:space="preserve"> project report will be submitted in </w:t>
            </w:r>
            <w:r w:rsidR="005C1932">
              <w:rPr>
                <w:rFonts w:ascii="Arial" w:hAnsi="Arial" w:cs="Arial"/>
                <w:sz w:val="20"/>
                <w:szCs w:val="20"/>
              </w:rPr>
              <w:t>January</w:t>
            </w:r>
            <w:r w:rsidR="00B33BE7">
              <w:rPr>
                <w:rFonts w:ascii="Arial" w:hAnsi="Arial" w:cs="Arial"/>
                <w:sz w:val="20"/>
                <w:szCs w:val="20"/>
              </w:rPr>
              <w:t xml:space="preserve"> 201</w:t>
            </w:r>
            <w:r w:rsidR="005C1932">
              <w:rPr>
                <w:rFonts w:ascii="Arial" w:hAnsi="Arial" w:cs="Arial"/>
                <w:sz w:val="20"/>
                <w:szCs w:val="20"/>
              </w:rPr>
              <w:t>9</w:t>
            </w:r>
            <w:r w:rsidR="00B33BE7">
              <w:rPr>
                <w:rFonts w:ascii="Arial" w:hAnsi="Arial" w:cs="Arial"/>
                <w:sz w:val="20"/>
                <w:szCs w:val="20"/>
              </w:rPr>
              <w:t>.</w:t>
            </w:r>
          </w:p>
          <w:p w:rsidR="00C7711C" w:rsidRDefault="00C7711C" w:rsidP="000051EB">
            <w:pPr>
              <w:rPr>
                <w:rFonts w:ascii="Arial" w:hAnsi="Arial" w:cs="Arial"/>
                <w:sz w:val="20"/>
                <w:szCs w:val="20"/>
              </w:rPr>
            </w:pPr>
          </w:p>
          <w:p w:rsidR="00B33BE7" w:rsidRDefault="00B33BE7" w:rsidP="00B33BE7">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will be</w:t>
            </w:r>
            <w:r w:rsidRPr="00071E9B">
              <w:rPr>
                <w:rFonts w:ascii="Arial" w:hAnsi="Arial" w:cs="Arial"/>
                <w:sz w:val="20"/>
                <w:szCs w:val="20"/>
              </w:rPr>
              <w:t xml:space="preserve"> held </w:t>
            </w:r>
            <w:r w:rsidR="007B7309">
              <w:rPr>
                <w:rFonts w:ascii="Arial" w:hAnsi="Arial" w:cs="Arial"/>
                <w:sz w:val="20"/>
                <w:szCs w:val="20"/>
              </w:rPr>
              <w:t xml:space="preserve">in </w:t>
            </w:r>
            <w:r w:rsidR="00F469D4">
              <w:rPr>
                <w:rFonts w:ascii="Arial" w:hAnsi="Arial" w:cs="Arial"/>
                <w:sz w:val="20"/>
                <w:szCs w:val="20"/>
              </w:rPr>
              <w:t>February</w:t>
            </w:r>
            <w:r>
              <w:rPr>
                <w:rFonts w:ascii="Arial" w:hAnsi="Arial" w:cs="Arial"/>
                <w:sz w:val="20"/>
                <w:szCs w:val="20"/>
              </w:rPr>
              <w:t xml:space="preserve"> 2018</w:t>
            </w:r>
            <w:r w:rsidR="007B7309">
              <w:rPr>
                <w:rFonts w:ascii="Arial" w:hAnsi="Arial" w:cs="Arial"/>
                <w:sz w:val="20"/>
                <w:szCs w:val="20"/>
              </w:rPr>
              <w:t>.</w:t>
            </w:r>
          </w:p>
          <w:p w:rsidR="00D176C8" w:rsidRDefault="00D176C8" w:rsidP="00D176C8">
            <w:pPr>
              <w:rPr>
                <w:rFonts w:ascii="Arial" w:hAnsi="Arial" w:cs="Arial"/>
                <w:sz w:val="20"/>
                <w:szCs w:val="20"/>
              </w:rPr>
            </w:pPr>
          </w:p>
          <w:p w:rsidR="00392834" w:rsidRDefault="00392834" w:rsidP="000051EB">
            <w:pPr>
              <w:rPr>
                <w:rFonts w:ascii="Arial" w:hAnsi="Arial" w:cs="Arial"/>
                <w:sz w:val="20"/>
                <w:szCs w:val="20"/>
              </w:rPr>
            </w:pPr>
          </w:p>
          <w:p w:rsidR="000051EB" w:rsidRDefault="000051EB" w:rsidP="003831F2">
            <w:pPr>
              <w:rPr>
                <w:rFonts w:ascii="Arial" w:hAnsi="Arial" w:cs="Arial"/>
                <w:sz w:val="20"/>
                <w:szCs w:val="20"/>
              </w:rPr>
            </w:pPr>
          </w:p>
          <w:p w:rsidR="00392834" w:rsidRDefault="00392834" w:rsidP="003831F2">
            <w:pPr>
              <w:rPr>
                <w:rFonts w:ascii="Arial" w:hAnsi="Arial" w:cs="Arial"/>
                <w:sz w:val="20"/>
                <w:szCs w:val="20"/>
              </w:rPr>
            </w:pPr>
          </w:p>
          <w:p w:rsidR="00D176C8" w:rsidRDefault="00D176C8"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7B7309" w:rsidRDefault="00B33BE7" w:rsidP="00F469D4">
            <w:pPr>
              <w:rPr>
                <w:rFonts w:ascii="Arial" w:hAnsi="Arial" w:cs="Arial"/>
                <w:sz w:val="20"/>
                <w:szCs w:val="20"/>
              </w:rPr>
            </w:pPr>
            <w:r>
              <w:rPr>
                <w:rFonts w:ascii="Arial" w:hAnsi="Arial" w:cs="Arial"/>
                <w:sz w:val="20"/>
                <w:szCs w:val="20"/>
              </w:rPr>
              <w:t xml:space="preserve">The </w:t>
            </w:r>
            <w:r w:rsidR="00F469D4">
              <w:rPr>
                <w:rFonts w:ascii="Arial" w:hAnsi="Arial" w:cs="Arial"/>
                <w:sz w:val="20"/>
                <w:szCs w:val="20"/>
              </w:rPr>
              <w:t xml:space="preserve">Human Factors Guidelines for TMCs have been published. </w:t>
            </w:r>
            <w:r w:rsidR="00F469D4" w:rsidRPr="00F469D4">
              <w:rPr>
                <w:rFonts w:ascii="Arial" w:hAnsi="Arial" w:cs="Arial"/>
                <w:sz w:val="20"/>
                <w:szCs w:val="20"/>
              </w:rPr>
              <w:t xml:space="preserve">This report presents a set of human factors guidelines to be used by organizations interested in developing, evaluating, or modifying their TMCs. TMCs vary greatly by institution and location, but all make critical financial investments in personnel, equipment, technology, and procedures. The intersection of those investment areas is vital to an efficiently run TMC and is at the heart of what is referred to as human factors. The guidelines herein provide human factors considerations based on empirical research, meta-analyses, usability testing, and standards to create the optimal work environment for TMC operators, managers, and supervisors in an attempt to improve decision-making and mitigate human errors. These factors are examined by raising awareness of design fallacies and human biases while endorsing performance by integrating adaptive automation, setting standard procedures, and designing for human limitation.  </w:t>
            </w:r>
            <w:r w:rsidR="00F469D4">
              <w:rPr>
                <w:rFonts w:ascii="Arial" w:hAnsi="Arial" w:cs="Arial"/>
                <w:sz w:val="20"/>
                <w:szCs w:val="20"/>
              </w:rPr>
              <w:t>(</w:t>
            </w:r>
            <w:hyperlink r:id="rId8" w:history="1">
              <w:r w:rsidR="00F469D4" w:rsidRPr="00FC4A9B">
                <w:rPr>
                  <w:rStyle w:val="Hyperlink"/>
                  <w:rFonts w:ascii="Arial" w:hAnsi="Arial" w:cs="Arial"/>
                  <w:sz w:val="20"/>
                  <w:szCs w:val="20"/>
                </w:rPr>
                <w:t>https://www.fhwa.dot.gov/publications/research/safety/16060/16060.pdf</w:t>
              </w:r>
            </w:hyperlink>
            <w:r w:rsidR="00F469D4">
              <w:rPr>
                <w:rFonts w:ascii="Arial" w:hAnsi="Arial" w:cs="Arial"/>
                <w:sz w:val="20"/>
                <w:szCs w:val="20"/>
              </w:rPr>
              <w:t>)</w:t>
            </w:r>
          </w:p>
          <w:p w:rsidR="009F4646" w:rsidRDefault="009F4646" w:rsidP="004D1943">
            <w:pPr>
              <w:rPr>
                <w:rFonts w:ascii="Arial" w:hAnsi="Arial" w:cs="Arial"/>
                <w:sz w:val="20"/>
                <w:szCs w:val="20"/>
              </w:rPr>
            </w:pPr>
          </w:p>
          <w:p w:rsidR="00112EEE" w:rsidRDefault="00112EEE" w:rsidP="004D1943">
            <w:pPr>
              <w:rPr>
                <w:rFonts w:ascii="Arial" w:hAnsi="Arial" w:cs="Arial"/>
                <w:sz w:val="20"/>
                <w:szCs w:val="20"/>
              </w:rPr>
            </w:pPr>
          </w:p>
          <w:p w:rsidR="00112EEE" w:rsidRDefault="00112EEE" w:rsidP="004D1943">
            <w:pPr>
              <w:rPr>
                <w:rFonts w:ascii="Arial" w:hAnsi="Arial" w:cs="Arial"/>
                <w:sz w:val="20"/>
                <w:szCs w:val="20"/>
              </w:rPr>
            </w:pPr>
          </w:p>
          <w:p w:rsidR="009F4646" w:rsidRDefault="009F4646" w:rsidP="004D1943">
            <w:pPr>
              <w:rPr>
                <w:rFonts w:ascii="Arial" w:hAnsi="Arial" w:cs="Arial"/>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5C1932" w:rsidRDefault="005C1932" w:rsidP="004D1943">
            <w:pPr>
              <w:rPr>
                <w:rFonts w:ascii="Arial" w:hAnsi="Arial" w:cs="Arial"/>
                <w:b/>
                <w:sz w:val="20"/>
                <w:szCs w:val="20"/>
              </w:rPr>
            </w:pPr>
          </w:p>
          <w:p w:rsidR="005C1932" w:rsidRDefault="005C1932"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71E9B"/>
    <w:rsid w:val="000736BB"/>
    <w:rsid w:val="00094479"/>
    <w:rsid w:val="000B665A"/>
    <w:rsid w:val="000C089D"/>
    <w:rsid w:val="000F5A9F"/>
    <w:rsid w:val="00106C83"/>
    <w:rsid w:val="00112EEE"/>
    <w:rsid w:val="00144FD9"/>
    <w:rsid w:val="001547D0"/>
    <w:rsid w:val="00161153"/>
    <w:rsid w:val="001616A0"/>
    <w:rsid w:val="001E25D1"/>
    <w:rsid w:val="001E77A6"/>
    <w:rsid w:val="00203808"/>
    <w:rsid w:val="00203962"/>
    <w:rsid w:val="00210DE8"/>
    <w:rsid w:val="0021446D"/>
    <w:rsid w:val="002361E2"/>
    <w:rsid w:val="002402DD"/>
    <w:rsid w:val="00293FD8"/>
    <w:rsid w:val="002A79C8"/>
    <w:rsid w:val="002C46E7"/>
    <w:rsid w:val="002D4EB7"/>
    <w:rsid w:val="002E5E30"/>
    <w:rsid w:val="002F54D6"/>
    <w:rsid w:val="003004C0"/>
    <w:rsid w:val="0030355F"/>
    <w:rsid w:val="00310E86"/>
    <w:rsid w:val="0032353B"/>
    <w:rsid w:val="00362CF7"/>
    <w:rsid w:val="003831F2"/>
    <w:rsid w:val="0038705A"/>
    <w:rsid w:val="00392834"/>
    <w:rsid w:val="003E14E3"/>
    <w:rsid w:val="004144E6"/>
    <w:rsid w:val="004156B2"/>
    <w:rsid w:val="00415D14"/>
    <w:rsid w:val="00437734"/>
    <w:rsid w:val="0044043A"/>
    <w:rsid w:val="00484FC5"/>
    <w:rsid w:val="004863A0"/>
    <w:rsid w:val="0048783A"/>
    <w:rsid w:val="004A4943"/>
    <w:rsid w:val="004B466C"/>
    <w:rsid w:val="004C3104"/>
    <w:rsid w:val="004D1943"/>
    <w:rsid w:val="004E14DC"/>
    <w:rsid w:val="004E6B34"/>
    <w:rsid w:val="005021A8"/>
    <w:rsid w:val="00522535"/>
    <w:rsid w:val="00535598"/>
    <w:rsid w:val="00536D0F"/>
    <w:rsid w:val="00545C06"/>
    <w:rsid w:val="00547EE3"/>
    <w:rsid w:val="00550F63"/>
    <w:rsid w:val="00551D8A"/>
    <w:rsid w:val="00580507"/>
    <w:rsid w:val="00581B36"/>
    <w:rsid w:val="00582289"/>
    <w:rsid w:val="00583E8E"/>
    <w:rsid w:val="005A24BC"/>
    <w:rsid w:val="005C1932"/>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B7309"/>
    <w:rsid w:val="007C7A4C"/>
    <w:rsid w:val="007D26F3"/>
    <w:rsid w:val="007E049B"/>
    <w:rsid w:val="007E5BD2"/>
    <w:rsid w:val="00806033"/>
    <w:rsid w:val="00835671"/>
    <w:rsid w:val="00857490"/>
    <w:rsid w:val="00861239"/>
    <w:rsid w:val="008633EC"/>
    <w:rsid w:val="00872F18"/>
    <w:rsid w:val="00874EF7"/>
    <w:rsid w:val="00886F96"/>
    <w:rsid w:val="008A04BE"/>
    <w:rsid w:val="008B0349"/>
    <w:rsid w:val="008E61F9"/>
    <w:rsid w:val="008F5307"/>
    <w:rsid w:val="00905DAC"/>
    <w:rsid w:val="0094066B"/>
    <w:rsid w:val="00953C2C"/>
    <w:rsid w:val="009552C5"/>
    <w:rsid w:val="0099705F"/>
    <w:rsid w:val="009A6E11"/>
    <w:rsid w:val="009D408F"/>
    <w:rsid w:val="009E15E5"/>
    <w:rsid w:val="009E24D8"/>
    <w:rsid w:val="009F370F"/>
    <w:rsid w:val="009F4646"/>
    <w:rsid w:val="00A01D08"/>
    <w:rsid w:val="00A301AD"/>
    <w:rsid w:val="00A43875"/>
    <w:rsid w:val="00A565FB"/>
    <w:rsid w:val="00A63677"/>
    <w:rsid w:val="00AA6A8C"/>
    <w:rsid w:val="00AB16B5"/>
    <w:rsid w:val="00AB2A58"/>
    <w:rsid w:val="00AE46B0"/>
    <w:rsid w:val="00B2185C"/>
    <w:rsid w:val="00B33BE7"/>
    <w:rsid w:val="00B350B7"/>
    <w:rsid w:val="00B358DC"/>
    <w:rsid w:val="00B66A21"/>
    <w:rsid w:val="00B73B47"/>
    <w:rsid w:val="00B74212"/>
    <w:rsid w:val="00BC025A"/>
    <w:rsid w:val="00BE1CE1"/>
    <w:rsid w:val="00BF263C"/>
    <w:rsid w:val="00C05B7A"/>
    <w:rsid w:val="00C10D97"/>
    <w:rsid w:val="00C13753"/>
    <w:rsid w:val="00C319B0"/>
    <w:rsid w:val="00C50FA4"/>
    <w:rsid w:val="00C54BB2"/>
    <w:rsid w:val="00C63B72"/>
    <w:rsid w:val="00C7711C"/>
    <w:rsid w:val="00C81123"/>
    <w:rsid w:val="00C83ADC"/>
    <w:rsid w:val="00CA5F36"/>
    <w:rsid w:val="00CB1464"/>
    <w:rsid w:val="00CB1CC6"/>
    <w:rsid w:val="00CC2697"/>
    <w:rsid w:val="00CD2D44"/>
    <w:rsid w:val="00CD7628"/>
    <w:rsid w:val="00CF2E32"/>
    <w:rsid w:val="00D176C8"/>
    <w:rsid w:val="00D37F0A"/>
    <w:rsid w:val="00D42A15"/>
    <w:rsid w:val="00D65545"/>
    <w:rsid w:val="00D72D45"/>
    <w:rsid w:val="00D72E92"/>
    <w:rsid w:val="00D7661D"/>
    <w:rsid w:val="00D9235A"/>
    <w:rsid w:val="00E33A47"/>
    <w:rsid w:val="00E35E0F"/>
    <w:rsid w:val="00E371D1"/>
    <w:rsid w:val="00E3731D"/>
    <w:rsid w:val="00E53738"/>
    <w:rsid w:val="00E665AD"/>
    <w:rsid w:val="00E6717E"/>
    <w:rsid w:val="00E716E6"/>
    <w:rsid w:val="00E7727F"/>
    <w:rsid w:val="00ED5F67"/>
    <w:rsid w:val="00EE3D96"/>
    <w:rsid w:val="00EF08AE"/>
    <w:rsid w:val="00EF5790"/>
    <w:rsid w:val="00F05C85"/>
    <w:rsid w:val="00F20601"/>
    <w:rsid w:val="00F32135"/>
    <w:rsid w:val="00F469D4"/>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6A5819"/>
  <w15:docId w15:val="{C669E646-ECE1-4062-AA6E-249308C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582289"/>
    <w:rPr>
      <w:color w:val="0000FF" w:themeColor="hyperlink"/>
      <w:u w:val="single"/>
    </w:rPr>
  </w:style>
  <w:style w:type="character" w:styleId="FollowedHyperlink">
    <w:name w:val="FollowedHyperlink"/>
    <w:basedOn w:val="DefaultParagraphFont"/>
    <w:uiPriority w:val="99"/>
    <w:semiHidden/>
    <w:unhideWhenUsed/>
    <w:rsid w:val="007B73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wa.dot.gov/publications/research/safety/16060/1606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B3F1B-850F-4380-AAA4-E17AAA07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2019-05-01T15:25:00Z</dcterms:created>
  <dcterms:modified xsi:type="dcterms:W3CDTF">2019-05-01T15:25:00Z</dcterms:modified>
</cp:coreProperties>
</file>