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4E925893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48BC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D65A739" w14:textId="2A3E4869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41D54DC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097120E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6A0030D7" w:rsidR="00874EF7" w:rsidRPr="00B66A21" w:rsidRDefault="00F30E9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</w:t>
            </w:r>
            <w:r w:rsidR="00E602C4">
              <w:rPr>
                <w:rFonts w:ascii="Arial" w:hAnsi="Arial" w:cs="Arial"/>
                <w:sz w:val="20"/>
                <w:szCs w:val="20"/>
              </w:rPr>
              <w:t>5,000 (currently</w:t>
            </w:r>
            <w:r>
              <w:rPr>
                <w:rFonts w:ascii="Arial" w:hAnsi="Arial" w:cs="Arial"/>
                <w:sz w:val="20"/>
                <w:szCs w:val="20"/>
              </w:rPr>
              <w:t>, $20K added by Caltrans</w:t>
            </w:r>
            <w:r w:rsidR="00E602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14:paraId="07C242CF" w14:textId="45030ED4" w:rsidR="00874EF7" w:rsidRPr="00B66A21" w:rsidRDefault="00245EE4" w:rsidP="00F30E9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30E9F">
              <w:rPr>
                <w:rFonts w:ascii="Arial" w:hAnsi="Arial" w:cs="Arial"/>
                <w:sz w:val="20"/>
                <w:szCs w:val="20"/>
              </w:rPr>
              <w:t>47,328</w:t>
            </w:r>
          </w:p>
        </w:tc>
        <w:tc>
          <w:tcPr>
            <w:tcW w:w="3420" w:type="dxa"/>
          </w:tcPr>
          <w:p w14:paraId="4289AEEE" w14:textId="13CEA6E0" w:rsidR="00874EF7" w:rsidRPr="00B66A21" w:rsidRDefault="00F30E9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30739CCF" w:rsidR="00B66A21" w:rsidRPr="00B66A21" w:rsidRDefault="006548BC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6E178EC1" w14:textId="45D332C3" w:rsidR="00B66A21" w:rsidRPr="00B66A21" w:rsidRDefault="00BD2306" w:rsidP="006548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548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18CC8012" w14:textId="3B05EAF2" w:rsidR="00B66A21" w:rsidRPr="00B66A21" w:rsidRDefault="0005546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refinement,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assure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will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E63BA" w14:textId="792F154A" w:rsidR="00903657" w:rsidRDefault="002C63A0" w:rsidP="00903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Herrera, the contractor for running the STTC facility, began work in March 2018. 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Work plan tasks </w:t>
            </w:r>
            <w:r w:rsidR="00903657">
              <w:rPr>
                <w:rFonts w:ascii="Arial" w:hAnsi="Arial" w:cs="Arial"/>
                <w:sz w:val="24"/>
                <w:szCs w:val="24"/>
              </w:rPr>
              <w:t>continued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 this quarter include B34729 Task 2.0 Program Oversight, Task 3.0 Business and Administrative Infrastructure Development, and Subtask 6.0 Facility Set-up and Equipment Calibration. </w:t>
            </w:r>
            <w:r w:rsidR="00055466">
              <w:rPr>
                <w:rFonts w:ascii="Arial" w:hAnsi="Arial" w:cs="Arial"/>
                <w:sz w:val="24"/>
                <w:szCs w:val="24"/>
              </w:rPr>
              <w:t xml:space="preserve">However, pooled funds were not used this quarter. </w:t>
            </w:r>
            <w:r w:rsidR="00903657">
              <w:rPr>
                <w:rFonts w:ascii="Arial" w:hAnsi="Arial" w:cs="Arial"/>
                <w:sz w:val="24"/>
                <w:szCs w:val="24"/>
              </w:rPr>
              <w:t>Updates include:</w:t>
            </w:r>
          </w:p>
          <w:p w14:paraId="55083A84" w14:textId="1267E825" w:rsidR="0021446D" w:rsidRPr="00575E57" w:rsidRDefault="00F30E9F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CalTrans has joined as a funding and technical advisory partner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22C99A2" w14:textId="6C6BD4D4" w:rsidR="00903657" w:rsidRPr="00575E57" w:rsidRDefault="00EE5311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 meeting scheduled for April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16025E" w14:textId="2A537AEF" w:rsidR="00903657" w:rsidRPr="00575E57" w:rsidRDefault="0061146A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 project strategy in progress to test the STTC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ABDEFE" w14:textId="473044FC" w:rsidR="000D7389" w:rsidRDefault="00055466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EE5311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0D7389">
              <w:rPr>
                <w:rFonts w:ascii="Arial" w:hAnsi="Arial" w:cs="Arial"/>
                <w:sz w:val="24"/>
                <w:szCs w:val="24"/>
              </w:rPr>
              <w:t xml:space="preserve"> Pooled Fund TAC meeting to review STTC setup/calibration progress with STTC manager, STTC contractor, and ODOT contributors.</w:t>
            </w:r>
          </w:p>
          <w:p w14:paraId="4E3D75C5" w14:textId="167CDABB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  <w:r w:rsidR="0005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B8D3ED" w14:textId="77777777" w:rsidR="00575E57" w:rsidRDefault="00EE5311" w:rsidP="00575E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test pilot progress</w:t>
            </w:r>
            <w:r w:rsidR="0005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B0AD5E" w14:textId="0D2D8AE0" w:rsidR="00055466" w:rsidRPr="00575E57" w:rsidRDefault="00055466" w:rsidP="00575E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 of Portland joining TAC and contributing $10K to pooled fund. IGA in progress.</w:t>
            </w:r>
            <w:bookmarkStart w:id="0" w:name="_GoBack"/>
            <w:bookmarkEnd w:id="0"/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7F5316D4" w:rsidR="00601EBD" w:rsidRPr="00DB5036" w:rsidRDefault="00B87FA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is expected to be completed on time.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55466"/>
    <w:rsid w:val="000736BB"/>
    <w:rsid w:val="000807EF"/>
    <w:rsid w:val="00090517"/>
    <w:rsid w:val="000B665A"/>
    <w:rsid w:val="000C01B0"/>
    <w:rsid w:val="000D70F4"/>
    <w:rsid w:val="000D7389"/>
    <w:rsid w:val="00106C83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636E1"/>
    <w:rsid w:val="003752BD"/>
    <w:rsid w:val="0038705A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548BC"/>
    <w:rsid w:val="00682C5E"/>
    <w:rsid w:val="006958F6"/>
    <w:rsid w:val="006B6B4C"/>
    <w:rsid w:val="00743C01"/>
    <w:rsid w:val="0075721E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75CC4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B13A30"/>
    <w:rsid w:val="00B2185C"/>
    <w:rsid w:val="00B224B8"/>
    <w:rsid w:val="00B242E2"/>
    <w:rsid w:val="00B66A21"/>
    <w:rsid w:val="00B87FA4"/>
    <w:rsid w:val="00BD2306"/>
    <w:rsid w:val="00C13753"/>
    <w:rsid w:val="00CA6035"/>
    <w:rsid w:val="00D05DC0"/>
    <w:rsid w:val="00DB5036"/>
    <w:rsid w:val="00E14FFC"/>
    <w:rsid w:val="00E35E0F"/>
    <w:rsid w:val="00E371D1"/>
    <w:rsid w:val="00E53738"/>
    <w:rsid w:val="00E602C4"/>
    <w:rsid w:val="00ED5F67"/>
    <w:rsid w:val="00EE5311"/>
    <w:rsid w:val="00EF08AE"/>
    <w:rsid w:val="00EF5790"/>
    <w:rsid w:val="00F30E9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565E-9817-4F7C-A39A-C3844FC5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2019-04-30T22:41:00Z</dcterms:created>
  <dcterms:modified xsi:type="dcterms:W3CDTF">2019-04-30T22:53:00Z</dcterms:modified>
</cp:coreProperties>
</file>