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002A7F"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1E6B1C56"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0E2ACCB0" w14:textId="77777777" w:rsidR="000C209F" w:rsidRDefault="000C209F" w:rsidP="00551D8A">
      <w:pPr>
        <w:spacing w:after="0"/>
        <w:rPr>
          <w:rFonts w:ascii="Arial" w:hAnsi="Arial" w:cs="Arial"/>
          <w:sz w:val="24"/>
          <w:szCs w:val="24"/>
        </w:rPr>
      </w:pPr>
    </w:p>
    <w:p w14:paraId="1AFB2D51" w14:textId="77777777"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14:paraId="31064ACD" w14:textId="77777777" w:rsidR="000C209F" w:rsidRDefault="000C209F" w:rsidP="00FF32BE">
      <w:pPr>
        <w:spacing w:after="0"/>
        <w:rPr>
          <w:rFonts w:ascii="Arial" w:hAnsi="Arial" w:cs="Arial"/>
          <w:sz w:val="24"/>
          <w:szCs w:val="24"/>
        </w:rPr>
      </w:pPr>
    </w:p>
    <w:p w14:paraId="59707429" w14:textId="77777777"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14:paraId="4A2532FE" w14:textId="77777777"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10221BE9" w14:textId="77777777"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14:paraId="4A9BD06D" w14:textId="77777777" w:rsidTr="00360664">
        <w:trPr>
          <w:trHeight w:val="1997"/>
        </w:trPr>
        <w:tc>
          <w:tcPr>
            <w:tcW w:w="5418" w:type="dxa"/>
            <w:gridSpan w:val="2"/>
          </w:tcPr>
          <w:p w14:paraId="079560C3"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14:paraId="08ADC547" w14:textId="77777777" w:rsidR="000C209F" w:rsidRPr="00360664" w:rsidRDefault="000C209F" w:rsidP="00360664">
            <w:pPr>
              <w:spacing w:after="0" w:line="240" w:lineRule="auto"/>
              <w:ind w:right="-108"/>
              <w:rPr>
                <w:rFonts w:ascii="Arial" w:hAnsi="Arial" w:cs="Arial"/>
                <w:i/>
                <w:sz w:val="20"/>
                <w:szCs w:val="20"/>
              </w:rPr>
            </w:pPr>
          </w:p>
          <w:p w14:paraId="0D75DD42" w14:textId="77777777" w:rsidR="000C209F" w:rsidRPr="0023225C" w:rsidRDefault="00C1079D" w:rsidP="00ED1F6D">
            <w:pPr>
              <w:spacing w:after="0" w:line="240" w:lineRule="auto"/>
              <w:ind w:right="-108"/>
              <w:rPr>
                <w:rFonts w:ascii="Arial" w:hAnsi="Arial" w:cs="Arial"/>
                <w:b/>
                <w:sz w:val="24"/>
                <w:szCs w:val="24"/>
              </w:rPr>
            </w:pPr>
            <w:r w:rsidRPr="0023225C">
              <w:rPr>
                <w:rFonts w:ascii="Arial" w:hAnsi="Arial" w:cs="Arial"/>
                <w:b/>
                <w:sz w:val="24"/>
                <w:szCs w:val="24"/>
              </w:rPr>
              <w:t>TPF-5(</w:t>
            </w:r>
            <w:r w:rsidR="00CA7E3E" w:rsidRPr="0023225C">
              <w:rPr>
                <w:rFonts w:ascii="Arial" w:hAnsi="Arial" w:cs="Arial"/>
                <w:b/>
                <w:sz w:val="24"/>
                <w:szCs w:val="24"/>
              </w:rPr>
              <w:t>3</w:t>
            </w:r>
            <w:r w:rsidR="00ED1F6D" w:rsidRPr="0023225C">
              <w:rPr>
                <w:rFonts w:ascii="Arial" w:hAnsi="Arial" w:cs="Arial"/>
                <w:b/>
                <w:sz w:val="24"/>
                <w:szCs w:val="24"/>
              </w:rPr>
              <w:t>50</w:t>
            </w:r>
            <w:r w:rsidR="000C209F" w:rsidRPr="0023225C">
              <w:rPr>
                <w:rFonts w:ascii="Arial" w:hAnsi="Arial" w:cs="Arial"/>
                <w:b/>
                <w:sz w:val="24"/>
                <w:szCs w:val="24"/>
              </w:rPr>
              <w:t>)</w:t>
            </w:r>
          </w:p>
        </w:tc>
        <w:tc>
          <w:tcPr>
            <w:tcW w:w="5490" w:type="dxa"/>
            <w:gridSpan w:val="2"/>
          </w:tcPr>
          <w:p w14:paraId="7DB5E3BF"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14:paraId="3B796196" w14:textId="77777777" w:rsidR="00AA4D6E" w:rsidRPr="00152A26" w:rsidRDefault="00AA4D6E" w:rsidP="00AA4D6E">
            <w:pPr>
              <w:spacing w:after="0" w:line="240" w:lineRule="auto"/>
              <w:ind w:right="-720"/>
              <w:rPr>
                <w:rFonts w:ascii="Arial" w:hAnsi="Arial" w:cs="Arial"/>
                <w:sz w:val="20"/>
                <w:szCs w:val="20"/>
              </w:rPr>
            </w:pPr>
            <w:r w:rsidRPr="00E273C4">
              <w:rPr>
                <w:rFonts w:ascii="Arial" w:hAnsi="Arial" w:cs="Arial"/>
                <w:sz w:val="36"/>
                <w:szCs w:val="36"/>
                <w:u w:val="single"/>
              </w:rPr>
              <w:t>_</w:t>
            </w:r>
            <w:r w:rsidRPr="00E273C4">
              <w:rPr>
                <w:rFonts w:ascii="Arial" w:hAnsi="Arial" w:cs="Arial"/>
                <w:sz w:val="36"/>
                <w:szCs w:val="36"/>
              </w:rPr>
              <w:t xml:space="preserve"> </w:t>
            </w:r>
            <w:r w:rsidRPr="00152A26">
              <w:rPr>
                <w:rFonts w:ascii="Arial" w:hAnsi="Arial" w:cs="Arial"/>
                <w:sz w:val="20"/>
                <w:szCs w:val="20"/>
              </w:rPr>
              <w:t>Quarter 1 (January 1 – March 31, 201</w:t>
            </w:r>
            <w:r>
              <w:rPr>
                <w:rFonts w:ascii="Arial" w:hAnsi="Arial" w:cs="Arial"/>
                <w:sz w:val="20"/>
                <w:szCs w:val="20"/>
              </w:rPr>
              <w:t>8</w:t>
            </w:r>
            <w:r w:rsidRPr="00152A26">
              <w:rPr>
                <w:rFonts w:ascii="Arial" w:hAnsi="Arial" w:cs="Arial"/>
                <w:sz w:val="20"/>
                <w:szCs w:val="20"/>
              </w:rPr>
              <w:t>)</w:t>
            </w:r>
          </w:p>
          <w:p w14:paraId="3AA17B9A" w14:textId="3D7B9F75" w:rsidR="00AA4D6E" w:rsidRPr="002332C7" w:rsidRDefault="00AA4D6E" w:rsidP="00AA4D6E">
            <w:pPr>
              <w:spacing w:after="0" w:line="240" w:lineRule="auto"/>
              <w:ind w:right="-108"/>
              <w:rPr>
                <w:rFonts w:ascii="Arial" w:hAnsi="Arial" w:cs="Arial"/>
                <w:sz w:val="20"/>
                <w:szCs w:val="20"/>
              </w:rPr>
            </w:pPr>
            <w:r w:rsidRPr="002332C7">
              <w:rPr>
                <w:rFonts w:ascii="Arial" w:hAnsi="Arial" w:cs="Arial"/>
                <w:sz w:val="36"/>
                <w:szCs w:val="36"/>
                <w:u w:val="single"/>
              </w:rPr>
              <w:t>_</w:t>
            </w:r>
            <w:r w:rsidRPr="002332C7">
              <w:rPr>
                <w:rFonts w:ascii="Arial" w:hAnsi="Arial" w:cs="Arial"/>
                <w:sz w:val="36"/>
                <w:szCs w:val="36"/>
              </w:rPr>
              <w:t xml:space="preserve"> </w:t>
            </w:r>
            <w:r w:rsidRPr="002332C7">
              <w:rPr>
                <w:rFonts w:ascii="Arial" w:hAnsi="Arial" w:cs="Arial"/>
                <w:sz w:val="20"/>
                <w:szCs w:val="20"/>
              </w:rPr>
              <w:t>Quarter 2 (April 1 – June 30, 2018)</w:t>
            </w:r>
          </w:p>
          <w:p w14:paraId="600FA10E" w14:textId="3CCD833C" w:rsidR="00AA4D6E" w:rsidRPr="0075244B" w:rsidRDefault="0075244B" w:rsidP="00AA4D6E">
            <w:pPr>
              <w:spacing w:after="0" w:line="240" w:lineRule="auto"/>
              <w:ind w:right="-720"/>
              <w:rPr>
                <w:rFonts w:ascii="Arial" w:hAnsi="Arial" w:cs="Arial"/>
                <w:sz w:val="20"/>
                <w:szCs w:val="20"/>
              </w:rPr>
            </w:pPr>
            <w:r w:rsidRPr="0075244B">
              <w:rPr>
                <w:rFonts w:ascii="Arial" w:hAnsi="Arial" w:cs="Arial"/>
                <w:sz w:val="36"/>
                <w:szCs w:val="36"/>
                <w:u w:val="single"/>
              </w:rPr>
              <w:t>_</w:t>
            </w:r>
            <w:r w:rsidR="00AA4D6E" w:rsidRPr="0075244B">
              <w:rPr>
                <w:rFonts w:ascii="Arial" w:hAnsi="Arial" w:cs="Arial"/>
                <w:sz w:val="36"/>
                <w:szCs w:val="36"/>
              </w:rPr>
              <w:t xml:space="preserve"> </w:t>
            </w:r>
            <w:r w:rsidR="00AA4D6E" w:rsidRPr="0075244B">
              <w:rPr>
                <w:rFonts w:ascii="Arial" w:hAnsi="Arial" w:cs="Arial"/>
                <w:sz w:val="20"/>
                <w:szCs w:val="20"/>
              </w:rPr>
              <w:t>Quarter 3 (July 1 – September 30, 2018)</w:t>
            </w:r>
          </w:p>
          <w:p w14:paraId="17D11192" w14:textId="4FD34A41" w:rsidR="000C209F" w:rsidRPr="0075244B" w:rsidRDefault="0075244B" w:rsidP="00AA4D6E">
            <w:pPr>
              <w:spacing w:after="0" w:line="240" w:lineRule="auto"/>
              <w:ind w:right="-720"/>
              <w:rPr>
                <w:rFonts w:ascii="Arial" w:hAnsi="Arial" w:cs="Arial"/>
                <w:b/>
                <w:sz w:val="20"/>
                <w:szCs w:val="20"/>
              </w:rPr>
            </w:pPr>
            <w:r w:rsidRPr="0075244B">
              <w:rPr>
                <w:rFonts w:ascii="Arial" w:hAnsi="Arial" w:cs="Arial"/>
                <w:b/>
                <w:sz w:val="36"/>
                <w:szCs w:val="36"/>
                <w:u w:val="single"/>
              </w:rPr>
              <w:t>x</w:t>
            </w:r>
            <w:r w:rsidR="00AA4D6E" w:rsidRPr="0075244B">
              <w:rPr>
                <w:rFonts w:ascii="Arial" w:hAnsi="Arial" w:cs="Arial"/>
                <w:b/>
                <w:sz w:val="36"/>
                <w:szCs w:val="36"/>
              </w:rPr>
              <w:t xml:space="preserve"> </w:t>
            </w:r>
            <w:r w:rsidR="00AA4D6E" w:rsidRPr="0075244B">
              <w:rPr>
                <w:rFonts w:ascii="Arial" w:hAnsi="Arial" w:cs="Arial"/>
                <w:b/>
                <w:sz w:val="20"/>
                <w:szCs w:val="20"/>
              </w:rPr>
              <w:t>Quarter 4 (October 1 – December 31, 2018)</w:t>
            </w:r>
          </w:p>
        </w:tc>
      </w:tr>
      <w:tr w:rsidR="000C209F" w:rsidRPr="00360664" w14:paraId="3A857B88" w14:textId="77777777" w:rsidTr="00360664">
        <w:tc>
          <w:tcPr>
            <w:tcW w:w="10908" w:type="dxa"/>
            <w:gridSpan w:val="4"/>
          </w:tcPr>
          <w:p w14:paraId="5697BCE3"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14:paraId="163641C2" w14:textId="77777777" w:rsidR="000C209F" w:rsidRPr="00360664" w:rsidRDefault="00ED1F6D" w:rsidP="00ED1F6D">
            <w:pPr>
              <w:spacing w:after="0" w:line="240" w:lineRule="auto"/>
              <w:ind w:right="-108"/>
              <w:rPr>
                <w:rFonts w:ascii="Arial" w:hAnsi="Arial" w:cs="Arial"/>
                <w:sz w:val="20"/>
                <w:szCs w:val="20"/>
              </w:rPr>
            </w:pPr>
            <w:r w:rsidRPr="00ED1F6D">
              <w:rPr>
                <w:rFonts w:ascii="Arial" w:hAnsi="Arial" w:cs="Arial"/>
                <w:sz w:val="24"/>
                <w:szCs w:val="24"/>
              </w:rPr>
              <w:t>Development of Next Generation Liquefaction (NGL) Database for Liquefaction-Induced Lateral</w:t>
            </w:r>
            <w:r>
              <w:rPr>
                <w:rFonts w:ascii="Arial" w:hAnsi="Arial" w:cs="Arial"/>
                <w:sz w:val="24"/>
                <w:szCs w:val="24"/>
              </w:rPr>
              <w:t xml:space="preserve"> </w:t>
            </w:r>
            <w:r w:rsidRPr="00ED1F6D">
              <w:rPr>
                <w:rFonts w:ascii="Arial" w:hAnsi="Arial" w:cs="Arial"/>
                <w:sz w:val="24"/>
                <w:szCs w:val="24"/>
              </w:rPr>
              <w:t>Spread</w:t>
            </w:r>
          </w:p>
        </w:tc>
      </w:tr>
      <w:tr w:rsidR="000C209F" w:rsidRPr="00360664" w14:paraId="71492D6F" w14:textId="77777777" w:rsidTr="00360664">
        <w:tc>
          <w:tcPr>
            <w:tcW w:w="4158" w:type="dxa"/>
          </w:tcPr>
          <w:p w14:paraId="2DE0D1E5"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14:paraId="24E10E97" w14:textId="77777777" w:rsidR="000C209F" w:rsidRPr="00360664" w:rsidRDefault="00ED1F6D"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14:paraId="68F98CDF"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14:paraId="489E34EE" w14:textId="77777777" w:rsidR="000C209F" w:rsidRPr="00360664" w:rsidRDefault="000C209F" w:rsidP="00ED1F6D">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ED1F6D">
              <w:rPr>
                <w:rFonts w:ascii="Arial" w:hAnsi="Arial" w:cs="Arial"/>
                <w:sz w:val="20"/>
                <w:szCs w:val="20"/>
              </w:rPr>
              <w:t>589-8340</w:t>
            </w:r>
          </w:p>
        </w:tc>
        <w:tc>
          <w:tcPr>
            <w:tcW w:w="3420" w:type="dxa"/>
          </w:tcPr>
          <w:p w14:paraId="78617A3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14:paraId="4E9A24BC"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ED1F6D" w:rsidRPr="00ED1F6D">
              <w:rPr>
                <w:rFonts w:ascii="Arial" w:hAnsi="Arial" w:cs="Arial"/>
                <w:sz w:val="20"/>
                <w:szCs w:val="20"/>
              </w:rPr>
              <w:t>davidstevens@utah.gov</w:t>
            </w:r>
          </w:p>
          <w:p w14:paraId="0A802647" w14:textId="77777777" w:rsidR="000C209F" w:rsidRPr="00360664" w:rsidRDefault="000C209F" w:rsidP="00360664">
            <w:pPr>
              <w:spacing w:after="0" w:line="240" w:lineRule="auto"/>
              <w:ind w:left="-108" w:right="-720"/>
              <w:rPr>
                <w:rFonts w:ascii="Arial" w:hAnsi="Arial" w:cs="Arial"/>
                <w:b/>
                <w:sz w:val="20"/>
                <w:szCs w:val="20"/>
              </w:rPr>
            </w:pPr>
          </w:p>
        </w:tc>
      </w:tr>
      <w:tr w:rsidR="000C209F" w:rsidRPr="00360664" w14:paraId="5BC2B262" w14:textId="77777777" w:rsidTr="00360664">
        <w:tc>
          <w:tcPr>
            <w:tcW w:w="4158" w:type="dxa"/>
          </w:tcPr>
          <w:p w14:paraId="1F60EBA5"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14:paraId="643CD734" w14:textId="77777777" w:rsidR="000C209F" w:rsidRPr="00AA4E92" w:rsidRDefault="007F0353" w:rsidP="00360664">
            <w:pPr>
              <w:spacing w:after="0" w:line="240" w:lineRule="auto"/>
              <w:ind w:right="-108"/>
              <w:rPr>
                <w:rFonts w:ascii="Arial" w:hAnsi="Arial" w:cs="Arial"/>
                <w:sz w:val="20"/>
                <w:szCs w:val="20"/>
              </w:rPr>
            </w:pPr>
            <w:r w:rsidRPr="00AA4E92">
              <w:rPr>
                <w:rFonts w:ascii="Arial" w:hAnsi="Arial" w:cs="Arial"/>
                <w:sz w:val="20"/>
                <w:szCs w:val="20"/>
              </w:rPr>
              <w:t>FINET</w:t>
            </w:r>
            <w:r w:rsidR="00407984" w:rsidRPr="00AA4E92">
              <w:rPr>
                <w:rFonts w:ascii="Arial" w:hAnsi="Arial" w:cs="Arial"/>
                <w:sz w:val="20"/>
                <w:szCs w:val="20"/>
              </w:rPr>
              <w:t xml:space="preserve"> </w:t>
            </w:r>
            <w:r w:rsidR="00AA4E92">
              <w:rPr>
                <w:rFonts w:ascii="Arial" w:hAnsi="Arial" w:cs="Arial"/>
                <w:sz w:val="20"/>
                <w:szCs w:val="20"/>
              </w:rPr>
              <w:t>42080</w:t>
            </w:r>
            <w:r w:rsidR="000C209F" w:rsidRPr="00AA4E92">
              <w:rPr>
                <w:rFonts w:ascii="Arial" w:hAnsi="Arial" w:cs="Arial"/>
                <w:sz w:val="20"/>
                <w:szCs w:val="20"/>
              </w:rPr>
              <w:t xml:space="preserve">, </w:t>
            </w:r>
            <w:proofErr w:type="spellStart"/>
            <w:r w:rsidR="000C209F" w:rsidRPr="00AA4E92">
              <w:rPr>
                <w:rFonts w:ascii="Arial" w:hAnsi="Arial" w:cs="Arial"/>
                <w:sz w:val="20"/>
                <w:szCs w:val="20"/>
              </w:rPr>
              <w:t>ePM</w:t>
            </w:r>
            <w:proofErr w:type="spellEnd"/>
            <w:r w:rsidR="000C209F" w:rsidRPr="00AA4E92">
              <w:rPr>
                <w:rFonts w:ascii="Arial" w:hAnsi="Arial" w:cs="Arial"/>
                <w:sz w:val="20"/>
                <w:szCs w:val="20"/>
              </w:rPr>
              <w:t xml:space="preserve"> PIN </w:t>
            </w:r>
            <w:r w:rsidR="00067968" w:rsidRPr="00AA4E92">
              <w:rPr>
                <w:rFonts w:ascii="Arial" w:hAnsi="Arial" w:cs="Arial"/>
                <w:sz w:val="20"/>
                <w:szCs w:val="20"/>
              </w:rPr>
              <w:t>1</w:t>
            </w:r>
            <w:r w:rsidR="00AA4E92" w:rsidRPr="00AA4E92">
              <w:rPr>
                <w:rFonts w:ascii="Arial" w:hAnsi="Arial" w:cs="Arial"/>
                <w:sz w:val="20"/>
                <w:szCs w:val="20"/>
              </w:rPr>
              <w:t>5017</w:t>
            </w:r>
          </w:p>
          <w:p w14:paraId="0D18E3EC" w14:textId="77777777" w:rsidR="000C209F" w:rsidRPr="00360664" w:rsidRDefault="000C209F" w:rsidP="00AA4E92">
            <w:pPr>
              <w:spacing w:after="0" w:line="240" w:lineRule="auto"/>
              <w:ind w:right="-108"/>
              <w:rPr>
                <w:rFonts w:ascii="Arial" w:hAnsi="Arial" w:cs="Arial"/>
                <w:sz w:val="20"/>
                <w:szCs w:val="20"/>
              </w:rPr>
            </w:pPr>
            <w:r w:rsidRPr="00AA4E92">
              <w:rPr>
                <w:rFonts w:ascii="Arial" w:hAnsi="Arial" w:cs="Arial"/>
                <w:sz w:val="20"/>
                <w:szCs w:val="20"/>
              </w:rPr>
              <w:t xml:space="preserve">UDOT PIC No. </w:t>
            </w:r>
            <w:r w:rsidR="00AA4E92" w:rsidRPr="00AA4E92">
              <w:rPr>
                <w:rFonts w:ascii="Arial" w:hAnsi="Arial" w:cs="Arial"/>
                <w:sz w:val="20"/>
                <w:szCs w:val="20"/>
              </w:rPr>
              <w:t>PL05.350</w:t>
            </w:r>
          </w:p>
        </w:tc>
        <w:tc>
          <w:tcPr>
            <w:tcW w:w="3330" w:type="dxa"/>
            <w:gridSpan w:val="2"/>
          </w:tcPr>
          <w:p w14:paraId="0EEC9C25"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14:paraId="262EEEE4" w14:textId="77777777" w:rsidR="000C209F" w:rsidRPr="00360664"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 </w:t>
            </w:r>
            <w:r w:rsidR="004E2E6C">
              <w:rPr>
                <w:rFonts w:ascii="Arial" w:hAnsi="Arial" w:cs="Arial"/>
                <w:sz w:val="20"/>
                <w:szCs w:val="20"/>
              </w:rPr>
              <w:t>17-8236</w:t>
            </w:r>
          </w:p>
          <w:p w14:paraId="718F6430"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14:paraId="25036A98"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14:paraId="0F1D0517" w14:textId="77777777" w:rsidR="000C209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D034CB">
              <w:rPr>
                <w:rFonts w:ascii="Arial" w:hAnsi="Arial" w:cs="Arial"/>
                <w:sz w:val="20"/>
                <w:szCs w:val="20"/>
              </w:rPr>
              <w:t>September 8, 2016</w:t>
            </w:r>
          </w:p>
          <w:p w14:paraId="6758FBD9" w14:textId="77777777" w:rsidR="000C209F" w:rsidRPr="00360664" w:rsidRDefault="000C209F" w:rsidP="00360664">
            <w:pPr>
              <w:spacing w:after="0" w:line="240" w:lineRule="auto"/>
              <w:ind w:right="-720"/>
              <w:rPr>
                <w:rFonts w:ascii="Arial" w:hAnsi="Arial" w:cs="Arial"/>
                <w:b/>
                <w:sz w:val="20"/>
                <w:szCs w:val="20"/>
              </w:rPr>
            </w:pPr>
          </w:p>
        </w:tc>
      </w:tr>
      <w:tr w:rsidR="000C209F" w:rsidRPr="00360664" w14:paraId="465AC26D" w14:textId="77777777" w:rsidTr="00360664">
        <w:tc>
          <w:tcPr>
            <w:tcW w:w="4158" w:type="dxa"/>
          </w:tcPr>
          <w:p w14:paraId="574251C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14:paraId="26487359" w14:textId="77777777" w:rsidR="000C209F" w:rsidRPr="00360664" w:rsidRDefault="00D034CB" w:rsidP="00360664">
            <w:pPr>
              <w:spacing w:after="0" w:line="240" w:lineRule="auto"/>
              <w:ind w:right="-108"/>
              <w:rPr>
                <w:rFonts w:ascii="Arial" w:hAnsi="Arial" w:cs="Arial"/>
                <w:sz w:val="20"/>
                <w:szCs w:val="20"/>
              </w:rPr>
            </w:pPr>
            <w:r>
              <w:rPr>
                <w:rFonts w:ascii="Arial" w:hAnsi="Arial" w:cs="Arial"/>
                <w:sz w:val="20"/>
                <w:szCs w:val="20"/>
              </w:rPr>
              <w:t>March 31, 2019</w:t>
            </w:r>
          </w:p>
        </w:tc>
        <w:tc>
          <w:tcPr>
            <w:tcW w:w="3330" w:type="dxa"/>
            <w:gridSpan w:val="2"/>
          </w:tcPr>
          <w:p w14:paraId="447DE351"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14:paraId="2C8666EE" w14:textId="77777777" w:rsidR="007D695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D034CB">
              <w:rPr>
                <w:rFonts w:ascii="Arial" w:hAnsi="Arial" w:cs="Arial"/>
                <w:sz w:val="20"/>
                <w:szCs w:val="20"/>
              </w:rPr>
              <w:t>March 31, 2019</w:t>
            </w:r>
            <w:r w:rsidR="00F032F2">
              <w:rPr>
                <w:rFonts w:ascii="Arial" w:hAnsi="Arial" w:cs="Arial"/>
                <w:sz w:val="20"/>
                <w:szCs w:val="20"/>
              </w:rPr>
              <w:t xml:space="preserve"> (31 months)</w:t>
            </w:r>
          </w:p>
          <w:p w14:paraId="3B277D65" w14:textId="77777777" w:rsidR="000C209F" w:rsidRPr="00360664" w:rsidRDefault="000C209F" w:rsidP="008273D7">
            <w:pPr>
              <w:spacing w:after="0" w:line="240" w:lineRule="auto"/>
              <w:ind w:left="-108" w:right="-108"/>
              <w:rPr>
                <w:rFonts w:ascii="Arial" w:hAnsi="Arial" w:cs="Arial"/>
                <w:sz w:val="20"/>
                <w:szCs w:val="20"/>
              </w:rPr>
            </w:pPr>
          </w:p>
        </w:tc>
        <w:tc>
          <w:tcPr>
            <w:tcW w:w="3420" w:type="dxa"/>
          </w:tcPr>
          <w:p w14:paraId="750269B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14:paraId="789EDCD5" w14:textId="77777777" w:rsidR="000C209F" w:rsidRPr="00BE2ADA"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p>
          <w:p w14:paraId="018AD6B0" w14:textId="77777777" w:rsidR="000C209F" w:rsidRPr="00360664" w:rsidRDefault="000C209F" w:rsidP="00360664">
            <w:pPr>
              <w:spacing w:after="0" w:line="240" w:lineRule="auto"/>
              <w:ind w:left="-108" w:right="-720"/>
              <w:rPr>
                <w:rFonts w:ascii="Arial" w:hAnsi="Arial" w:cs="Arial"/>
                <w:b/>
                <w:sz w:val="20"/>
                <w:szCs w:val="20"/>
              </w:rPr>
            </w:pPr>
          </w:p>
        </w:tc>
      </w:tr>
    </w:tbl>
    <w:p w14:paraId="22E1BB0C" w14:textId="77777777" w:rsidR="000C209F" w:rsidRPr="00B66A21" w:rsidRDefault="000C209F" w:rsidP="00551D8A">
      <w:pPr>
        <w:spacing w:after="0"/>
        <w:ind w:left="-720" w:right="-720"/>
        <w:rPr>
          <w:rFonts w:ascii="Arial" w:hAnsi="Arial" w:cs="Arial"/>
          <w:sz w:val="20"/>
          <w:szCs w:val="20"/>
        </w:rPr>
      </w:pPr>
    </w:p>
    <w:p w14:paraId="48D18C6E" w14:textId="77777777"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2A054655" w14:textId="77777777" w:rsidR="000C209F" w:rsidRPr="00B66A21" w:rsidRDefault="000C209F" w:rsidP="00551D8A">
      <w:pPr>
        <w:spacing w:after="0"/>
        <w:ind w:left="-720" w:right="-720"/>
        <w:rPr>
          <w:rFonts w:ascii="Arial" w:hAnsi="Arial" w:cs="Arial"/>
          <w:sz w:val="20"/>
          <w:szCs w:val="20"/>
        </w:rPr>
      </w:pPr>
    </w:p>
    <w:p w14:paraId="2767F3B6" w14:textId="140E670F" w:rsidR="000C209F" w:rsidRPr="00B66A21" w:rsidRDefault="002B5D17" w:rsidP="00551D8A">
      <w:pPr>
        <w:spacing w:after="0"/>
        <w:ind w:left="-720" w:right="-720"/>
        <w:rPr>
          <w:rFonts w:ascii="Arial" w:hAnsi="Arial" w:cs="Arial"/>
          <w:sz w:val="20"/>
          <w:szCs w:val="20"/>
        </w:rPr>
      </w:pPr>
      <w:r>
        <w:rPr>
          <w:rFonts w:ascii="Arial" w:hAnsi="Arial" w:cs="Arial"/>
          <w:sz w:val="20"/>
          <w:szCs w:val="20"/>
        </w:rPr>
        <w:t>_</w:t>
      </w:r>
      <w:r w:rsidR="000C209F">
        <w:rPr>
          <w:rFonts w:ascii="Arial" w:hAnsi="Arial" w:cs="Arial"/>
          <w:sz w:val="20"/>
          <w:szCs w:val="20"/>
        </w:rPr>
        <w:t xml:space="preserve"> </w:t>
      </w:r>
      <w:r w:rsidR="005544C7">
        <w:rPr>
          <w:rFonts w:ascii="Arial" w:hAnsi="Arial" w:cs="Arial"/>
          <w:sz w:val="20"/>
          <w:szCs w:val="20"/>
        </w:rPr>
        <w:t>On schedule</w:t>
      </w:r>
      <w:r w:rsidR="005544C7">
        <w:rPr>
          <w:rFonts w:ascii="Arial" w:hAnsi="Arial" w:cs="Arial"/>
          <w:sz w:val="20"/>
          <w:szCs w:val="20"/>
        </w:rPr>
        <w:tab/>
      </w:r>
      <w:r w:rsidR="005544C7">
        <w:rPr>
          <w:rFonts w:ascii="Arial" w:hAnsi="Arial" w:cs="Arial"/>
          <w:sz w:val="20"/>
          <w:szCs w:val="20"/>
        </w:rPr>
        <w:tab/>
      </w:r>
      <w:r w:rsidR="000C209F">
        <w:rPr>
          <w:rFonts w:ascii="Arial" w:hAnsi="Arial" w:cs="Arial"/>
          <w:sz w:val="20"/>
          <w:szCs w:val="20"/>
        </w:rPr>
        <w:t xml:space="preserve">_ </w:t>
      </w:r>
      <w:r w:rsidR="005544C7">
        <w:rPr>
          <w:rFonts w:ascii="Arial" w:hAnsi="Arial" w:cs="Arial"/>
          <w:sz w:val="20"/>
          <w:szCs w:val="20"/>
        </w:rPr>
        <w:t>On revised schedule</w:t>
      </w:r>
      <w:r w:rsidR="005544C7">
        <w:rPr>
          <w:rFonts w:ascii="Arial" w:hAnsi="Arial" w:cs="Arial"/>
          <w:sz w:val="20"/>
          <w:szCs w:val="20"/>
        </w:rPr>
        <w:tab/>
      </w:r>
      <w:r w:rsidR="005544C7">
        <w:rPr>
          <w:rFonts w:ascii="Arial" w:hAnsi="Arial" w:cs="Arial"/>
          <w:sz w:val="20"/>
          <w:szCs w:val="20"/>
        </w:rPr>
        <w:tab/>
      </w:r>
      <w:r w:rsidR="000C209F">
        <w:rPr>
          <w:rFonts w:ascii="Arial" w:hAnsi="Arial" w:cs="Arial"/>
          <w:sz w:val="20"/>
          <w:szCs w:val="20"/>
        </w:rPr>
        <w:t>_</w:t>
      </w:r>
      <w:r w:rsidR="000C209F" w:rsidRPr="00B66A21">
        <w:rPr>
          <w:rFonts w:ascii="Arial" w:hAnsi="Arial" w:cs="Arial"/>
          <w:sz w:val="36"/>
          <w:szCs w:val="36"/>
        </w:rPr>
        <w:t xml:space="preserve"> </w:t>
      </w:r>
      <w:r w:rsidR="005544C7">
        <w:rPr>
          <w:rFonts w:ascii="Arial" w:hAnsi="Arial" w:cs="Arial"/>
          <w:sz w:val="20"/>
          <w:szCs w:val="20"/>
        </w:rPr>
        <w:t>Ahead of schedule</w:t>
      </w:r>
      <w:r w:rsidR="005544C7">
        <w:rPr>
          <w:rFonts w:ascii="Arial" w:hAnsi="Arial" w:cs="Arial"/>
          <w:sz w:val="20"/>
          <w:szCs w:val="20"/>
        </w:rPr>
        <w:tab/>
      </w:r>
      <w:r w:rsidR="005544C7">
        <w:rPr>
          <w:rFonts w:ascii="Arial" w:hAnsi="Arial" w:cs="Arial"/>
          <w:sz w:val="20"/>
          <w:szCs w:val="20"/>
        </w:rPr>
        <w:tab/>
      </w:r>
      <w:r w:rsidRPr="0038529F">
        <w:rPr>
          <w:rFonts w:ascii="Arial" w:hAnsi="Arial" w:cs="Arial"/>
          <w:b/>
          <w:sz w:val="20"/>
          <w:szCs w:val="20"/>
          <w:u w:val="single"/>
        </w:rPr>
        <w:t>X</w:t>
      </w:r>
      <w:r w:rsidR="000C209F" w:rsidRPr="00B66A21">
        <w:rPr>
          <w:rFonts w:ascii="Arial" w:hAnsi="Arial" w:cs="Arial"/>
          <w:sz w:val="20"/>
          <w:szCs w:val="20"/>
        </w:rPr>
        <w:t xml:space="preserve"> Behind schedule</w:t>
      </w:r>
    </w:p>
    <w:p w14:paraId="59FD55DF" w14:textId="77777777" w:rsidR="000C209F" w:rsidRPr="00B66A21" w:rsidRDefault="000C209F" w:rsidP="00551D8A">
      <w:pPr>
        <w:spacing w:after="0"/>
        <w:ind w:left="-720" w:right="-720"/>
        <w:rPr>
          <w:rFonts w:ascii="Arial" w:hAnsi="Arial" w:cs="Arial"/>
          <w:sz w:val="20"/>
          <w:szCs w:val="20"/>
        </w:rPr>
      </w:pPr>
    </w:p>
    <w:p w14:paraId="66D43429" w14:textId="77777777"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705674" w14:paraId="7409E2E6" w14:textId="77777777" w:rsidTr="00360664">
        <w:tc>
          <w:tcPr>
            <w:tcW w:w="4158" w:type="dxa"/>
            <w:shd w:val="pct15" w:color="auto" w:fill="auto"/>
          </w:tcPr>
          <w:p w14:paraId="75E1F52A" w14:textId="77777777" w:rsidR="000C209F" w:rsidRPr="0070567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w:t>
            </w:r>
            <w:r w:rsidRPr="00705674">
              <w:rPr>
                <w:rFonts w:ascii="Arial" w:hAnsi="Arial" w:cs="Arial"/>
                <w:b/>
                <w:sz w:val="20"/>
                <w:szCs w:val="20"/>
              </w:rPr>
              <w:t>Total Project Budget</w:t>
            </w:r>
          </w:p>
        </w:tc>
        <w:tc>
          <w:tcPr>
            <w:tcW w:w="3330" w:type="dxa"/>
            <w:shd w:val="pct15" w:color="auto" w:fill="auto"/>
          </w:tcPr>
          <w:p w14:paraId="78873827" w14:textId="77777777" w:rsidR="000C209F" w:rsidRPr="00705674" w:rsidRDefault="000C209F" w:rsidP="00360664">
            <w:pPr>
              <w:spacing w:after="0" w:line="240" w:lineRule="auto"/>
              <w:ind w:left="-108" w:right="-108"/>
              <w:rPr>
                <w:rFonts w:ascii="Arial" w:hAnsi="Arial" w:cs="Arial"/>
                <w:b/>
                <w:sz w:val="20"/>
                <w:szCs w:val="20"/>
              </w:rPr>
            </w:pPr>
            <w:r w:rsidRPr="00705674">
              <w:rPr>
                <w:rFonts w:ascii="Arial" w:hAnsi="Arial" w:cs="Arial"/>
                <w:b/>
                <w:sz w:val="20"/>
                <w:szCs w:val="20"/>
              </w:rPr>
              <w:t xml:space="preserve">    Total Cost to Date for Project</w:t>
            </w:r>
          </w:p>
        </w:tc>
        <w:tc>
          <w:tcPr>
            <w:tcW w:w="3420" w:type="dxa"/>
            <w:shd w:val="pct15" w:color="auto" w:fill="auto"/>
          </w:tcPr>
          <w:p w14:paraId="76821F95" w14:textId="77777777" w:rsidR="000C209F" w:rsidRPr="00705674" w:rsidRDefault="000C209F" w:rsidP="00360664">
            <w:pPr>
              <w:spacing w:after="0" w:line="240" w:lineRule="auto"/>
              <w:ind w:left="-108" w:right="-720"/>
              <w:rPr>
                <w:rFonts w:ascii="Arial" w:hAnsi="Arial" w:cs="Arial"/>
                <w:b/>
                <w:sz w:val="20"/>
                <w:szCs w:val="20"/>
              </w:rPr>
            </w:pPr>
            <w:r w:rsidRPr="00705674">
              <w:rPr>
                <w:rFonts w:ascii="Arial" w:hAnsi="Arial" w:cs="Arial"/>
                <w:b/>
                <w:sz w:val="20"/>
                <w:szCs w:val="20"/>
              </w:rPr>
              <w:t xml:space="preserve">          Percentage of Work </w:t>
            </w:r>
          </w:p>
          <w:p w14:paraId="79029B39" w14:textId="77777777" w:rsidR="000C209F" w:rsidRPr="00705674" w:rsidRDefault="000C209F" w:rsidP="00360664">
            <w:pPr>
              <w:spacing w:after="0" w:line="240" w:lineRule="auto"/>
              <w:ind w:left="-108" w:right="-108"/>
              <w:rPr>
                <w:rFonts w:ascii="Arial" w:hAnsi="Arial" w:cs="Arial"/>
                <w:b/>
                <w:sz w:val="20"/>
                <w:szCs w:val="20"/>
              </w:rPr>
            </w:pPr>
            <w:r w:rsidRPr="00705674">
              <w:rPr>
                <w:rFonts w:ascii="Arial" w:hAnsi="Arial" w:cs="Arial"/>
                <w:b/>
                <w:sz w:val="20"/>
                <w:szCs w:val="20"/>
              </w:rPr>
              <w:t xml:space="preserve">           Completed to Date</w:t>
            </w:r>
          </w:p>
        </w:tc>
      </w:tr>
      <w:tr w:rsidR="000C209F" w:rsidRPr="0085570C" w14:paraId="64A4CCCF" w14:textId="77777777" w:rsidTr="004E3A67">
        <w:tc>
          <w:tcPr>
            <w:tcW w:w="4158" w:type="dxa"/>
            <w:vAlign w:val="center"/>
          </w:tcPr>
          <w:p w14:paraId="3A5281DF" w14:textId="77777777" w:rsidR="00845B74" w:rsidRPr="0085570C" w:rsidRDefault="00D034CB" w:rsidP="004E3A67">
            <w:pPr>
              <w:spacing w:after="0" w:line="240" w:lineRule="auto"/>
              <w:ind w:right="-108"/>
              <w:jc w:val="center"/>
              <w:rPr>
                <w:rFonts w:ascii="Arial" w:hAnsi="Arial" w:cs="Arial"/>
                <w:sz w:val="20"/>
                <w:szCs w:val="20"/>
              </w:rPr>
            </w:pPr>
            <w:r w:rsidRPr="0085570C">
              <w:rPr>
                <w:rFonts w:ascii="Arial" w:hAnsi="Arial" w:cs="Arial"/>
                <w:sz w:val="20"/>
                <w:szCs w:val="20"/>
              </w:rPr>
              <w:t>$110,354.93</w:t>
            </w:r>
            <w:r w:rsidR="00934F8D" w:rsidRPr="0085570C">
              <w:rPr>
                <w:rFonts w:ascii="Arial" w:hAnsi="Arial" w:cs="Arial"/>
                <w:sz w:val="20"/>
                <w:szCs w:val="20"/>
              </w:rPr>
              <w:t xml:space="preserve"> (current contract)</w:t>
            </w:r>
          </w:p>
          <w:p w14:paraId="0A4D2CA5" w14:textId="77777777" w:rsidR="00EB7C71" w:rsidRPr="0085570C" w:rsidRDefault="00934F8D" w:rsidP="00955239">
            <w:pPr>
              <w:spacing w:after="0" w:line="240" w:lineRule="auto"/>
              <w:ind w:right="-108"/>
              <w:jc w:val="center"/>
              <w:rPr>
                <w:rFonts w:ascii="Arial" w:hAnsi="Arial" w:cs="Arial"/>
                <w:sz w:val="20"/>
                <w:szCs w:val="20"/>
              </w:rPr>
            </w:pPr>
            <w:r w:rsidRPr="0085570C">
              <w:rPr>
                <w:rFonts w:ascii="Arial" w:hAnsi="Arial" w:cs="Arial"/>
                <w:sz w:val="20"/>
                <w:szCs w:val="20"/>
              </w:rPr>
              <w:t>$</w:t>
            </w:r>
            <w:r w:rsidR="00EB7C71" w:rsidRPr="0085570C">
              <w:rPr>
                <w:rFonts w:ascii="Arial" w:hAnsi="Arial" w:cs="Arial"/>
                <w:sz w:val="20"/>
                <w:szCs w:val="20"/>
              </w:rPr>
              <w:t>1</w:t>
            </w:r>
            <w:r w:rsidR="00955239" w:rsidRPr="0085570C">
              <w:rPr>
                <w:rFonts w:ascii="Arial" w:hAnsi="Arial" w:cs="Arial"/>
                <w:sz w:val="20"/>
                <w:szCs w:val="20"/>
              </w:rPr>
              <w:t>4</w:t>
            </w:r>
            <w:r w:rsidR="00472653" w:rsidRPr="0085570C">
              <w:rPr>
                <w:rFonts w:ascii="Arial" w:hAnsi="Arial" w:cs="Arial"/>
                <w:sz w:val="20"/>
                <w:szCs w:val="20"/>
              </w:rPr>
              <w:t>0</w:t>
            </w:r>
            <w:r w:rsidRPr="0085570C">
              <w:rPr>
                <w:rFonts w:ascii="Arial" w:hAnsi="Arial" w:cs="Arial"/>
                <w:sz w:val="20"/>
                <w:szCs w:val="20"/>
              </w:rPr>
              <w:t>,</w:t>
            </w:r>
            <w:r w:rsidR="00384F02" w:rsidRPr="0085570C">
              <w:rPr>
                <w:rFonts w:ascii="Arial" w:hAnsi="Arial" w:cs="Arial"/>
                <w:sz w:val="20"/>
                <w:szCs w:val="20"/>
              </w:rPr>
              <w:t>0</w:t>
            </w:r>
            <w:r w:rsidRPr="0085570C">
              <w:rPr>
                <w:rFonts w:ascii="Arial" w:hAnsi="Arial" w:cs="Arial"/>
                <w:sz w:val="20"/>
                <w:szCs w:val="20"/>
              </w:rPr>
              <w:t xml:space="preserve">00.00 (total </w:t>
            </w:r>
            <w:r w:rsidR="00EB7C71" w:rsidRPr="0085570C">
              <w:rPr>
                <w:rFonts w:ascii="Arial" w:hAnsi="Arial" w:cs="Arial"/>
                <w:sz w:val="20"/>
                <w:szCs w:val="20"/>
              </w:rPr>
              <w:t xml:space="preserve">TPF </w:t>
            </w:r>
            <w:r w:rsidRPr="0085570C">
              <w:rPr>
                <w:rFonts w:ascii="Arial" w:hAnsi="Arial" w:cs="Arial"/>
                <w:sz w:val="20"/>
                <w:szCs w:val="20"/>
              </w:rPr>
              <w:t>commitments)</w:t>
            </w:r>
          </w:p>
        </w:tc>
        <w:tc>
          <w:tcPr>
            <w:tcW w:w="3330" w:type="dxa"/>
            <w:vAlign w:val="center"/>
          </w:tcPr>
          <w:p w14:paraId="4DB6673E" w14:textId="645452D2" w:rsidR="004519AB" w:rsidRPr="0085570C" w:rsidRDefault="004519AB" w:rsidP="004E3A67">
            <w:pPr>
              <w:spacing w:after="0" w:line="240" w:lineRule="auto"/>
              <w:ind w:left="-108" w:right="-108"/>
              <w:jc w:val="center"/>
              <w:rPr>
                <w:rFonts w:ascii="Arial" w:hAnsi="Arial" w:cs="Arial"/>
                <w:sz w:val="20"/>
                <w:szCs w:val="20"/>
              </w:rPr>
            </w:pPr>
            <w:r w:rsidRPr="0085570C">
              <w:rPr>
                <w:rFonts w:ascii="Arial" w:hAnsi="Arial" w:cs="Arial"/>
                <w:sz w:val="20"/>
                <w:szCs w:val="20"/>
              </w:rPr>
              <w:t>$</w:t>
            </w:r>
            <w:r w:rsidR="003068E9">
              <w:rPr>
                <w:rFonts w:ascii="Arial" w:hAnsi="Arial" w:cs="Arial"/>
                <w:sz w:val="20"/>
                <w:szCs w:val="20"/>
              </w:rPr>
              <w:t>50,000.00</w:t>
            </w:r>
            <w:r w:rsidRPr="0085570C">
              <w:rPr>
                <w:rFonts w:ascii="Arial" w:hAnsi="Arial" w:cs="Arial"/>
                <w:sz w:val="20"/>
                <w:szCs w:val="20"/>
              </w:rPr>
              <w:t xml:space="preserve"> (paid by UDOT)</w:t>
            </w:r>
          </w:p>
          <w:p w14:paraId="69A3A34B" w14:textId="432D186F" w:rsidR="000C209F" w:rsidRPr="0085570C" w:rsidRDefault="006F1879" w:rsidP="004E3A67">
            <w:pPr>
              <w:spacing w:after="0" w:line="240" w:lineRule="auto"/>
              <w:ind w:left="-108" w:right="-108"/>
              <w:jc w:val="center"/>
              <w:rPr>
                <w:rFonts w:ascii="Arial" w:hAnsi="Arial" w:cs="Arial"/>
                <w:sz w:val="20"/>
                <w:szCs w:val="20"/>
              </w:rPr>
            </w:pPr>
            <w:r w:rsidRPr="0085570C">
              <w:rPr>
                <w:rFonts w:ascii="Arial" w:hAnsi="Arial" w:cs="Arial"/>
                <w:sz w:val="20"/>
                <w:szCs w:val="20"/>
              </w:rPr>
              <w:t>$</w:t>
            </w:r>
            <w:r w:rsidR="00E74E16">
              <w:rPr>
                <w:rFonts w:ascii="Arial" w:hAnsi="Arial" w:cs="Arial"/>
                <w:sz w:val="20"/>
                <w:szCs w:val="20"/>
              </w:rPr>
              <w:t>51,420.45</w:t>
            </w:r>
            <w:r w:rsidR="004519AB" w:rsidRPr="0085570C">
              <w:rPr>
                <w:rFonts w:ascii="Arial" w:hAnsi="Arial" w:cs="Arial"/>
                <w:sz w:val="20"/>
                <w:szCs w:val="20"/>
              </w:rPr>
              <w:t xml:space="preserve"> (at the U</w:t>
            </w:r>
            <w:r w:rsidR="00EA3BB2" w:rsidRPr="0085570C">
              <w:rPr>
                <w:rFonts w:ascii="Arial" w:hAnsi="Arial" w:cs="Arial"/>
                <w:sz w:val="20"/>
                <w:szCs w:val="20"/>
              </w:rPr>
              <w:t>.</w:t>
            </w:r>
            <w:r w:rsidR="002E47D8" w:rsidRPr="0085570C">
              <w:rPr>
                <w:rFonts w:ascii="Arial" w:hAnsi="Arial" w:cs="Arial"/>
                <w:sz w:val="20"/>
                <w:szCs w:val="20"/>
              </w:rPr>
              <w:t xml:space="preserve"> </w:t>
            </w:r>
            <w:r w:rsidR="004519AB" w:rsidRPr="0085570C">
              <w:rPr>
                <w:rFonts w:ascii="Arial" w:hAnsi="Arial" w:cs="Arial"/>
                <w:sz w:val="20"/>
                <w:szCs w:val="20"/>
              </w:rPr>
              <w:t>of</w:t>
            </w:r>
            <w:r w:rsidR="002E47D8" w:rsidRPr="0085570C">
              <w:rPr>
                <w:rFonts w:ascii="Arial" w:hAnsi="Arial" w:cs="Arial"/>
                <w:sz w:val="20"/>
                <w:szCs w:val="20"/>
              </w:rPr>
              <w:t xml:space="preserve"> </w:t>
            </w:r>
            <w:r w:rsidR="004519AB" w:rsidRPr="0085570C">
              <w:rPr>
                <w:rFonts w:ascii="Arial" w:hAnsi="Arial" w:cs="Arial"/>
                <w:sz w:val="20"/>
                <w:szCs w:val="20"/>
              </w:rPr>
              <w:t>U</w:t>
            </w:r>
            <w:r w:rsidR="00EA3BB2" w:rsidRPr="0085570C">
              <w:rPr>
                <w:rFonts w:ascii="Arial" w:hAnsi="Arial" w:cs="Arial"/>
                <w:sz w:val="20"/>
                <w:szCs w:val="20"/>
              </w:rPr>
              <w:t>tah</w:t>
            </w:r>
            <w:r w:rsidR="004519AB" w:rsidRPr="0085570C">
              <w:rPr>
                <w:rFonts w:ascii="Arial" w:hAnsi="Arial" w:cs="Arial"/>
                <w:sz w:val="20"/>
                <w:szCs w:val="20"/>
              </w:rPr>
              <w:t>)</w:t>
            </w:r>
          </w:p>
        </w:tc>
        <w:tc>
          <w:tcPr>
            <w:tcW w:w="3420" w:type="dxa"/>
            <w:vAlign w:val="center"/>
          </w:tcPr>
          <w:p w14:paraId="45BC520E" w14:textId="7BB70CE2" w:rsidR="000C209F" w:rsidRPr="0085570C" w:rsidRDefault="00F77FD2" w:rsidP="006764D7">
            <w:pPr>
              <w:spacing w:after="0" w:line="240" w:lineRule="auto"/>
              <w:ind w:left="-108" w:right="-108"/>
              <w:jc w:val="center"/>
              <w:rPr>
                <w:rFonts w:ascii="Arial" w:hAnsi="Arial" w:cs="Arial"/>
                <w:sz w:val="20"/>
                <w:szCs w:val="20"/>
              </w:rPr>
            </w:pPr>
            <w:r>
              <w:rPr>
                <w:rFonts w:ascii="Arial" w:hAnsi="Arial" w:cs="Arial"/>
                <w:sz w:val="20"/>
                <w:szCs w:val="20"/>
              </w:rPr>
              <w:t>70</w:t>
            </w:r>
            <w:r w:rsidR="00845B74" w:rsidRPr="0085570C">
              <w:rPr>
                <w:rFonts w:ascii="Arial" w:hAnsi="Arial" w:cs="Arial"/>
                <w:sz w:val="20"/>
                <w:szCs w:val="20"/>
              </w:rPr>
              <w:t>%</w:t>
            </w:r>
          </w:p>
        </w:tc>
      </w:tr>
    </w:tbl>
    <w:p w14:paraId="2152065B" w14:textId="77777777" w:rsidR="000C209F" w:rsidRPr="0085570C" w:rsidRDefault="000C209F" w:rsidP="00551D8A">
      <w:pPr>
        <w:spacing w:after="0"/>
        <w:ind w:left="-720" w:right="-720"/>
        <w:rPr>
          <w:rFonts w:ascii="Arial" w:hAnsi="Arial" w:cs="Arial"/>
          <w:sz w:val="20"/>
          <w:szCs w:val="20"/>
        </w:rPr>
      </w:pPr>
    </w:p>
    <w:p w14:paraId="62CA8CC6" w14:textId="77777777" w:rsidR="000C209F" w:rsidRPr="0085570C" w:rsidRDefault="000C209F" w:rsidP="00551D8A">
      <w:pPr>
        <w:spacing w:after="0"/>
        <w:ind w:left="-720" w:right="-720"/>
        <w:rPr>
          <w:rFonts w:ascii="Arial" w:hAnsi="Arial" w:cs="Arial"/>
          <w:sz w:val="20"/>
          <w:szCs w:val="20"/>
        </w:rPr>
      </w:pPr>
      <w:r w:rsidRPr="0085570C">
        <w:rPr>
          <w:rFonts w:ascii="Arial" w:hAnsi="Arial" w:cs="Arial"/>
          <w:b/>
          <w:i/>
          <w:sz w:val="20"/>
          <w:szCs w:val="20"/>
        </w:rPr>
        <w:t>Quarterly</w:t>
      </w:r>
      <w:r w:rsidRPr="0085570C">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85570C" w14:paraId="69AFA12F" w14:textId="77777777" w:rsidTr="00360664">
        <w:tc>
          <w:tcPr>
            <w:tcW w:w="4158" w:type="dxa"/>
            <w:shd w:val="pct15" w:color="auto" w:fill="auto"/>
          </w:tcPr>
          <w:p w14:paraId="0F877F38" w14:textId="77777777" w:rsidR="000C209F" w:rsidRPr="0085570C" w:rsidRDefault="000C209F" w:rsidP="00360664">
            <w:pPr>
              <w:spacing w:after="0" w:line="240" w:lineRule="auto"/>
              <w:ind w:right="-108"/>
              <w:rPr>
                <w:rFonts w:ascii="Arial" w:hAnsi="Arial" w:cs="Arial"/>
                <w:b/>
                <w:sz w:val="20"/>
                <w:szCs w:val="20"/>
              </w:rPr>
            </w:pPr>
            <w:r w:rsidRPr="0085570C">
              <w:rPr>
                <w:rFonts w:ascii="Arial" w:hAnsi="Arial" w:cs="Arial"/>
                <w:b/>
                <w:sz w:val="20"/>
                <w:szCs w:val="20"/>
              </w:rPr>
              <w:t xml:space="preserve">               Total Project Expenses </w:t>
            </w:r>
          </w:p>
          <w:p w14:paraId="5C284169" w14:textId="77777777" w:rsidR="000C209F" w:rsidRPr="0085570C" w:rsidRDefault="000C209F" w:rsidP="00360664">
            <w:pPr>
              <w:spacing w:after="0" w:line="240" w:lineRule="auto"/>
              <w:ind w:right="-720"/>
              <w:rPr>
                <w:rFonts w:ascii="Arial" w:hAnsi="Arial" w:cs="Arial"/>
                <w:b/>
                <w:sz w:val="20"/>
                <w:szCs w:val="20"/>
              </w:rPr>
            </w:pPr>
            <w:r w:rsidRPr="0085570C">
              <w:rPr>
                <w:rFonts w:ascii="Arial" w:hAnsi="Arial" w:cs="Arial"/>
                <w:b/>
                <w:sz w:val="20"/>
                <w:szCs w:val="20"/>
              </w:rPr>
              <w:t xml:space="preserve">          and Percentage This Quarter</w:t>
            </w:r>
          </w:p>
        </w:tc>
        <w:tc>
          <w:tcPr>
            <w:tcW w:w="3330" w:type="dxa"/>
            <w:shd w:val="pct15" w:color="auto" w:fill="auto"/>
          </w:tcPr>
          <w:p w14:paraId="0F625095" w14:textId="77777777" w:rsidR="000C209F" w:rsidRPr="0085570C" w:rsidRDefault="000C209F" w:rsidP="00360664">
            <w:pPr>
              <w:spacing w:after="0" w:line="240" w:lineRule="auto"/>
              <w:ind w:right="-720"/>
              <w:rPr>
                <w:rFonts w:ascii="Arial" w:hAnsi="Arial" w:cs="Arial"/>
                <w:b/>
                <w:sz w:val="20"/>
                <w:szCs w:val="20"/>
              </w:rPr>
            </w:pPr>
            <w:r w:rsidRPr="0085570C">
              <w:rPr>
                <w:rFonts w:ascii="Arial" w:hAnsi="Arial" w:cs="Arial"/>
                <w:b/>
                <w:sz w:val="20"/>
                <w:szCs w:val="20"/>
              </w:rPr>
              <w:t xml:space="preserve">     Total Amount of  Funds </w:t>
            </w:r>
          </w:p>
          <w:p w14:paraId="49BA2C22" w14:textId="77777777" w:rsidR="000C209F" w:rsidRPr="0085570C" w:rsidRDefault="000C209F" w:rsidP="00360664">
            <w:pPr>
              <w:spacing w:after="0" w:line="240" w:lineRule="auto"/>
              <w:ind w:left="-108" w:right="-108"/>
              <w:rPr>
                <w:rFonts w:ascii="Arial" w:hAnsi="Arial" w:cs="Arial"/>
                <w:b/>
                <w:sz w:val="20"/>
                <w:szCs w:val="20"/>
              </w:rPr>
            </w:pPr>
            <w:r w:rsidRPr="0085570C">
              <w:rPr>
                <w:rFonts w:ascii="Arial" w:hAnsi="Arial" w:cs="Arial"/>
                <w:b/>
                <w:sz w:val="20"/>
                <w:szCs w:val="20"/>
              </w:rPr>
              <w:t xml:space="preserve">      Expended This Quarter</w:t>
            </w:r>
          </w:p>
        </w:tc>
        <w:tc>
          <w:tcPr>
            <w:tcW w:w="3420" w:type="dxa"/>
            <w:shd w:val="pct15" w:color="auto" w:fill="auto"/>
          </w:tcPr>
          <w:p w14:paraId="063C038D" w14:textId="77777777" w:rsidR="000C209F" w:rsidRPr="0085570C" w:rsidRDefault="000C209F" w:rsidP="00360664">
            <w:pPr>
              <w:spacing w:after="0" w:line="240" w:lineRule="auto"/>
              <w:ind w:right="-720"/>
              <w:rPr>
                <w:rFonts w:ascii="Arial" w:hAnsi="Arial" w:cs="Arial"/>
                <w:b/>
                <w:sz w:val="20"/>
                <w:szCs w:val="20"/>
              </w:rPr>
            </w:pPr>
            <w:r w:rsidRPr="0085570C">
              <w:rPr>
                <w:rFonts w:ascii="Arial" w:hAnsi="Arial" w:cs="Arial"/>
                <w:b/>
                <w:sz w:val="20"/>
                <w:szCs w:val="20"/>
              </w:rPr>
              <w:t xml:space="preserve">         Total Percentage of </w:t>
            </w:r>
          </w:p>
          <w:p w14:paraId="4760DA9D" w14:textId="77777777" w:rsidR="000C209F" w:rsidRPr="0085570C" w:rsidRDefault="000C209F" w:rsidP="00360664">
            <w:pPr>
              <w:spacing w:after="0" w:line="240" w:lineRule="auto"/>
              <w:ind w:left="-108" w:right="-108"/>
              <w:rPr>
                <w:rFonts w:ascii="Arial" w:hAnsi="Arial" w:cs="Arial"/>
                <w:b/>
                <w:sz w:val="20"/>
                <w:szCs w:val="20"/>
              </w:rPr>
            </w:pPr>
            <w:r w:rsidRPr="0085570C">
              <w:rPr>
                <w:rFonts w:ascii="Arial" w:hAnsi="Arial" w:cs="Arial"/>
                <w:b/>
                <w:sz w:val="20"/>
                <w:szCs w:val="20"/>
              </w:rPr>
              <w:t xml:space="preserve">          Time Used to Date</w:t>
            </w:r>
          </w:p>
        </w:tc>
      </w:tr>
      <w:tr w:rsidR="000C209F" w:rsidRPr="00360664" w14:paraId="669296AF" w14:textId="77777777" w:rsidTr="004E3A67">
        <w:tc>
          <w:tcPr>
            <w:tcW w:w="4158" w:type="dxa"/>
            <w:vAlign w:val="center"/>
          </w:tcPr>
          <w:p w14:paraId="11C77459" w14:textId="439749D7" w:rsidR="00304A2B" w:rsidRPr="0085570C" w:rsidRDefault="00304A2B" w:rsidP="00304A2B">
            <w:pPr>
              <w:spacing w:after="0" w:line="240" w:lineRule="auto"/>
              <w:ind w:right="-108"/>
              <w:jc w:val="center"/>
              <w:rPr>
                <w:rFonts w:ascii="Arial" w:hAnsi="Arial" w:cs="Arial"/>
                <w:b/>
                <w:sz w:val="20"/>
                <w:szCs w:val="20"/>
              </w:rPr>
            </w:pPr>
            <w:r w:rsidRPr="0085570C">
              <w:rPr>
                <w:rFonts w:ascii="Arial" w:hAnsi="Arial" w:cs="Arial"/>
                <w:sz w:val="20"/>
                <w:szCs w:val="20"/>
              </w:rPr>
              <w:t xml:space="preserve">This Quarter = </w:t>
            </w:r>
            <w:r w:rsidR="003068E9">
              <w:rPr>
                <w:rFonts w:ascii="Arial" w:hAnsi="Arial" w:cs="Arial"/>
                <w:sz w:val="20"/>
                <w:szCs w:val="20"/>
              </w:rPr>
              <w:t>0</w:t>
            </w:r>
            <w:r w:rsidRPr="0085570C">
              <w:rPr>
                <w:rFonts w:ascii="Arial" w:hAnsi="Arial" w:cs="Arial"/>
                <w:sz w:val="20"/>
                <w:szCs w:val="20"/>
              </w:rPr>
              <w:t>% (paid by UDOT)</w:t>
            </w:r>
          </w:p>
          <w:p w14:paraId="2BC73FDE" w14:textId="64935B16" w:rsidR="00D343F9" w:rsidRPr="0085570C" w:rsidRDefault="00D343F9" w:rsidP="00D343F9">
            <w:pPr>
              <w:spacing w:after="0" w:line="240" w:lineRule="auto"/>
              <w:ind w:right="-108"/>
              <w:jc w:val="center"/>
              <w:rPr>
                <w:rFonts w:ascii="Arial" w:hAnsi="Arial" w:cs="Arial"/>
                <w:b/>
                <w:sz w:val="20"/>
                <w:szCs w:val="20"/>
              </w:rPr>
            </w:pPr>
            <w:r w:rsidRPr="0085570C">
              <w:rPr>
                <w:rFonts w:ascii="Arial" w:hAnsi="Arial" w:cs="Arial"/>
                <w:sz w:val="20"/>
                <w:szCs w:val="20"/>
              </w:rPr>
              <w:t xml:space="preserve">This Quarter = </w:t>
            </w:r>
            <w:r w:rsidR="00F77FD2">
              <w:rPr>
                <w:rFonts w:ascii="Arial" w:hAnsi="Arial" w:cs="Arial"/>
                <w:sz w:val="20"/>
                <w:szCs w:val="20"/>
              </w:rPr>
              <w:t>0</w:t>
            </w:r>
            <w:r w:rsidRPr="0085570C">
              <w:rPr>
                <w:rFonts w:ascii="Arial" w:hAnsi="Arial" w:cs="Arial"/>
                <w:sz w:val="20"/>
                <w:szCs w:val="20"/>
              </w:rPr>
              <w:t>%</w:t>
            </w:r>
            <w:r w:rsidR="00304A2B" w:rsidRPr="0085570C">
              <w:rPr>
                <w:rFonts w:ascii="Arial" w:hAnsi="Arial" w:cs="Arial"/>
                <w:sz w:val="20"/>
                <w:szCs w:val="20"/>
              </w:rPr>
              <w:t xml:space="preserve"> (at the U. of Utah)</w:t>
            </w:r>
          </w:p>
          <w:p w14:paraId="15E9F0B5" w14:textId="45BC683E" w:rsidR="00304A2B" w:rsidRPr="0085570C" w:rsidRDefault="00304A2B" w:rsidP="00304A2B">
            <w:pPr>
              <w:spacing w:after="0" w:line="240" w:lineRule="auto"/>
              <w:ind w:right="-108"/>
              <w:jc w:val="center"/>
              <w:rPr>
                <w:rFonts w:ascii="Arial" w:hAnsi="Arial" w:cs="Arial"/>
                <w:sz w:val="20"/>
                <w:szCs w:val="20"/>
              </w:rPr>
            </w:pPr>
            <w:r w:rsidRPr="0085570C">
              <w:rPr>
                <w:rFonts w:ascii="Arial" w:hAnsi="Arial" w:cs="Arial"/>
                <w:sz w:val="20"/>
                <w:szCs w:val="20"/>
              </w:rPr>
              <w:t xml:space="preserve">Total Project = </w:t>
            </w:r>
            <w:r w:rsidR="003068E9">
              <w:rPr>
                <w:rFonts w:ascii="Arial" w:hAnsi="Arial" w:cs="Arial"/>
                <w:sz w:val="20"/>
                <w:szCs w:val="20"/>
              </w:rPr>
              <w:t>45</w:t>
            </w:r>
            <w:r w:rsidRPr="0085570C">
              <w:rPr>
                <w:rFonts w:ascii="Arial" w:hAnsi="Arial" w:cs="Arial"/>
                <w:sz w:val="20"/>
                <w:szCs w:val="20"/>
              </w:rPr>
              <w:t>% (paid by UDOT)</w:t>
            </w:r>
          </w:p>
          <w:p w14:paraId="4AC4070D" w14:textId="1A336D86" w:rsidR="004E3A67" w:rsidRPr="0085570C" w:rsidRDefault="00D343F9" w:rsidP="00304A2B">
            <w:pPr>
              <w:spacing w:after="0" w:line="240" w:lineRule="auto"/>
              <w:ind w:right="-108"/>
              <w:jc w:val="center"/>
              <w:rPr>
                <w:rFonts w:ascii="Arial" w:hAnsi="Arial" w:cs="Arial"/>
                <w:sz w:val="20"/>
                <w:szCs w:val="20"/>
              </w:rPr>
            </w:pPr>
            <w:r w:rsidRPr="0085570C">
              <w:rPr>
                <w:rFonts w:ascii="Arial" w:hAnsi="Arial" w:cs="Arial"/>
                <w:sz w:val="20"/>
                <w:szCs w:val="20"/>
              </w:rPr>
              <w:t xml:space="preserve">Total Project = </w:t>
            </w:r>
            <w:r w:rsidR="00F77FD2">
              <w:rPr>
                <w:rFonts w:ascii="Arial" w:hAnsi="Arial" w:cs="Arial"/>
                <w:sz w:val="20"/>
                <w:szCs w:val="20"/>
              </w:rPr>
              <w:t>100</w:t>
            </w:r>
            <w:r w:rsidRPr="0085570C">
              <w:rPr>
                <w:rFonts w:ascii="Arial" w:hAnsi="Arial" w:cs="Arial"/>
                <w:sz w:val="20"/>
                <w:szCs w:val="20"/>
              </w:rPr>
              <w:t>%</w:t>
            </w:r>
            <w:r w:rsidR="00304A2B" w:rsidRPr="0085570C">
              <w:rPr>
                <w:rFonts w:ascii="Arial" w:hAnsi="Arial" w:cs="Arial"/>
                <w:sz w:val="20"/>
                <w:szCs w:val="20"/>
              </w:rPr>
              <w:t xml:space="preserve"> (at the U. of Utah)</w:t>
            </w:r>
          </w:p>
        </w:tc>
        <w:tc>
          <w:tcPr>
            <w:tcW w:w="3330" w:type="dxa"/>
            <w:vAlign w:val="center"/>
          </w:tcPr>
          <w:p w14:paraId="5D4F5982" w14:textId="0D6410A8" w:rsidR="00304A2B" w:rsidRPr="0085570C" w:rsidRDefault="00304A2B" w:rsidP="00B74F67">
            <w:pPr>
              <w:spacing w:after="0" w:line="240" w:lineRule="auto"/>
              <w:ind w:right="-108"/>
              <w:jc w:val="center"/>
              <w:rPr>
                <w:rFonts w:ascii="Arial" w:hAnsi="Arial" w:cs="Arial"/>
                <w:sz w:val="20"/>
                <w:szCs w:val="20"/>
              </w:rPr>
            </w:pPr>
            <w:r w:rsidRPr="0085570C">
              <w:rPr>
                <w:rFonts w:ascii="Arial" w:hAnsi="Arial" w:cs="Arial"/>
                <w:sz w:val="20"/>
                <w:szCs w:val="20"/>
              </w:rPr>
              <w:t>$</w:t>
            </w:r>
            <w:r w:rsidR="003068E9">
              <w:rPr>
                <w:rFonts w:ascii="Arial" w:hAnsi="Arial" w:cs="Arial"/>
                <w:sz w:val="20"/>
                <w:szCs w:val="20"/>
              </w:rPr>
              <w:t>0.00</w:t>
            </w:r>
            <w:r w:rsidRPr="0085570C">
              <w:rPr>
                <w:rFonts w:ascii="Arial" w:hAnsi="Arial" w:cs="Arial"/>
                <w:sz w:val="20"/>
                <w:szCs w:val="20"/>
              </w:rPr>
              <w:t xml:space="preserve"> (paid by UDOT)</w:t>
            </w:r>
          </w:p>
          <w:p w14:paraId="063DFFEA" w14:textId="3D3A06CA" w:rsidR="00AA53A6" w:rsidRDefault="00DD1AA4" w:rsidP="005113DA">
            <w:pPr>
              <w:spacing w:after="0" w:line="240" w:lineRule="auto"/>
              <w:jc w:val="center"/>
              <w:rPr>
                <w:rFonts w:ascii="Arial" w:hAnsi="Arial" w:cs="Arial"/>
                <w:sz w:val="20"/>
                <w:szCs w:val="20"/>
              </w:rPr>
            </w:pPr>
            <w:r w:rsidRPr="0085570C">
              <w:rPr>
                <w:rFonts w:ascii="Arial" w:hAnsi="Arial" w:cs="Arial"/>
                <w:sz w:val="20"/>
                <w:szCs w:val="20"/>
              </w:rPr>
              <w:t>$</w:t>
            </w:r>
            <w:r w:rsidR="00F77FD2">
              <w:rPr>
                <w:rFonts w:ascii="Arial" w:hAnsi="Arial" w:cs="Arial"/>
                <w:sz w:val="20"/>
                <w:szCs w:val="20"/>
              </w:rPr>
              <w:t>0.00</w:t>
            </w:r>
            <w:r w:rsidR="002E7774" w:rsidRPr="0085570C">
              <w:rPr>
                <w:rFonts w:ascii="Arial" w:hAnsi="Arial" w:cs="Arial"/>
                <w:sz w:val="20"/>
                <w:szCs w:val="20"/>
              </w:rPr>
              <w:t xml:space="preserve"> (at the U. of Utah)</w:t>
            </w:r>
          </w:p>
          <w:p w14:paraId="4829BD9F" w14:textId="138F54E8" w:rsidR="000C209F" w:rsidRPr="0085570C" w:rsidRDefault="00C64D98" w:rsidP="005113DA">
            <w:pPr>
              <w:spacing w:after="0" w:line="240" w:lineRule="auto"/>
              <w:jc w:val="center"/>
              <w:rPr>
                <w:rFonts w:ascii="Arial" w:hAnsi="Arial" w:cs="Arial"/>
                <w:sz w:val="20"/>
                <w:szCs w:val="20"/>
              </w:rPr>
            </w:pPr>
            <w:r w:rsidRPr="0085570C">
              <w:rPr>
                <w:rFonts w:ascii="Arial" w:hAnsi="Arial" w:cs="Arial"/>
                <w:sz w:val="20"/>
                <w:szCs w:val="20"/>
              </w:rPr>
              <w:t>(Funding for U of U student from MPC funds)</w:t>
            </w:r>
          </w:p>
        </w:tc>
        <w:tc>
          <w:tcPr>
            <w:tcW w:w="3420" w:type="dxa"/>
            <w:vAlign w:val="center"/>
          </w:tcPr>
          <w:p w14:paraId="045C5E19" w14:textId="28E61FDC" w:rsidR="000C209F" w:rsidRPr="00360664" w:rsidRDefault="00257CFA" w:rsidP="004E3A67">
            <w:pPr>
              <w:spacing w:after="0" w:line="240" w:lineRule="auto"/>
              <w:ind w:left="-108" w:right="-108"/>
              <w:jc w:val="center"/>
              <w:rPr>
                <w:rFonts w:ascii="Arial" w:hAnsi="Arial" w:cs="Arial"/>
                <w:sz w:val="20"/>
                <w:szCs w:val="20"/>
              </w:rPr>
            </w:pPr>
            <w:r>
              <w:rPr>
                <w:rFonts w:ascii="Arial" w:hAnsi="Arial" w:cs="Arial"/>
                <w:sz w:val="20"/>
                <w:szCs w:val="20"/>
              </w:rPr>
              <w:t>90</w:t>
            </w:r>
            <w:r w:rsidR="00272964" w:rsidRPr="0085570C">
              <w:rPr>
                <w:rFonts w:ascii="Arial" w:hAnsi="Arial" w:cs="Arial"/>
                <w:sz w:val="20"/>
                <w:szCs w:val="20"/>
              </w:rPr>
              <w:t>%</w:t>
            </w:r>
          </w:p>
        </w:tc>
      </w:tr>
    </w:tbl>
    <w:p w14:paraId="20AB9ADB" w14:textId="77777777" w:rsidR="000C209F" w:rsidRDefault="000C209F" w:rsidP="00551D8A">
      <w:pPr>
        <w:spacing w:after="0"/>
        <w:ind w:left="-720" w:right="-720"/>
        <w:rPr>
          <w:rFonts w:ascii="Arial" w:hAnsi="Arial" w:cs="Arial"/>
          <w:sz w:val="20"/>
          <w:szCs w:val="20"/>
        </w:rPr>
      </w:pPr>
    </w:p>
    <w:p w14:paraId="726090E2" w14:textId="77777777"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6303FDCC" w14:textId="77777777" w:rsidTr="00360664">
        <w:tc>
          <w:tcPr>
            <w:tcW w:w="10908" w:type="dxa"/>
          </w:tcPr>
          <w:p w14:paraId="7DA31952" w14:textId="77777777" w:rsidR="000C209F" w:rsidRPr="00360664" w:rsidRDefault="000C209F" w:rsidP="00360664">
            <w:pPr>
              <w:spacing w:after="0" w:line="240" w:lineRule="auto"/>
              <w:rPr>
                <w:rFonts w:ascii="Arial" w:hAnsi="Arial" w:cs="Arial"/>
                <w:b/>
                <w:sz w:val="20"/>
                <w:szCs w:val="20"/>
              </w:rPr>
            </w:pPr>
          </w:p>
          <w:p w14:paraId="750F5C4B"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14:paraId="69548CAC" w14:textId="77777777" w:rsidR="000C209F" w:rsidRDefault="000C209F" w:rsidP="00360664">
            <w:pPr>
              <w:spacing w:after="0" w:line="240" w:lineRule="auto"/>
              <w:rPr>
                <w:rFonts w:ascii="Arial" w:hAnsi="Arial" w:cs="Arial"/>
                <w:sz w:val="20"/>
                <w:szCs w:val="20"/>
              </w:rPr>
            </w:pPr>
          </w:p>
          <w:p w14:paraId="6BA5A42F"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This research will be conducted in conjunction with the Pacific Earthquake Engineering Research (PEER) Center and various state DOTs via a pool-fund study managed by the Utah Department of Transportation (UDOT). The Mountain Plains Consortium (MPC) is also providing funding for certain aspects of this study, under separate contract with the University of Utah. The research topic addresses the need to improve empirical, semi-empirical, analytical and numerical methods to estimate the amount of permanent ground displacement associated with liquefaction-induced lateral spread resulting from several major earthquakes. This scope of work addresses the development of a lateral spread community database as part of the PEER Next Generation Liquefaction Project (</w:t>
            </w:r>
            <w:hyperlink r:id="rId9" w:history="1">
              <w:r w:rsidR="00A42FD6" w:rsidRPr="00FD7B98">
                <w:rPr>
                  <w:rStyle w:val="Hyperlink"/>
                  <w:rFonts w:ascii="Arial" w:hAnsi="Arial" w:cs="Arial"/>
                  <w:sz w:val="20"/>
                  <w:szCs w:val="20"/>
                </w:rPr>
                <w:t>http://peer.berkeley.edu/lifelines/projects/ngl/</w:t>
              </w:r>
            </w:hyperlink>
            <w:r w:rsidRPr="00275D90">
              <w:rPr>
                <w:rFonts w:ascii="Arial" w:hAnsi="Arial" w:cs="Arial"/>
                <w:sz w:val="20"/>
                <w:szCs w:val="20"/>
              </w:rPr>
              <w:t xml:space="preserve">). It does not address predictive model development for lateral spread evaluations, which is future effort planned by PEER, but not included in this work plan. </w:t>
            </w:r>
          </w:p>
          <w:p w14:paraId="4C988906" w14:textId="77777777" w:rsidR="00275D90" w:rsidRPr="00275D90" w:rsidRDefault="00275D90" w:rsidP="00275D90">
            <w:pPr>
              <w:spacing w:after="0" w:line="240" w:lineRule="auto"/>
              <w:rPr>
                <w:rFonts w:ascii="Arial" w:hAnsi="Arial" w:cs="Arial"/>
                <w:sz w:val="20"/>
                <w:szCs w:val="20"/>
              </w:rPr>
            </w:pPr>
          </w:p>
          <w:p w14:paraId="12CD7F07" w14:textId="1A670114"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The primary outcome of this research is a vetted and community database of seismic, topographical, geotechnical and horizontal displacement measurements pertaining to case histories of liquefaction-induced lateral spread for further research and model development by other researchers and investigators under the auspices of the PEER Center</w:t>
            </w:r>
            <w:r w:rsidR="00222C75">
              <w:rPr>
                <w:rFonts w:ascii="Arial" w:hAnsi="Arial" w:cs="Arial"/>
                <w:sz w:val="20"/>
                <w:szCs w:val="20"/>
              </w:rPr>
              <w:t xml:space="preserve"> </w:t>
            </w:r>
            <w:r w:rsidRPr="00275D90">
              <w:rPr>
                <w:rFonts w:ascii="Arial" w:hAnsi="Arial" w:cs="Arial"/>
                <w:sz w:val="20"/>
                <w:szCs w:val="20"/>
              </w:rPr>
              <w:t>(</w:t>
            </w:r>
            <w:hyperlink r:id="rId10" w:history="1">
              <w:r w:rsidR="003A674B" w:rsidRPr="003A530C">
                <w:rPr>
                  <w:rStyle w:val="Hyperlink"/>
                  <w:rFonts w:ascii="Arial" w:hAnsi="Arial" w:cs="Arial"/>
                  <w:sz w:val="20"/>
                  <w:szCs w:val="20"/>
                </w:rPr>
                <w:t>http://peer.berkeley.edu/</w:t>
              </w:r>
            </w:hyperlink>
            <w:r w:rsidRPr="00275D90">
              <w:rPr>
                <w:rFonts w:ascii="Arial" w:hAnsi="Arial" w:cs="Arial"/>
                <w:sz w:val="20"/>
                <w:szCs w:val="20"/>
              </w:rPr>
              <w:t xml:space="preserve">). Secondary outcomes will be web host and publishing required to house and disseminate this database and its supporting information. </w:t>
            </w:r>
          </w:p>
          <w:p w14:paraId="708EECD5" w14:textId="77777777" w:rsidR="00275D90" w:rsidRPr="00275D90" w:rsidRDefault="00275D90" w:rsidP="00275D90">
            <w:pPr>
              <w:spacing w:after="0" w:line="240" w:lineRule="auto"/>
              <w:rPr>
                <w:rFonts w:ascii="Arial" w:hAnsi="Arial" w:cs="Arial"/>
                <w:sz w:val="20"/>
                <w:szCs w:val="20"/>
              </w:rPr>
            </w:pPr>
          </w:p>
          <w:p w14:paraId="3620978C"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Phase I Tasks include (funded): </w:t>
            </w:r>
          </w:p>
          <w:p w14:paraId="1B62AC8E" w14:textId="77777777" w:rsidR="00275D90" w:rsidRPr="00275D90" w:rsidRDefault="00275D90" w:rsidP="00275D90">
            <w:pPr>
              <w:spacing w:after="0" w:line="240" w:lineRule="auto"/>
              <w:rPr>
                <w:rFonts w:ascii="Arial" w:hAnsi="Arial" w:cs="Arial"/>
                <w:sz w:val="20"/>
                <w:szCs w:val="20"/>
              </w:rPr>
            </w:pPr>
          </w:p>
          <w:p w14:paraId="33827D22"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(1) Kickoff meeting and procurement of software </w:t>
            </w:r>
          </w:p>
          <w:p w14:paraId="30074803"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(2) Development of data quality indicators/metrics, quality assurance and database population protocols </w:t>
            </w:r>
          </w:p>
          <w:p w14:paraId="22625995"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(3) Defining methods for quantifying uncertainty of key inputs </w:t>
            </w:r>
          </w:p>
          <w:p w14:paraId="32136F57"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(4) Development and structuring of database </w:t>
            </w:r>
          </w:p>
          <w:p w14:paraId="2EA317A6"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(5) Selection of case histories </w:t>
            </w:r>
          </w:p>
          <w:p w14:paraId="41CF1A3D"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(6) Obtaining and screening of case history information </w:t>
            </w:r>
          </w:p>
          <w:p w14:paraId="412E7552"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(7) Population of case history database </w:t>
            </w:r>
          </w:p>
          <w:p w14:paraId="2E57987E"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(8) Phase I Reporting </w:t>
            </w:r>
          </w:p>
          <w:p w14:paraId="7181DB1C"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(9) Database dissemination </w:t>
            </w:r>
          </w:p>
          <w:p w14:paraId="1DBFAA00" w14:textId="77777777" w:rsidR="00275D90" w:rsidRPr="00275D90" w:rsidRDefault="00275D90" w:rsidP="00275D90">
            <w:pPr>
              <w:spacing w:after="0" w:line="240" w:lineRule="auto"/>
              <w:rPr>
                <w:rFonts w:ascii="Arial" w:hAnsi="Arial" w:cs="Arial"/>
                <w:sz w:val="20"/>
                <w:szCs w:val="20"/>
              </w:rPr>
            </w:pPr>
          </w:p>
          <w:p w14:paraId="5CE979F8"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Phase II Tasks include (not yet funded): </w:t>
            </w:r>
          </w:p>
          <w:p w14:paraId="03F9133D" w14:textId="77777777" w:rsidR="00275D90" w:rsidRPr="00275D90" w:rsidRDefault="00275D90" w:rsidP="00275D90">
            <w:pPr>
              <w:spacing w:after="0" w:line="240" w:lineRule="auto"/>
              <w:rPr>
                <w:rFonts w:ascii="Arial" w:hAnsi="Arial" w:cs="Arial"/>
                <w:sz w:val="20"/>
                <w:szCs w:val="20"/>
              </w:rPr>
            </w:pPr>
          </w:p>
          <w:p w14:paraId="0563AD1B"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(10) Review and Development of Screening Criteria for Lateral Spread Potential </w:t>
            </w:r>
          </w:p>
          <w:p w14:paraId="5BF4A326"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(11) Phase II Reporting </w:t>
            </w:r>
          </w:p>
          <w:p w14:paraId="5323C770" w14:textId="77777777" w:rsidR="00275D90" w:rsidRPr="00275D90" w:rsidRDefault="00275D90" w:rsidP="00275D90">
            <w:pPr>
              <w:spacing w:after="0" w:line="240" w:lineRule="auto"/>
              <w:rPr>
                <w:rFonts w:ascii="Arial" w:hAnsi="Arial" w:cs="Arial"/>
                <w:sz w:val="20"/>
                <w:szCs w:val="20"/>
              </w:rPr>
            </w:pPr>
          </w:p>
          <w:p w14:paraId="5F19D517" w14:textId="77777777" w:rsidR="004E1A92" w:rsidRDefault="00363371" w:rsidP="00B24B51">
            <w:pPr>
              <w:spacing w:after="0" w:line="240" w:lineRule="auto"/>
              <w:rPr>
                <w:rFonts w:ascii="Arial" w:hAnsi="Arial" w:cs="Arial"/>
                <w:sz w:val="20"/>
                <w:szCs w:val="20"/>
              </w:rPr>
            </w:pPr>
            <w:r w:rsidRPr="00363371">
              <w:rPr>
                <w:rFonts w:ascii="Arial" w:hAnsi="Arial" w:cs="Arial"/>
                <w:sz w:val="20"/>
                <w:szCs w:val="20"/>
              </w:rPr>
              <w:t>The principal investigators for this study will be Drs. Steven Bartlett (U. of Utah), Steven Kramer (U. of Washington and PEER Research Executive Committee Member), Kevin Franke (Brigham Young University) and Daniel Gillins (</w:t>
            </w:r>
            <w:r w:rsidR="002E47D8">
              <w:rPr>
                <w:rFonts w:ascii="Arial" w:hAnsi="Arial" w:cs="Arial"/>
                <w:sz w:val="20"/>
                <w:szCs w:val="20"/>
              </w:rPr>
              <w:t>NOAA</w:t>
            </w:r>
            <w:r w:rsidR="00EA3BB2">
              <w:rPr>
                <w:rFonts w:ascii="Arial" w:hAnsi="Arial" w:cs="Arial"/>
                <w:sz w:val="20"/>
                <w:szCs w:val="20"/>
              </w:rPr>
              <w:t xml:space="preserve"> and consultant</w:t>
            </w:r>
            <w:r w:rsidRPr="00363371">
              <w:rPr>
                <w:rFonts w:ascii="Arial" w:hAnsi="Arial" w:cs="Arial"/>
                <w:sz w:val="20"/>
                <w:szCs w:val="20"/>
              </w:rPr>
              <w:t xml:space="preserve">). </w:t>
            </w:r>
            <w:r>
              <w:rPr>
                <w:rFonts w:ascii="Arial" w:hAnsi="Arial" w:cs="Arial"/>
                <w:sz w:val="20"/>
                <w:szCs w:val="20"/>
              </w:rPr>
              <w:t xml:space="preserve"> </w:t>
            </w:r>
            <w:r w:rsidR="003D6A0B">
              <w:rPr>
                <w:rFonts w:ascii="Arial" w:hAnsi="Arial" w:cs="Arial"/>
                <w:sz w:val="20"/>
                <w:szCs w:val="20"/>
              </w:rPr>
              <w:t xml:space="preserve">The technical advisory committee (TAC) for the study </w:t>
            </w:r>
            <w:r w:rsidR="00CF0586">
              <w:rPr>
                <w:rFonts w:ascii="Arial" w:hAnsi="Arial" w:cs="Arial"/>
                <w:sz w:val="20"/>
                <w:szCs w:val="20"/>
              </w:rPr>
              <w:t xml:space="preserve">currently </w:t>
            </w:r>
            <w:r>
              <w:rPr>
                <w:rFonts w:ascii="Arial" w:hAnsi="Arial" w:cs="Arial"/>
                <w:sz w:val="20"/>
                <w:szCs w:val="20"/>
              </w:rPr>
              <w:t>includes representatives from Utah, California, Oregon</w:t>
            </w:r>
            <w:r w:rsidR="00001539">
              <w:rPr>
                <w:rFonts w:ascii="Arial" w:hAnsi="Arial" w:cs="Arial"/>
                <w:sz w:val="20"/>
                <w:szCs w:val="20"/>
              </w:rPr>
              <w:t>, and Washington State</w:t>
            </w:r>
            <w:r w:rsidR="003D6A0B">
              <w:rPr>
                <w:rFonts w:ascii="Arial" w:hAnsi="Arial" w:cs="Arial"/>
                <w:sz w:val="20"/>
                <w:szCs w:val="20"/>
              </w:rPr>
              <w:t xml:space="preserve"> DOTs.</w:t>
            </w:r>
            <w:r w:rsidR="00341B4D">
              <w:rPr>
                <w:rFonts w:ascii="Arial" w:hAnsi="Arial" w:cs="Arial"/>
                <w:sz w:val="20"/>
                <w:szCs w:val="20"/>
              </w:rPr>
              <w:t xml:space="preserve">  The MPC is providing additional funding for the study.</w:t>
            </w:r>
          </w:p>
          <w:p w14:paraId="0751AA6E" w14:textId="10E29279" w:rsidR="00B24B51" w:rsidRPr="00360664" w:rsidRDefault="00B24B51" w:rsidP="00B24B51">
            <w:pPr>
              <w:spacing w:after="0" w:line="240" w:lineRule="auto"/>
              <w:rPr>
                <w:rFonts w:ascii="Arial" w:hAnsi="Arial" w:cs="Arial"/>
                <w:sz w:val="20"/>
                <w:szCs w:val="20"/>
              </w:rPr>
            </w:pPr>
          </w:p>
        </w:tc>
      </w:tr>
    </w:tbl>
    <w:p w14:paraId="2B2C7206"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17095259" w14:textId="77777777" w:rsidTr="00360664">
        <w:tc>
          <w:tcPr>
            <w:tcW w:w="10908" w:type="dxa"/>
          </w:tcPr>
          <w:p w14:paraId="631F0DC5" w14:textId="77777777" w:rsidR="000C209F" w:rsidRPr="0078688E" w:rsidRDefault="000C209F" w:rsidP="00360664">
            <w:pPr>
              <w:spacing w:after="0" w:line="240" w:lineRule="auto"/>
              <w:rPr>
                <w:rFonts w:ascii="Arial" w:hAnsi="Arial" w:cs="Arial"/>
                <w:b/>
                <w:sz w:val="20"/>
                <w:szCs w:val="20"/>
              </w:rPr>
            </w:pPr>
          </w:p>
          <w:p w14:paraId="3960243F" w14:textId="77777777" w:rsidR="000C209F" w:rsidRPr="0078688E" w:rsidRDefault="000C209F" w:rsidP="00360664">
            <w:pPr>
              <w:spacing w:after="0" w:line="240" w:lineRule="auto"/>
              <w:rPr>
                <w:rFonts w:ascii="Arial" w:hAnsi="Arial" w:cs="Arial"/>
                <w:sz w:val="20"/>
                <w:szCs w:val="20"/>
              </w:rPr>
            </w:pPr>
            <w:r w:rsidRPr="00B24B51">
              <w:rPr>
                <w:rFonts w:ascii="Arial" w:hAnsi="Arial" w:cs="Arial"/>
                <w:b/>
                <w:sz w:val="20"/>
                <w:szCs w:val="20"/>
              </w:rPr>
              <w:t>Progress this Quarter (includes</w:t>
            </w:r>
            <w:r w:rsidRPr="009C61AE">
              <w:rPr>
                <w:rFonts w:ascii="Arial" w:hAnsi="Arial" w:cs="Arial"/>
                <w:b/>
                <w:sz w:val="20"/>
                <w:szCs w:val="20"/>
              </w:rPr>
              <w:t xml:space="preserve"> meetings, work plan status, contract status, significant progress, etc.):</w:t>
            </w:r>
          </w:p>
          <w:p w14:paraId="385B4B05" w14:textId="77777777" w:rsidR="00295CC7" w:rsidRDefault="00295CC7" w:rsidP="00360664">
            <w:pPr>
              <w:spacing w:after="0" w:line="240" w:lineRule="auto"/>
              <w:rPr>
                <w:rFonts w:ascii="Arial" w:hAnsi="Arial" w:cs="Arial"/>
                <w:sz w:val="20"/>
                <w:szCs w:val="20"/>
              </w:rPr>
            </w:pPr>
          </w:p>
          <w:p w14:paraId="2159D942" w14:textId="49DF4C65" w:rsidR="00EE4D52" w:rsidRDefault="00E57ACA" w:rsidP="00360664">
            <w:pPr>
              <w:spacing w:after="0" w:line="240" w:lineRule="auto"/>
              <w:rPr>
                <w:rFonts w:ascii="Arial" w:hAnsi="Arial" w:cs="Arial"/>
                <w:sz w:val="20"/>
                <w:szCs w:val="20"/>
              </w:rPr>
            </w:pPr>
            <w:r w:rsidRPr="0099659C">
              <w:rPr>
                <w:rFonts w:ascii="Arial" w:hAnsi="Arial" w:cs="Arial"/>
                <w:b/>
                <w:sz w:val="20"/>
                <w:szCs w:val="20"/>
              </w:rPr>
              <w:t>Task 1</w:t>
            </w:r>
            <w:r>
              <w:rPr>
                <w:rFonts w:ascii="Arial" w:hAnsi="Arial" w:cs="Arial"/>
                <w:sz w:val="20"/>
                <w:szCs w:val="20"/>
              </w:rPr>
              <w:t xml:space="preserve"> –</w:t>
            </w:r>
            <w:r w:rsidR="002B5D17">
              <w:rPr>
                <w:rFonts w:ascii="Arial" w:hAnsi="Arial" w:cs="Arial"/>
                <w:sz w:val="20"/>
                <w:szCs w:val="20"/>
              </w:rPr>
              <w:t xml:space="preserve"> </w:t>
            </w:r>
            <w:r w:rsidR="001F7506">
              <w:rPr>
                <w:rFonts w:ascii="Arial" w:hAnsi="Arial" w:cs="Arial"/>
                <w:sz w:val="20"/>
                <w:szCs w:val="20"/>
              </w:rPr>
              <w:t>C</w:t>
            </w:r>
            <w:r w:rsidR="00DD1AA4">
              <w:rPr>
                <w:rFonts w:ascii="Arial" w:hAnsi="Arial" w:cs="Arial"/>
                <w:sz w:val="20"/>
                <w:szCs w:val="20"/>
              </w:rPr>
              <w:t>ompleted.</w:t>
            </w:r>
          </w:p>
          <w:p w14:paraId="0EF075AC" w14:textId="77777777" w:rsidR="00DD1AA4" w:rsidRDefault="0099659C" w:rsidP="00360664">
            <w:pPr>
              <w:spacing w:after="0" w:line="240" w:lineRule="auto"/>
              <w:rPr>
                <w:rFonts w:ascii="Arial" w:hAnsi="Arial" w:cs="Arial"/>
                <w:sz w:val="20"/>
                <w:szCs w:val="20"/>
              </w:rPr>
            </w:pPr>
            <w:r w:rsidRPr="0022336A">
              <w:rPr>
                <w:rFonts w:ascii="Arial" w:hAnsi="Arial" w:cs="Arial"/>
                <w:b/>
                <w:sz w:val="20"/>
                <w:szCs w:val="20"/>
              </w:rPr>
              <w:t>Task 2</w:t>
            </w:r>
            <w:r w:rsidR="006B5943">
              <w:rPr>
                <w:rFonts w:ascii="Arial" w:hAnsi="Arial" w:cs="Arial"/>
                <w:sz w:val="20"/>
                <w:szCs w:val="20"/>
              </w:rPr>
              <w:t xml:space="preserve"> – </w:t>
            </w:r>
            <w:r w:rsidR="00F032F2">
              <w:rPr>
                <w:rFonts w:ascii="Arial" w:hAnsi="Arial" w:cs="Arial"/>
                <w:sz w:val="20"/>
                <w:szCs w:val="20"/>
              </w:rPr>
              <w:t>Completed.</w:t>
            </w:r>
            <w:r w:rsidR="00DD1AA4">
              <w:rPr>
                <w:rFonts w:ascii="Arial" w:hAnsi="Arial" w:cs="Arial"/>
                <w:sz w:val="20"/>
                <w:szCs w:val="20"/>
              </w:rPr>
              <w:t xml:space="preserve"> Draft documents to be included in interim report.</w:t>
            </w:r>
            <w:r w:rsidR="00F032F2">
              <w:rPr>
                <w:rFonts w:ascii="Arial" w:hAnsi="Arial" w:cs="Arial"/>
                <w:sz w:val="20"/>
                <w:szCs w:val="20"/>
              </w:rPr>
              <w:t xml:space="preserve">  </w:t>
            </w:r>
          </w:p>
          <w:p w14:paraId="39DEFFE8" w14:textId="77777777" w:rsidR="0099659C" w:rsidRDefault="0022336A" w:rsidP="00360664">
            <w:pPr>
              <w:spacing w:after="0" w:line="240" w:lineRule="auto"/>
              <w:rPr>
                <w:rFonts w:ascii="Arial" w:hAnsi="Arial" w:cs="Arial"/>
                <w:sz w:val="20"/>
                <w:szCs w:val="20"/>
              </w:rPr>
            </w:pPr>
            <w:r w:rsidRPr="0022336A">
              <w:rPr>
                <w:rFonts w:ascii="Arial" w:hAnsi="Arial" w:cs="Arial"/>
                <w:b/>
                <w:sz w:val="20"/>
                <w:szCs w:val="20"/>
              </w:rPr>
              <w:t>Task 3</w:t>
            </w:r>
            <w:r w:rsidR="006B5943">
              <w:rPr>
                <w:rFonts w:ascii="Arial" w:hAnsi="Arial" w:cs="Arial"/>
                <w:sz w:val="20"/>
                <w:szCs w:val="20"/>
              </w:rPr>
              <w:t xml:space="preserve"> – </w:t>
            </w:r>
            <w:r w:rsidR="00F032F2">
              <w:rPr>
                <w:rFonts w:ascii="Arial" w:hAnsi="Arial" w:cs="Arial"/>
                <w:sz w:val="20"/>
                <w:szCs w:val="20"/>
              </w:rPr>
              <w:t xml:space="preserve">In progress. </w:t>
            </w:r>
            <w:r w:rsidR="00311494">
              <w:rPr>
                <w:rFonts w:ascii="Arial" w:hAnsi="Arial" w:cs="Arial"/>
                <w:sz w:val="20"/>
                <w:szCs w:val="20"/>
              </w:rPr>
              <w:t>This task</w:t>
            </w:r>
            <w:r w:rsidR="00C64D98">
              <w:rPr>
                <w:rFonts w:ascii="Arial" w:hAnsi="Arial" w:cs="Arial"/>
                <w:sz w:val="20"/>
                <w:szCs w:val="20"/>
              </w:rPr>
              <w:t xml:space="preserve"> will continue as other data are added to the dataset.</w:t>
            </w:r>
          </w:p>
          <w:p w14:paraId="3B0C3881" w14:textId="2C57A67D" w:rsidR="00EE4D52" w:rsidRDefault="00EE4D52" w:rsidP="00EE4D52">
            <w:pPr>
              <w:spacing w:after="0" w:line="240" w:lineRule="auto"/>
              <w:rPr>
                <w:rFonts w:ascii="Arial" w:hAnsi="Arial" w:cs="Arial"/>
                <w:sz w:val="20"/>
                <w:szCs w:val="20"/>
              </w:rPr>
            </w:pPr>
            <w:r w:rsidRPr="0022336A">
              <w:rPr>
                <w:rFonts w:ascii="Arial" w:hAnsi="Arial" w:cs="Arial"/>
                <w:b/>
                <w:sz w:val="20"/>
                <w:szCs w:val="20"/>
              </w:rPr>
              <w:t>Task 4</w:t>
            </w:r>
            <w:r>
              <w:rPr>
                <w:rFonts w:ascii="Arial" w:hAnsi="Arial" w:cs="Arial"/>
                <w:sz w:val="20"/>
                <w:szCs w:val="20"/>
              </w:rPr>
              <w:t xml:space="preserve"> – </w:t>
            </w:r>
            <w:r w:rsidR="002B5D17">
              <w:rPr>
                <w:rFonts w:ascii="Arial" w:hAnsi="Arial" w:cs="Arial"/>
                <w:sz w:val="20"/>
                <w:szCs w:val="20"/>
              </w:rPr>
              <w:t>Completed</w:t>
            </w:r>
            <w:r w:rsidR="002F38BB">
              <w:rPr>
                <w:rFonts w:ascii="Arial" w:hAnsi="Arial" w:cs="Arial"/>
                <w:sz w:val="20"/>
                <w:szCs w:val="20"/>
              </w:rPr>
              <w:t>.</w:t>
            </w:r>
          </w:p>
          <w:p w14:paraId="5EE082CE" w14:textId="4CFAED0E" w:rsidR="00A57E58" w:rsidRDefault="00A57E58" w:rsidP="00A57E58">
            <w:pPr>
              <w:spacing w:after="0" w:line="240" w:lineRule="auto"/>
              <w:rPr>
                <w:rFonts w:ascii="Arial" w:hAnsi="Arial" w:cs="Arial"/>
                <w:sz w:val="20"/>
                <w:szCs w:val="20"/>
              </w:rPr>
            </w:pPr>
            <w:r w:rsidRPr="00EE52F0">
              <w:rPr>
                <w:rFonts w:ascii="Arial" w:hAnsi="Arial" w:cs="Arial"/>
                <w:b/>
                <w:sz w:val="20"/>
                <w:szCs w:val="20"/>
              </w:rPr>
              <w:t>Task 5</w:t>
            </w:r>
            <w:r w:rsidRPr="00EE52F0">
              <w:rPr>
                <w:rFonts w:ascii="Arial" w:hAnsi="Arial" w:cs="Arial"/>
                <w:sz w:val="20"/>
                <w:szCs w:val="20"/>
              </w:rPr>
              <w:t xml:space="preserve"> – </w:t>
            </w:r>
            <w:r w:rsidR="00F032F2" w:rsidRPr="00EE52F0">
              <w:rPr>
                <w:rFonts w:ascii="Arial" w:hAnsi="Arial" w:cs="Arial"/>
                <w:sz w:val="20"/>
                <w:szCs w:val="20"/>
              </w:rPr>
              <w:t>In progress.</w:t>
            </w:r>
            <w:r w:rsidR="00C64D98" w:rsidRPr="00EE52F0">
              <w:rPr>
                <w:rFonts w:ascii="Arial" w:hAnsi="Arial" w:cs="Arial"/>
                <w:sz w:val="20"/>
                <w:szCs w:val="20"/>
              </w:rPr>
              <w:t xml:space="preserve"> </w:t>
            </w:r>
            <w:r w:rsidR="002B5D17" w:rsidRPr="00EE52F0">
              <w:rPr>
                <w:rFonts w:ascii="Arial" w:hAnsi="Arial" w:cs="Arial"/>
                <w:sz w:val="20"/>
                <w:szCs w:val="20"/>
              </w:rPr>
              <w:t>BYU working on 2010 Maule, Chile; 2011 Tohoku, Japan, 2010 Darfield and 2011 Christ Church Earthquakes</w:t>
            </w:r>
            <w:r w:rsidR="009573E1">
              <w:rPr>
                <w:rFonts w:ascii="Arial" w:hAnsi="Arial" w:cs="Arial"/>
                <w:sz w:val="20"/>
                <w:szCs w:val="20"/>
              </w:rPr>
              <w:t>.</w:t>
            </w:r>
          </w:p>
          <w:p w14:paraId="6606FFC9" w14:textId="140F462E" w:rsidR="00A57E58" w:rsidRDefault="00A57E58" w:rsidP="00A57E58">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6</w:t>
            </w:r>
            <w:r w:rsidR="006B5943">
              <w:rPr>
                <w:rFonts w:ascii="Arial" w:hAnsi="Arial" w:cs="Arial"/>
                <w:sz w:val="20"/>
                <w:szCs w:val="20"/>
              </w:rPr>
              <w:t xml:space="preserve"> – </w:t>
            </w:r>
            <w:r w:rsidR="002F38BB">
              <w:rPr>
                <w:rFonts w:ascii="Arial" w:hAnsi="Arial" w:cs="Arial"/>
                <w:sz w:val="20"/>
                <w:szCs w:val="20"/>
              </w:rPr>
              <w:t>See summary of progress below in “Significant Results”.</w:t>
            </w:r>
          </w:p>
          <w:p w14:paraId="358FB1E3" w14:textId="77777777" w:rsidR="00A57E58" w:rsidRDefault="00A57E58" w:rsidP="00A57E58">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7</w:t>
            </w:r>
            <w:r w:rsidR="006B5943">
              <w:rPr>
                <w:rFonts w:ascii="Arial" w:hAnsi="Arial" w:cs="Arial"/>
                <w:sz w:val="20"/>
                <w:szCs w:val="20"/>
              </w:rPr>
              <w:t xml:space="preserve"> – </w:t>
            </w:r>
            <w:r w:rsidR="00F032F2">
              <w:rPr>
                <w:rFonts w:ascii="Arial" w:hAnsi="Arial" w:cs="Arial"/>
                <w:sz w:val="20"/>
                <w:szCs w:val="20"/>
              </w:rPr>
              <w:t>Continuing</w:t>
            </w:r>
            <w:r w:rsidR="00397A3B">
              <w:rPr>
                <w:rFonts w:ascii="Arial" w:hAnsi="Arial" w:cs="Arial"/>
                <w:sz w:val="20"/>
                <w:szCs w:val="20"/>
              </w:rPr>
              <w:t>.</w:t>
            </w:r>
          </w:p>
          <w:p w14:paraId="64A83292" w14:textId="019D1770" w:rsidR="00A57E58" w:rsidRDefault="00A57E58" w:rsidP="00A57E58">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8</w:t>
            </w:r>
            <w:r>
              <w:rPr>
                <w:rFonts w:ascii="Arial" w:hAnsi="Arial" w:cs="Arial"/>
                <w:sz w:val="20"/>
                <w:szCs w:val="20"/>
              </w:rPr>
              <w:t xml:space="preserve"> –</w:t>
            </w:r>
            <w:r w:rsidR="00074641">
              <w:rPr>
                <w:rFonts w:ascii="Arial" w:hAnsi="Arial" w:cs="Arial"/>
                <w:sz w:val="20"/>
                <w:szCs w:val="20"/>
              </w:rPr>
              <w:t xml:space="preserve"> Draft interim report finalized</w:t>
            </w:r>
            <w:r w:rsidR="00C35F07">
              <w:rPr>
                <w:rFonts w:ascii="Arial" w:hAnsi="Arial" w:cs="Arial"/>
                <w:sz w:val="20"/>
                <w:szCs w:val="20"/>
              </w:rPr>
              <w:t>.</w:t>
            </w:r>
          </w:p>
          <w:p w14:paraId="23A8F477" w14:textId="43213787" w:rsidR="00A57E58" w:rsidRDefault="00A57E58" w:rsidP="00A57E58">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9</w:t>
            </w:r>
            <w:r>
              <w:rPr>
                <w:rFonts w:ascii="Arial" w:hAnsi="Arial" w:cs="Arial"/>
                <w:sz w:val="20"/>
                <w:szCs w:val="20"/>
              </w:rPr>
              <w:t xml:space="preserve"> – </w:t>
            </w:r>
            <w:r w:rsidR="00F032F2">
              <w:rPr>
                <w:rFonts w:ascii="Arial" w:hAnsi="Arial" w:cs="Arial"/>
                <w:sz w:val="20"/>
                <w:szCs w:val="20"/>
              </w:rPr>
              <w:t>Not started</w:t>
            </w:r>
            <w:r w:rsidR="00397A3B">
              <w:rPr>
                <w:rFonts w:ascii="Arial" w:hAnsi="Arial" w:cs="Arial"/>
                <w:sz w:val="20"/>
                <w:szCs w:val="20"/>
              </w:rPr>
              <w:t>.</w:t>
            </w:r>
          </w:p>
          <w:p w14:paraId="6C5C1ECA" w14:textId="1FFD533D" w:rsidR="00E74E16" w:rsidRDefault="00E74E16" w:rsidP="00A57E58">
            <w:pPr>
              <w:spacing w:after="0" w:line="240" w:lineRule="auto"/>
              <w:rPr>
                <w:rFonts w:ascii="Arial" w:hAnsi="Arial" w:cs="Arial"/>
                <w:sz w:val="20"/>
                <w:szCs w:val="20"/>
              </w:rPr>
            </w:pPr>
          </w:p>
          <w:p w14:paraId="487F67CB" w14:textId="77777777" w:rsidR="00C03C4A" w:rsidRDefault="00C03C4A" w:rsidP="00C03C4A">
            <w:pPr>
              <w:spacing w:after="0" w:line="240" w:lineRule="auto"/>
              <w:rPr>
                <w:rFonts w:ascii="Arial" w:hAnsi="Arial" w:cs="Arial"/>
                <w:sz w:val="20"/>
                <w:szCs w:val="20"/>
              </w:rPr>
            </w:pPr>
            <w:r>
              <w:rPr>
                <w:rFonts w:ascii="Arial" w:hAnsi="Arial" w:cs="Arial"/>
                <w:sz w:val="20"/>
                <w:szCs w:val="20"/>
              </w:rPr>
              <w:t xml:space="preserve">TAC meetings – </w:t>
            </w:r>
            <w:r w:rsidR="00435045">
              <w:rPr>
                <w:rFonts w:ascii="Arial" w:hAnsi="Arial" w:cs="Arial"/>
                <w:sz w:val="20"/>
                <w:szCs w:val="20"/>
              </w:rPr>
              <w:t>None were held this quarter.</w:t>
            </w:r>
          </w:p>
          <w:p w14:paraId="5ABDA62B" w14:textId="77777777" w:rsidR="00C03C4A" w:rsidRDefault="00C03C4A" w:rsidP="00C03C4A">
            <w:pPr>
              <w:spacing w:after="0" w:line="240" w:lineRule="auto"/>
              <w:rPr>
                <w:rFonts w:ascii="Arial" w:hAnsi="Arial" w:cs="Arial"/>
                <w:sz w:val="20"/>
                <w:szCs w:val="20"/>
              </w:rPr>
            </w:pPr>
          </w:p>
          <w:p w14:paraId="624423F2" w14:textId="498BCB57" w:rsidR="00C03C4A" w:rsidRDefault="00C03C4A" w:rsidP="001A7068">
            <w:pPr>
              <w:spacing w:after="0" w:line="240" w:lineRule="auto"/>
              <w:rPr>
                <w:rFonts w:ascii="Arial" w:hAnsi="Arial" w:cs="Arial"/>
                <w:sz w:val="20"/>
                <w:szCs w:val="20"/>
              </w:rPr>
            </w:pPr>
            <w:r>
              <w:rPr>
                <w:rFonts w:ascii="Arial" w:hAnsi="Arial" w:cs="Arial"/>
                <w:sz w:val="20"/>
                <w:szCs w:val="20"/>
              </w:rPr>
              <w:t>Contract –</w:t>
            </w:r>
            <w:r w:rsidR="00091CA3">
              <w:rPr>
                <w:rFonts w:ascii="Arial" w:hAnsi="Arial" w:cs="Arial"/>
                <w:sz w:val="20"/>
                <w:szCs w:val="20"/>
              </w:rPr>
              <w:t xml:space="preserve"> No changes.</w:t>
            </w:r>
          </w:p>
          <w:p w14:paraId="6DD171D8" w14:textId="2A503669" w:rsidR="001A7068" w:rsidRPr="0078688E" w:rsidRDefault="001A7068" w:rsidP="001A7068">
            <w:pPr>
              <w:spacing w:after="0" w:line="240" w:lineRule="auto"/>
              <w:rPr>
                <w:rFonts w:ascii="Arial" w:hAnsi="Arial" w:cs="Arial"/>
                <w:sz w:val="20"/>
                <w:szCs w:val="20"/>
              </w:rPr>
            </w:pPr>
          </w:p>
        </w:tc>
      </w:tr>
      <w:tr w:rsidR="000C209F" w:rsidRPr="00360664" w14:paraId="7709A6C3" w14:textId="77777777" w:rsidTr="003B3781">
        <w:tc>
          <w:tcPr>
            <w:tcW w:w="10908" w:type="dxa"/>
          </w:tcPr>
          <w:p w14:paraId="5BA8E2F1" w14:textId="77777777" w:rsidR="000C209F" w:rsidRPr="0078688E" w:rsidRDefault="000C209F" w:rsidP="00360664">
            <w:pPr>
              <w:spacing w:after="0" w:line="240" w:lineRule="auto"/>
              <w:rPr>
                <w:rFonts w:ascii="Arial" w:hAnsi="Arial" w:cs="Arial"/>
                <w:b/>
                <w:sz w:val="20"/>
                <w:szCs w:val="20"/>
              </w:rPr>
            </w:pPr>
          </w:p>
          <w:p w14:paraId="791723BE" w14:textId="77777777" w:rsidR="000C209F" w:rsidRPr="0078688E" w:rsidRDefault="000C209F" w:rsidP="00360664">
            <w:pPr>
              <w:spacing w:after="0" w:line="240" w:lineRule="auto"/>
              <w:rPr>
                <w:rFonts w:ascii="Arial" w:hAnsi="Arial" w:cs="Arial"/>
                <w:sz w:val="20"/>
                <w:szCs w:val="20"/>
              </w:rPr>
            </w:pPr>
            <w:r w:rsidRPr="00B24B51">
              <w:rPr>
                <w:rFonts w:ascii="Arial" w:hAnsi="Arial" w:cs="Arial"/>
                <w:b/>
                <w:sz w:val="20"/>
                <w:szCs w:val="20"/>
              </w:rPr>
              <w:t>Anticipated work next quarter</w:t>
            </w:r>
            <w:r w:rsidRPr="00B24B51">
              <w:rPr>
                <w:rFonts w:ascii="Arial" w:hAnsi="Arial" w:cs="Arial"/>
                <w:sz w:val="20"/>
                <w:szCs w:val="20"/>
              </w:rPr>
              <w:t>:</w:t>
            </w:r>
          </w:p>
          <w:p w14:paraId="07C33B52" w14:textId="77777777" w:rsidR="00582B7F" w:rsidRDefault="00582B7F" w:rsidP="00360664">
            <w:pPr>
              <w:spacing w:after="0" w:line="240" w:lineRule="auto"/>
              <w:rPr>
                <w:rFonts w:ascii="Arial" w:hAnsi="Arial" w:cs="Arial"/>
                <w:sz w:val="20"/>
                <w:szCs w:val="20"/>
              </w:rPr>
            </w:pPr>
          </w:p>
          <w:p w14:paraId="67C75FAD" w14:textId="16463D09" w:rsidR="00F032F2" w:rsidRDefault="00361B8B" w:rsidP="00361B8B">
            <w:pPr>
              <w:spacing w:after="0" w:line="240" w:lineRule="auto"/>
              <w:rPr>
                <w:rFonts w:ascii="Arial" w:hAnsi="Arial" w:cs="Arial"/>
                <w:sz w:val="20"/>
                <w:szCs w:val="20"/>
              </w:rPr>
            </w:pPr>
            <w:r w:rsidRPr="00F47D65">
              <w:rPr>
                <w:rFonts w:ascii="Arial" w:hAnsi="Arial" w:cs="Arial"/>
                <w:b/>
                <w:sz w:val="20"/>
                <w:szCs w:val="20"/>
              </w:rPr>
              <w:t>Task 1</w:t>
            </w:r>
            <w:r>
              <w:rPr>
                <w:rFonts w:ascii="Arial" w:hAnsi="Arial" w:cs="Arial"/>
                <w:sz w:val="20"/>
                <w:szCs w:val="20"/>
              </w:rPr>
              <w:t xml:space="preserve"> –</w:t>
            </w:r>
            <w:r w:rsidR="002B5D17">
              <w:rPr>
                <w:rFonts w:ascii="Arial" w:hAnsi="Arial" w:cs="Arial"/>
                <w:sz w:val="20"/>
                <w:szCs w:val="20"/>
              </w:rPr>
              <w:t xml:space="preserve"> </w:t>
            </w:r>
            <w:r w:rsidR="009C0C2F">
              <w:rPr>
                <w:rFonts w:ascii="Arial" w:hAnsi="Arial" w:cs="Arial"/>
                <w:sz w:val="20"/>
                <w:szCs w:val="20"/>
              </w:rPr>
              <w:t>C</w:t>
            </w:r>
            <w:r w:rsidR="002B5D17">
              <w:rPr>
                <w:rFonts w:ascii="Arial" w:hAnsi="Arial" w:cs="Arial"/>
                <w:sz w:val="20"/>
                <w:szCs w:val="20"/>
              </w:rPr>
              <w:t>ompleted</w:t>
            </w:r>
            <w:r w:rsidR="00C64D98">
              <w:rPr>
                <w:rFonts w:ascii="Arial" w:hAnsi="Arial" w:cs="Arial"/>
                <w:sz w:val="20"/>
                <w:szCs w:val="20"/>
              </w:rPr>
              <w:t>.</w:t>
            </w:r>
          </w:p>
          <w:p w14:paraId="66AE541A" w14:textId="6287F78C" w:rsidR="00361B8B" w:rsidRDefault="00361B8B" w:rsidP="00361B8B">
            <w:pPr>
              <w:spacing w:after="0" w:line="240" w:lineRule="auto"/>
              <w:rPr>
                <w:rFonts w:ascii="Arial" w:hAnsi="Arial" w:cs="Arial"/>
                <w:sz w:val="20"/>
                <w:szCs w:val="20"/>
              </w:rPr>
            </w:pPr>
            <w:r w:rsidRPr="00F47D65">
              <w:rPr>
                <w:rFonts w:ascii="Arial" w:hAnsi="Arial" w:cs="Arial"/>
                <w:b/>
                <w:sz w:val="20"/>
                <w:szCs w:val="20"/>
              </w:rPr>
              <w:t>Task 2</w:t>
            </w:r>
            <w:r>
              <w:rPr>
                <w:rFonts w:ascii="Arial" w:hAnsi="Arial" w:cs="Arial"/>
                <w:sz w:val="20"/>
                <w:szCs w:val="20"/>
              </w:rPr>
              <w:t xml:space="preserve"> – </w:t>
            </w:r>
            <w:r w:rsidR="009C0C2F">
              <w:rPr>
                <w:rFonts w:ascii="Arial" w:hAnsi="Arial" w:cs="Arial"/>
                <w:sz w:val="20"/>
                <w:szCs w:val="20"/>
              </w:rPr>
              <w:t>C</w:t>
            </w:r>
            <w:r w:rsidR="002B5D17">
              <w:rPr>
                <w:rFonts w:ascii="Arial" w:hAnsi="Arial" w:cs="Arial"/>
                <w:sz w:val="20"/>
                <w:szCs w:val="20"/>
              </w:rPr>
              <w:t>ompleted</w:t>
            </w:r>
          </w:p>
          <w:p w14:paraId="48DD44A2" w14:textId="77777777" w:rsidR="00F47D65" w:rsidRDefault="00F47D65" w:rsidP="00F47D65">
            <w:pPr>
              <w:spacing w:after="0" w:line="240" w:lineRule="auto"/>
              <w:rPr>
                <w:rFonts w:ascii="Arial" w:hAnsi="Arial" w:cs="Arial"/>
                <w:sz w:val="20"/>
                <w:szCs w:val="20"/>
              </w:rPr>
            </w:pPr>
            <w:r w:rsidRPr="0022336A">
              <w:rPr>
                <w:rFonts w:ascii="Arial" w:hAnsi="Arial" w:cs="Arial"/>
                <w:b/>
                <w:sz w:val="20"/>
                <w:szCs w:val="20"/>
              </w:rPr>
              <w:t>Task 3</w:t>
            </w:r>
            <w:r w:rsidR="00891009">
              <w:rPr>
                <w:rFonts w:ascii="Arial" w:hAnsi="Arial" w:cs="Arial"/>
                <w:sz w:val="20"/>
                <w:szCs w:val="20"/>
              </w:rPr>
              <w:t xml:space="preserve"> – Continue to inventory methods of quantifying uncertainty and data quality</w:t>
            </w:r>
            <w:r w:rsidR="00F03A5B">
              <w:rPr>
                <w:rFonts w:ascii="Arial" w:hAnsi="Arial" w:cs="Arial"/>
                <w:sz w:val="20"/>
                <w:szCs w:val="20"/>
              </w:rPr>
              <w:t>.</w:t>
            </w:r>
          </w:p>
          <w:p w14:paraId="6B9ED6DC" w14:textId="35EC7F47" w:rsidR="00361B8B" w:rsidRDefault="00361B8B" w:rsidP="00361B8B">
            <w:pPr>
              <w:spacing w:after="0" w:line="240" w:lineRule="auto"/>
              <w:rPr>
                <w:rFonts w:ascii="Arial" w:hAnsi="Arial" w:cs="Arial"/>
                <w:sz w:val="20"/>
                <w:szCs w:val="20"/>
              </w:rPr>
            </w:pPr>
            <w:r w:rsidRPr="00F47D65">
              <w:rPr>
                <w:rFonts w:ascii="Arial" w:hAnsi="Arial" w:cs="Arial"/>
                <w:b/>
                <w:sz w:val="20"/>
                <w:szCs w:val="20"/>
              </w:rPr>
              <w:t>Task 4</w:t>
            </w:r>
            <w:r>
              <w:rPr>
                <w:rFonts w:ascii="Arial" w:hAnsi="Arial" w:cs="Arial"/>
                <w:sz w:val="20"/>
                <w:szCs w:val="20"/>
              </w:rPr>
              <w:t xml:space="preserve"> – </w:t>
            </w:r>
            <w:r w:rsidR="009C0C2F">
              <w:rPr>
                <w:rFonts w:ascii="Arial" w:hAnsi="Arial" w:cs="Arial"/>
                <w:sz w:val="20"/>
                <w:szCs w:val="20"/>
              </w:rPr>
              <w:t>C</w:t>
            </w:r>
            <w:r w:rsidR="002B5D17">
              <w:rPr>
                <w:rFonts w:ascii="Arial" w:hAnsi="Arial" w:cs="Arial"/>
                <w:sz w:val="20"/>
                <w:szCs w:val="20"/>
              </w:rPr>
              <w:t>ompleted</w:t>
            </w:r>
            <w:r w:rsidR="009C0C2F">
              <w:rPr>
                <w:rFonts w:ascii="Arial" w:hAnsi="Arial" w:cs="Arial"/>
                <w:sz w:val="20"/>
                <w:szCs w:val="20"/>
              </w:rPr>
              <w:t>.</w:t>
            </w:r>
          </w:p>
          <w:p w14:paraId="47A5B839" w14:textId="0967D92B" w:rsidR="00F47D65" w:rsidRDefault="00F47D65" w:rsidP="00F47D65">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5</w:t>
            </w:r>
            <w:r w:rsidR="009A6065">
              <w:rPr>
                <w:rFonts w:ascii="Arial" w:hAnsi="Arial" w:cs="Arial"/>
                <w:sz w:val="20"/>
                <w:szCs w:val="20"/>
              </w:rPr>
              <w:t xml:space="preserve"> –</w:t>
            </w:r>
            <w:r w:rsidR="00291061">
              <w:rPr>
                <w:rFonts w:ascii="Arial" w:hAnsi="Arial" w:cs="Arial"/>
                <w:sz w:val="20"/>
                <w:szCs w:val="20"/>
              </w:rPr>
              <w:t xml:space="preserve"> </w:t>
            </w:r>
            <w:r w:rsidR="002B5D17" w:rsidRPr="002B5D17">
              <w:rPr>
                <w:rFonts w:ascii="Arial" w:hAnsi="Arial" w:cs="Arial"/>
                <w:sz w:val="20"/>
                <w:szCs w:val="20"/>
              </w:rPr>
              <w:t>In progress. BYU working on 2010 Maule, Chile; 2011 Tohoku, Japan, 2010 Darfield and 2011 Christ Church Earthquakes</w:t>
            </w:r>
            <w:r w:rsidR="00291061">
              <w:rPr>
                <w:rFonts w:ascii="Arial" w:hAnsi="Arial" w:cs="Arial"/>
                <w:sz w:val="20"/>
                <w:szCs w:val="20"/>
              </w:rPr>
              <w:t>.</w:t>
            </w:r>
          </w:p>
          <w:p w14:paraId="3B9937C0" w14:textId="77777777" w:rsidR="00F47D65" w:rsidRDefault="00F47D65" w:rsidP="00F47D65">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6</w:t>
            </w:r>
            <w:r w:rsidR="00891009">
              <w:rPr>
                <w:rFonts w:ascii="Arial" w:hAnsi="Arial" w:cs="Arial"/>
                <w:sz w:val="20"/>
                <w:szCs w:val="20"/>
              </w:rPr>
              <w:t xml:space="preserve"> –</w:t>
            </w:r>
            <w:r w:rsidR="00311494">
              <w:rPr>
                <w:rFonts w:ascii="Arial" w:hAnsi="Arial" w:cs="Arial"/>
                <w:sz w:val="20"/>
                <w:szCs w:val="20"/>
              </w:rPr>
              <w:t xml:space="preserve"> Obtaining of data in progress</w:t>
            </w:r>
            <w:r w:rsidR="00795A71">
              <w:rPr>
                <w:rFonts w:ascii="Arial" w:hAnsi="Arial" w:cs="Arial"/>
                <w:sz w:val="20"/>
                <w:szCs w:val="20"/>
              </w:rPr>
              <w:t>.</w:t>
            </w:r>
          </w:p>
          <w:p w14:paraId="7FFCA0CE" w14:textId="7002FAC5" w:rsidR="00F47D65" w:rsidRDefault="00F47D65" w:rsidP="00F47D65">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7</w:t>
            </w:r>
            <w:r>
              <w:rPr>
                <w:rFonts w:ascii="Arial" w:hAnsi="Arial" w:cs="Arial"/>
                <w:sz w:val="20"/>
                <w:szCs w:val="20"/>
              </w:rPr>
              <w:t xml:space="preserve"> – </w:t>
            </w:r>
            <w:r w:rsidR="00F03A5B">
              <w:rPr>
                <w:rFonts w:ascii="Arial" w:hAnsi="Arial" w:cs="Arial"/>
                <w:sz w:val="20"/>
                <w:szCs w:val="20"/>
              </w:rPr>
              <w:t>Continue</w:t>
            </w:r>
            <w:r w:rsidR="00891009">
              <w:rPr>
                <w:rFonts w:ascii="Arial" w:hAnsi="Arial" w:cs="Arial"/>
                <w:sz w:val="20"/>
                <w:szCs w:val="20"/>
              </w:rPr>
              <w:t xml:space="preserve"> population of data set</w:t>
            </w:r>
            <w:r w:rsidR="00EE52F0">
              <w:rPr>
                <w:rFonts w:ascii="Arial" w:hAnsi="Arial" w:cs="Arial"/>
                <w:sz w:val="20"/>
                <w:szCs w:val="20"/>
              </w:rPr>
              <w:t xml:space="preserve"> for U.S. Case histories</w:t>
            </w:r>
            <w:r w:rsidR="00291061">
              <w:rPr>
                <w:rFonts w:ascii="Arial" w:hAnsi="Arial" w:cs="Arial"/>
                <w:sz w:val="20"/>
                <w:szCs w:val="20"/>
              </w:rPr>
              <w:t>.</w:t>
            </w:r>
          </w:p>
          <w:p w14:paraId="19B1F9CC" w14:textId="100E3DE0" w:rsidR="00F47D65" w:rsidRDefault="00F47D65" w:rsidP="00F47D65">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8</w:t>
            </w:r>
            <w:r w:rsidR="00C64D98">
              <w:rPr>
                <w:rFonts w:ascii="Arial" w:hAnsi="Arial" w:cs="Arial"/>
                <w:sz w:val="20"/>
                <w:szCs w:val="20"/>
              </w:rPr>
              <w:t xml:space="preserve"> – </w:t>
            </w:r>
            <w:r w:rsidR="00F77FD2">
              <w:rPr>
                <w:rFonts w:ascii="Arial" w:hAnsi="Arial" w:cs="Arial"/>
                <w:sz w:val="20"/>
                <w:szCs w:val="20"/>
              </w:rPr>
              <w:t>Continuing</w:t>
            </w:r>
            <w:r w:rsidR="00FE297B">
              <w:rPr>
                <w:rFonts w:ascii="Arial" w:hAnsi="Arial" w:cs="Arial"/>
                <w:sz w:val="20"/>
                <w:szCs w:val="20"/>
              </w:rPr>
              <w:t>.</w:t>
            </w:r>
          </w:p>
          <w:p w14:paraId="4DCA38B9" w14:textId="609A6316" w:rsidR="00230505" w:rsidRDefault="00F47D65" w:rsidP="00F77FD2">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9</w:t>
            </w:r>
            <w:r w:rsidR="00C64D98">
              <w:rPr>
                <w:rFonts w:ascii="Arial" w:hAnsi="Arial" w:cs="Arial"/>
                <w:sz w:val="20"/>
                <w:szCs w:val="20"/>
              </w:rPr>
              <w:t xml:space="preserve"> –</w:t>
            </w:r>
            <w:r w:rsidR="006C641C">
              <w:rPr>
                <w:rFonts w:ascii="Arial" w:hAnsi="Arial" w:cs="Arial"/>
                <w:sz w:val="20"/>
                <w:szCs w:val="20"/>
              </w:rPr>
              <w:t xml:space="preserve"> </w:t>
            </w:r>
            <w:r w:rsidR="00FE297B">
              <w:rPr>
                <w:rFonts w:ascii="Arial" w:hAnsi="Arial" w:cs="Arial"/>
                <w:sz w:val="20"/>
                <w:szCs w:val="20"/>
              </w:rPr>
              <w:t>Not started.</w:t>
            </w:r>
          </w:p>
          <w:p w14:paraId="08AD1960" w14:textId="77777777" w:rsidR="006C641C" w:rsidRDefault="006C641C" w:rsidP="006C641C">
            <w:pPr>
              <w:spacing w:after="0" w:line="240" w:lineRule="auto"/>
              <w:rPr>
                <w:rFonts w:ascii="Arial" w:hAnsi="Arial" w:cs="Arial"/>
                <w:sz w:val="20"/>
                <w:szCs w:val="20"/>
              </w:rPr>
            </w:pPr>
          </w:p>
          <w:p w14:paraId="73B33EFB" w14:textId="77777777" w:rsidR="006C641C" w:rsidRDefault="006C641C" w:rsidP="006C641C">
            <w:pPr>
              <w:spacing w:after="0" w:line="240" w:lineRule="auto"/>
              <w:rPr>
                <w:rFonts w:ascii="Arial" w:hAnsi="Arial" w:cs="Arial"/>
                <w:sz w:val="20"/>
                <w:szCs w:val="20"/>
              </w:rPr>
            </w:pPr>
            <w:r>
              <w:rPr>
                <w:rFonts w:ascii="Arial" w:hAnsi="Arial" w:cs="Arial"/>
                <w:sz w:val="20"/>
                <w:szCs w:val="20"/>
              </w:rPr>
              <w:t xml:space="preserve">TAC meetings – Consider holding a TAC web conference </w:t>
            </w:r>
            <w:r w:rsidRPr="009A24D4">
              <w:rPr>
                <w:rFonts w:ascii="Arial" w:hAnsi="Arial" w:cs="Arial"/>
                <w:sz w:val="20"/>
                <w:szCs w:val="20"/>
              </w:rPr>
              <w:t>to discuss progress to date, next steps, and questions</w:t>
            </w:r>
            <w:r>
              <w:rPr>
                <w:rFonts w:ascii="Arial" w:hAnsi="Arial" w:cs="Arial"/>
                <w:sz w:val="20"/>
                <w:szCs w:val="20"/>
              </w:rPr>
              <w:t>.</w:t>
            </w:r>
          </w:p>
          <w:p w14:paraId="3E840B7C" w14:textId="77777777" w:rsidR="006C641C" w:rsidRDefault="006C641C" w:rsidP="006C641C">
            <w:pPr>
              <w:spacing w:after="0" w:line="240" w:lineRule="auto"/>
              <w:rPr>
                <w:rFonts w:ascii="Arial" w:hAnsi="Arial" w:cs="Arial"/>
                <w:sz w:val="20"/>
                <w:szCs w:val="20"/>
              </w:rPr>
            </w:pPr>
          </w:p>
          <w:p w14:paraId="5DE9E521" w14:textId="11FE50CA" w:rsidR="001A7068" w:rsidRDefault="006C641C" w:rsidP="001A7068">
            <w:pPr>
              <w:spacing w:after="0" w:line="240" w:lineRule="auto"/>
              <w:rPr>
                <w:rFonts w:ascii="Arial" w:hAnsi="Arial" w:cs="Arial"/>
                <w:sz w:val="20"/>
                <w:szCs w:val="20"/>
              </w:rPr>
            </w:pPr>
            <w:r>
              <w:rPr>
                <w:rFonts w:ascii="Arial" w:hAnsi="Arial" w:cs="Arial"/>
                <w:sz w:val="20"/>
                <w:szCs w:val="20"/>
              </w:rPr>
              <w:t>Contract –</w:t>
            </w:r>
            <w:r w:rsidR="00BD4C91">
              <w:rPr>
                <w:rFonts w:ascii="Arial" w:hAnsi="Arial" w:cs="Arial"/>
                <w:sz w:val="20"/>
                <w:szCs w:val="20"/>
              </w:rPr>
              <w:t xml:space="preserve"> Amend</w:t>
            </w:r>
            <w:r>
              <w:rPr>
                <w:rFonts w:ascii="Arial" w:hAnsi="Arial" w:cs="Arial"/>
                <w:sz w:val="20"/>
                <w:szCs w:val="20"/>
              </w:rPr>
              <w:t xml:space="preserve"> the research contract to include </w:t>
            </w:r>
            <w:r w:rsidR="00725D58">
              <w:rPr>
                <w:rFonts w:ascii="Arial" w:hAnsi="Arial" w:cs="Arial"/>
                <w:sz w:val="20"/>
                <w:szCs w:val="20"/>
              </w:rPr>
              <w:t>additional t</w:t>
            </w:r>
            <w:r>
              <w:rPr>
                <w:rFonts w:ascii="Arial" w:hAnsi="Arial" w:cs="Arial"/>
                <w:sz w:val="20"/>
                <w:szCs w:val="20"/>
              </w:rPr>
              <w:t xml:space="preserve">asks </w:t>
            </w:r>
            <w:r w:rsidR="00B72998">
              <w:rPr>
                <w:rFonts w:ascii="Arial" w:hAnsi="Arial" w:cs="Arial"/>
                <w:sz w:val="20"/>
                <w:szCs w:val="20"/>
              </w:rPr>
              <w:t>with</w:t>
            </w:r>
            <w:r>
              <w:rPr>
                <w:rFonts w:ascii="Arial" w:hAnsi="Arial" w:cs="Arial"/>
                <w:sz w:val="20"/>
                <w:szCs w:val="20"/>
              </w:rPr>
              <w:t xml:space="preserve"> the available funds.</w:t>
            </w:r>
            <w:r w:rsidR="00BD4C91">
              <w:rPr>
                <w:rFonts w:ascii="Arial" w:hAnsi="Arial" w:cs="Arial"/>
                <w:sz w:val="20"/>
                <w:szCs w:val="20"/>
              </w:rPr>
              <w:t xml:space="preserve">  </w:t>
            </w:r>
            <w:r w:rsidR="001A7068">
              <w:rPr>
                <w:rFonts w:ascii="Arial" w:hAnsi="Arial" w:cs="Arial"/>
                <w:sz w:val="20"/>
                <w:szCs w:val="20"/>
              </w:rPr>
              <w:t xml:space="preserve">One change </w:t>
            </w:r>
            <w:r w:rsidR="00BD4C91">
              <w:rPr>
                <w:rFonts w:ascii="Arial" w:hAnsi="Arial" w:cs="Arial"/>
                <w:sz w:val="20"/>
                <w:szCs w:val="20"/>
              </w:rPr>
              <w:t xml:space="preserve">is </w:t>
            </w:r>
            <w:r w:rsidR="00FF5675">
              <w:rPr>
                <w:rFonts w:ascii="Arial" w:hAnsi="Arial" w:cs="Arial"/>
                <w:sz w:val="20"/>
                <w:szCs w:val="20"/>
              </w:rPr>
              <w:t>requested, involving the a</w:t>
            </w:r>
            <w:r w:rsidR="001A7068">
              <w:rPr>
                <w:rFonts w:ascii="Arial" w:hAnsi="Arial" w:cs="Arial"/>
                <w:sz w:val="20"/>
                <w:szCs w:val="20"/>
              </w:rPr>
              <w:t xml:space="preserve">ddition of screening criteria to the contract. </w:t>
            </w:r>
            <w:r w:rsidR="00FF5675">
              <w:rPr>
                <w:rFonts w:ascii="Arial" w:hAnsi="Arial" w:cs="Arial"/>
                <w:sz w:val="20"/>
                <w:szCs w:val="20"/>
              </w:rPr>
              <w:t xml:space="preserve"> </w:t>
            </w:r>
            <w:r w:rsidR="001A7068">
              <w:rPr>
                <w:rFonts w:ascii="Arial" w:hAnsi="Arial" w:cs="Arial"/>
                <w:sz w:val="20"/>
                <w:szCs w:val="20"/>
              </w:rPr>
              <w:t>Requested funding for this task is $29,</w:t>
            </w:r>
            <w:r w:rsidR="00FF5675">
              <w:rPr>
                <w:rFonts w:ascii="Arial" w:hAnsi="Arial" w:cs="Arial"/>
                <w:sz w:val="20"/>
                <w:szCs w:val="20"/>
              </w:rPr>
              <w:t>645.07</w:t>
            </w:r>
            <w:r w:rsidR="009204B4">
              <w:rPr>
                <w:rFonts w:ascii="Arial" w:hAnsi="Arial" w:cs="Arial"/>
                <w:sz w:val="20"/>
                <w:szCs w:val="20"/>
              </w:rPr>
              <w:t>, which is all of the remaining available funding</w:t>
            </w:r>
            <w:r w:rsidR="001A7068">
              <w:rPr>
                <w:rFonts w:ascii="Arial" w:hAnsi="Arial" w:cs="Arial"/>
                <w:sz w:val="20"/>
                <w:szCs w:val="20"/>
              </w:rPr>
              <w:t xml:space="preserve">.  Revised total contract amount </w:t>
            </w:r>
            <w:r w:rsidR="00FF5675">
              <w:rPr>
                <w:rFonts w:ascii="Arial" w:hAnsi="Arial" w:cs="Arial"/>
                <w:sz w:val="20"/>
                <w:szCs w:val="20"/>
              </w:rPr>
              <w:t>will be $140,000.00.</w:t>
            </w:r>
            <w:bookmarkStart w:id="0" w:name="_GoBack"/>
            <w:bookmarkEnd w:id="0"/>
          </w:p>
          <w:p w14:paraId="2527751D" w14:textId="77777777" w:rsidR="006C641C" w:rsidRDefault="006C641C" w:rsidP="00F77FD2">
            <w:pPr>
              <w:spacing w:after="0" w:line="240" w:lineRule="auto"/>
              <w:rPr>
                <w:rFonts w:ascii="Arial" w:hAnsi="Arial" w:cs="Arial"/>
                <w:sz w:val="20"/>
                <w:szCs w:val="20"/>
              </w:rPr>
            </w:pPr>
          </w:p>
          <w:p w14:paraId="07F5D91E" w14:textId="4F291BDF" w:rsidR="00B24B51" w:rsidRPr="00F77FD2" w:rsidRDefault="00B24B51" w:rsidP="00F45E87">
            <w:pPr>
              <w:spacing w:after="0" w:line="240" w:lineRule="auto"/>
              <w:ind w:left="720"/>
              <w:rPr>
                <w:rFonts w:ascii="Arial" w:hAnsi="Arial" w:cs="Arial"/>
                <w:b/>
                <w:i/>
                <w:sz w:val="20"/>
                <w:szCs w:val="20"/>
              </w:rPr>
            </w:pPr>
            <w:r w:rsidRPr="00B24B51">
              <w:rPr>
                <w:rFonts w:ascii="Arial" w:hAnsi="Arial" w:cs="Arial"/>
                <w:b/>
                <w:i/>
                <w:sz w:val="20"/>
                <w:szCs w:val="20"/>
                <w:highlight w:val="yellow"/>
              </w:rPr>
              <w:t>The U</w:t>
            </w:r>
            <w:r>
              <w:rPr>
                <w:rFonts w:ascii="Arial" w:hAnsi="Arial" w:cs="Arial"/>
                <w:b/>
                <w:i/>
                <w:sz w:val="20"/>
                <w:szCs w:val="20"/>
                <w:highlight w:val="yellow"/>
              </w:rPr>
              <w:t>niv.</w:t>
            </w:r>
            <w:r w:rsidRPr="00B24B51">
              <w:rPr>
                <w:rFonts w:ascii="Arial" w:hAnsi="Arial" w:cs="Arial"/>
                <w:b/>
                <w:i/>
                <w:sz w:val="20"/>
                <w:szCs w:val="20"/>
                <w:highlight w:val="yellow"/>
              </w:rPr>
              <w:t xml:space="preserve"> of Utah has requested that screening criteria be funded and has o</w:t>
            </w:r>
            <w:r w:rsidR="00A94D7A">
              <w:rPr>
                <w:rFonts w:ascii="Arial" w:hAnsi="Arial" w:cs="Arial"/>
                <w:b/>
                <w:i/>
                <w:sz w:val="20"/>
                <w:szCs w:val="20"/>
                <w:highlight w:val="yellow"/>
              </w:rPr>
              <w:t>ffered the approach for Phase I</w:t>
            </w:r>
            <w:r w:rsidRPr="00B24B51">
              <w:rPr>
                <w:rFonts w:ascii="Arial" w:hAnsi="Arial" w:cs="Arial"/>
                <w:b/>
                <w:i/>
                <w:sz w:val="20"/>
                <w:szCs w:val="20"/>
                <w:highlight w:val="yellow"/>
              </w:rPr>
              <w:t xml:space="preserve"> – Task </w:t>
            </w:r>
            <w:r w:rsidR="00A94D7A">
              <w:rPr>
                <w:rFonts w:ascii="Arial" w:hAnsi="Arial" w:cs="Arial"/>
                <w:b/>
                <w:i/>
                <w:sz w:val="20"/>
                <w:szCs w:val="20"/>
                <w:highlight w:val="yellow"/>
              </w:rPr>
              <w:t>9 (new)</w:t>
            </w:r>
            <w:r w:rsidRPr="00B24B51">
              <w:rPr>
                <w:rFonts w:ascii="Arial" w:hAnsi="Arial" w:cs="Arial"/>
                <w:b/>
                <w:i/>
                <w:sz w:val="20"/>
                <w:szCs w:val="20"/>
                <w:highlight w:val="yellow"/>
              </w:rPr>
              <w:t xml:space="preserve">. </w:t>
            </w:r>
            <w:r w:rsidRPr="00B24B51">
              <w:rPr>
                <w:rFonts w:ascii="Arial" w:hAnsi="Arial" w:cs="Arial"/>
                <w:b/>
                <w:i/>
                <w:sz w:val="20"/>
                <w:szCs w:val="20"/>
                <w:highlight w:val="yellow"/>
                <w:u w:val="single"/>
              </w:rPr>
              <w:t xml:space="preserve">We request that this approach be reviewed and commented on </w:t>
            </w:r>
            <w:r>
              <w:rPr>
                <w:rFonts w:ascii="Arial" w:hAnsi="Arial" w:cs="Arial"/>
                <w:b/>
                <w:i/>
                <w:sz w:val="20"/>
                <w:szCs w:val="20"/>
                <w:highlight w:val="yellow"/>
                <w:u w:val="single"/>
              </w:rPr>
              <w:t>by the TAC</w:t>
            </w:r>
            <w:r w:rsidRPr="00B24B51">
              <w:rPr>
                <w:rFonts w:ascii="Arial" w:hAnsi="Arial" w:cs="Arial"/>
                <w:b/>
                <w:i/>
                <w:sz w:val="20"/>
                <w:szCs w:val="20"/>
                <w:highlight w:val="yellow"/>
                <w:u w:val="single"/>
              </w:rPr>
              <w:t>:</w:t>
            </w:r>
          </w:p>
          <w:p w14:paraId="7D9714DC" w14:textId="77777777" w:rsidR="00B24B51" w:rsidRDefault="00B24B51" w:rsidP="00B24B51">
            <w:pPr>
              <w:spacing w:after="0" w:line="240" w:lineRule="auto"/>
              <w:rPr>
                <w:rFonts w:ascii="Arial" w:hAnsi="Arial" w:cs="Arial"/>
                <w:sz w:val="20"/>
                <w:szCs w:val="20"/>
              </w:rPr>
            </w:pPr>
          </w:p>
          <w:p w14:paraId="28082845" w14:textId="77777777" w:rsidR="00B24B51" w:rsidRDefault="00B24B51" w:rsidP="00B24B51">
            <w:pPr>
              <w:spacing w:line="240" w:lineRule="auto"/>
              <w:ind w:left="720"/>
            </w:pPr>
            <w:r>
              <w:t xml:space="preserve">Engineering practice has a general need to define “screening” or “susceptibility” criteria for liquefaction-induced lateral spread. These should include the range of sediment, site and seismological characteristics necessary to produce lateral spread. Unfortunately, some engineering </w:t>
            </w:r>
            <w:r w:rsidRPr="00D766C3">
              <w:rPr>
                <w:noProof/>
              </w:rPr>
              <w:t>practi</w:t>
            </w:r>
            <w:r>
              <w:rPr>
                <w:noProof/>
              </w:rPr>
              <w:t>ti</w:t>
            </w:r>
            <w:r w:rsidRPr="00D766C3">
              <w:rPr>
                <w:noProof/>
              </w:rPr>
              <w:t>oners</w:t>
            </w:r>
            <w:r>
              <w:t xml:space="preserve"> misapply MLR models and attempt to predict lateral spread displacement by extrapolating the input variables (i.e., independent variables) beyond the conditions or data bounds represented in the regression of the </w:t>
            </w:r>
            <w:r w:rsidRPr="00D766C3">
              <w:rPr>
                <w:noProof/>
              </w:rPr>
              <w:t>or</w:t>
            </w:r>
            <w:r>
              <w:rPr>
                <w:noProof/>
              </w:rPr>
              <w:t>i</w:t>
            </w:r>
            <w:r w:rsidRPr="00D766C3">
              <w:rPr>
                <w:noProof/>
              </w:rPr>
              <w:t>ginal</w:t>
            </w:r>
            <w:r>
              <w:t xml:space="preserve"> dataset.  For example, misuse can occur by inferring critical layer continuity when it may not exist, or by extrapolation of the model to thin layers (i.e., layers less than 1.0 m), or by using the MLR equations to predict displacement in predominately non-plastic silts, etc. (</w:t>
            </w:r>
            <w:proofErr w:type="spellStart"/>
            <w:r>
              <w:t>Youd</w:t>
            </w:r>
            <w:proofErr w:type="spellEnd"/>
            <w:r>
              <w:t>, 2018).</w:t>
            </w:r>
          </w:p>
          <w:p w14:paraId="2DABC4F9" w14:textId="13FC4992" w:rsidR="00B24B51" w:rsidRPr="004850C9" w:rsidRDefault="00B24B51" w:rsidP="00B24B51">
            <w:pPr>
              <w:spacing w:line="240" w:lineRule="auto"/>
              <w:ind w:left="720"/>
              <w:rPr>
                <w:rFonts w:ascii="Times New Roman" w:hAnsi="Times New Roman"/>
                <w:i/>
              </w:rPr>
            </w:pPr>
            <w:r>
              <w:t>As a possible solution to this problem, we propose to develop a probabilistic-based method to predict lateral spread susceptibility based on implementation of the following conditional probability statement:</w:t>
            </w:r>
          </w:p>
          <w:p w14:paraId="31B0627E" w14:textId="77777777" w:rsidR="00B24B51" w:rsidRDefault="00B24B51" w:rsidP="00B24B51">
            <w:pPr>
              <w:spacing w:line="240" w:lineRule="auto"/>
              <w:ind w:left="720"/>
              <w:jc w:val="right"/>
            </w:pPr>
            <w:r w:rsidRPr="004850C9">
              <w:rPr>
                <w:rFonts w:ascii="Times New Roman" w:hAnsi="Times New Roman"/>
                <w:i/>
              </w:rPr>
              <w:t>P</w:t>
            </w:r>
            <w:r w:rsidRPr="004850C9">
              <w:rPr>
                <w:rFonts w:ascii="Times New Roman" w:hAnsi="Times New Roman"/>
              </w:rPr>
              <w:t>[</w:t>
            </w:r>
            <w:proofErr w:type="spellStart"/>
            <w:r w:rsidRPr="004850C9">
              <w:rPr>
                <w:rFonts w:ascii="Times New Roman" w:hAnsi="Times New Roman"/>
                <w:i/>
              </w:rPr>
              <w:t>L</w:t>
            </w:r>
            <w:r w:rsidRPr="004850C9">
              <w:rPr>
                <w:rFonts w:ascii="Times New Roman" w:hAnsi="Times New Roman"/>
                <w:i/>
                <w:vertAlign w:val="subscript"/>
              </w:rPr>
              <w:t>s</w:t>
            </w:r>
            <w:proofErr w:type="spellEnd"/>
            <w:r w:rsidRPr="004850C9">
              <w:rPr>
                <w:rFonts w:ascii="Times New Roman" w:hAnsi="Times New Roman"/>
                <w:i/>
              </w:rPr>
              <w:t xml:space="preserve"> | F, PI, SI, T, </w:t>
            </w:r>
            <w:r w:rsidRPr="004850C9">
              <w:rPr>
                <w:rFonts w:ascii="Times New Roman" w:hAnsi="Times New Roman"/>
                <w:i/>
                <w:noProof/>
              </w:rPr>
              <w:t>D, Z,</w:t>
            </w:r>
            <w:r>
              <w:rPr>
                <w:rFonts w:ascii="Times New Roman" w:hAnsi="Times New Roman"/>
                <w:i/>
                <w:noProof/>
              </w:rPr>
              <w:t xml:space="preserve"> G.</w:t>
            </w:r>
            <w:r w:rsidRPr="004850C9">
              <w:rPr>
                <w:rFonts w:ascii="Times New Roman" w:hAnsi="Times New Roman"/>
                <w:i/>
              </w:rPr>
              <w:t xml:space="preserve"> R, M</w:t>
            </w:r>
            <w:r w:rsidRPr="004850C9">
              <w:rPr>
                <w:rFonts w:ascii="Times New Roman" w:hAnsi="Times New Roman"/>
                <w:i/>
                <w:vertAlign w:val="subscript"/>
              </w:rPr>
              <w:t>w</w:t>
            </w:r>
            <w:r w:rsidRPr="004850C9">
              <w:rPr>
                <w:rFonts w:ascii="Times New Roman" w:hAnsi="Times New Roman"/>
                <w:i/>
              </w:rPr>
              <w:t xml:space="preserve">, </w:t>
            </w:r>
            <w:proofErr w:type="spellStart"/>
            <w:r w:rsidRPr="004850C9">
              <w:rPr>
                <w:rFonts w:ascii="Times New Roman" w:hAnsi="Times New Roman"/>
                <w:i/>
              </w:rPr>
              <w:t>X</w:t>
            </w:r>
            <w:r w:rsidRPr="004850C9">
              <w:rPr>
                <w:rFonts w:ascii="Times New Roman" w:hAnsi="Times New Roman"/>
                <w:i/>
                <w:vertAlign w:val="subscript"/>
              </w:rPr>
              <w:t>n</w:t>
            </w:r>
            <w:proofErr w:type="spellEnd"/>
            <w:r w:rsidRPr="004850C9">
              <w:rPr>
                <w:rFonts w:ascii="Times New Roman" w:hAnsi="Times New Roman"/>
              </w:rPr>
              <w:t>]</w:t>
            </w:r>
            <w:r>
              <w:tab/>
            </w:r>
            <w:r>
              <w:tab/>
            </w:r>
            <w:r>
              <w:tab/>
            </w:r>
            <w:r>
              <w:tab/>
              <w:t>Eq. 1</w:t>
            </w:r>
            <w:r>
              <w:tab/>
            </w:r>
          </w:p>
          <w:p w14:paraId="56BF540A" w14:textId="67E38767" w:rsidR="00B24B51" w:rsidRDefault="00B24B51" w:rsidP="00B24B51">
            <w:pPr>
              <w:spacing w:line="240" w:lineRule="auto"/>
              <w:ind w:left="720"/>
            </w:pPr>
            <w:r w:rsidRPr="00F757F7">
              <w:rPr>
                <w:noProof/>
              </w:rPr>
              <w:t xml:space="preserve">where </w:t>
            </w:r>
            <w:r w:rsidRPr="004850C9">
              <w:rPr>
                <w:rFonts w:ascii="Times New Roman" w:hAnsi="Times New Roman"/>
                <w:i/>
                <w:noProof/>
              </w:rPr>
              <w:t>L</w:t>
            </w:r>
            <w:r w:rsidRPr="004850C9">
              <w:rPr>
                <w:rFonts w:ascii="Times New Roman" w:hAnsi="Times New Roman"/>
                <w:i/>
                <w:noProof/>
                <w:vertAlign w:val="subscript"/>
              </w:rPr>
              <w:t>s</w:t>
            </w:r>
            <w:r w:rsidRPr="00F757F7">
              <w:rPr>
                <w:noProof/>
              </w:rPr>
              <w:t xml:space="preserve"> is the probability of occurrence of lateral spread conditioned on the </w:t>
            </w:r>
            <w:r>
              <w:rPr>
                <w:noProof/>
              </w:rPr>
              <w:t xml:space="preserve">soil and seismological factors such as fines content, </w:t>
            </w:r>
            <w:r w:rsidRPr="004850C9">
              <w:rPr>
                <w:rFonts w:ascii="Times New Roman" w:hAnsi="Times New Roman"/>
                <w:i/>
                <w:noProof/>
              </w:rPr>
              <w:t>F</w:t>
            </w:r>
            <w:r>
              <w:rPr>
                <w:noProof/>
              </w:rPr>
              <w:t xml:space="preserve">, plasticity index, </w:t>
            </w:r>
            <w:r w:rsidRPr="004850C9">
              <w:rPr>
                <w:rFonts w:ascii="Times New Roman" w:hAnsi="Times New Roman"/>
                <w:i/>
                <w:noProof/>
              </w:rPr>
              <w:t>PI</w:t>
            </w:r>
            <w:r>
              <w:rPr>
                <w:noProof/>
              </w:rPr>
              <w:t xml:space="preserve">, soil index, </w:t>
            </w:r>
            <w:r w:rsidRPr="004850C9">
              <w:rPr>
                <w:rFonts w:ascii="Times New Roman" w:hAnsi="Times New Roman"/>
                <w:i/>
                <w:noProof/>
              </w:rPr>
              <w:t>SI</w:t>
            </w:r>
            <w:r>
              <w:rPr>
                <w:noProof/>
              </w:rPr>
              <w:t xml:space="preserve">, layer thickness, </w:t>
            </w:r>
            <w:r w:rsidRPr="004850C9">
              <w:rPr>
                <w:rFonts w:ascii="Times New Roman" w:hAnsi="Times New Roman"/>
                <w:i/>
                <w:noProof/>
              </w:rPr>
              <w:t>T</w:t>
            </w:r>
            <w:r>
              <w:rPr>
                <w:noProof/>
              </w:rPr>
              <w:t xml:space="preserve">, soil density </w:t>
            </w:r>
            <w:r w:rsidRPr="004850C9">
              <w:rPr>
                <w:rFonts w:ascii="Times New Roman" w:hAnsi="Times New Roman"/>
                <w:i/>
                <w:noProof/>
              </w:rPr>
              <w:t>D</w:t>
            </w:r>
            <w:r>
              <w:rPr>
                <w:noProof/>
              </w:rPr>
              <w:t xml:space="preserve">, depth of critical layer, </w:t>
            </w:r>
            <w:r w:rsidRPr="004850C9">
              <w:rPr>
                <w:rFonts w:ascii="Times New Roman" w:hAnsi="Times New Roman"/>
                <w:i/>
                <w:noProof/>
              </w:rPr>
              <w:t>Z</w:t>
            </w:r>
            <w:r>
              <w:rPr>
                <w:noProof/>
              </w:rPr>
              <w:t>, relative geol</w:t>
            </w:r>
            <w:r w:rsidR="002F6D17">
              <w:rPr>
                <w:noProof/>
              </w:rPr>
              <w:t>o</w:t>
            </w:r>
            <w:r>
              <w:rPr>
                <w:noProof/>
              </w:rPr>
              <w:t xml:space="preserve">gic susceptibilty, </w:t>
            </w:r>
            <w:r w:rsidRPr="004850C9">
              <w:rPr>
                <w:rFonts w:ascii="Times New Roman" w:hAnsi="Times New Roman"/>
                <w:i/>
                <w:noProof/>
              </w:rPr>
              <w:t>G</w:t>
            </w:r>
            <w:r>
              <w:rPr>
                <w:noProof/>
              </w:rPr>
              <w:t xml:space="preserve">, seismic source distance, </w:t>
            </w:r>
            <w:r w:rsidRPr="004850C9">
              <w:rPr>
                <w:rFonts w:ascii="Times New Roman" w:hAnsi="Times New Roman"/>
                <w:i/>
                <w:noProof/>
              </w:rPr>
              <w:t>R</w:t>
            </w:r>
            <w:r>
              <w:rPr>
                <w:noProof/>
              </w:rPr>
              <w:t xml:space="preserve">, and earthquake magntiude, </w:t>
            </w:r>
            <w:r w:rsidRPr="004850C9">
              <w:rPr>
                <w:rFonts w:ascii="Times New Roman" w:hAnsi="Times New Roman"/>
                <w:i/>
                <w:noProof/>
              </w:rPr>
              <w:t>M</w:t>
            </w:r>
            <w:r w:rsidRPr="004850C9">
              <w:rPr>
                <w:noProof/>
                <w:vertAlign w:val="subscript"/>
              </w:rPr>
              <w:t>w</w:t>
            </w:r>
            <w:r>
              <w:rPr>
                <w:noProof/>
              </w:rPr>
              <w:t xml:space="preserve">, and </w:t>
            </w:r>
            <w:r>
              <w:t xml:space="preserve">represent other possible variables to be evaluated as part of the research, </w:t>
            </w:r>
            <w:proofErr w:type="spellStart"/>
            <w:r w:rsidRPr="004850C9">
              <w:rPr>
                <w:rFonts w:ascii="Times New Roman" w:hAnsi="Times New Roman"/>
                <w:i/>
              </w:rPr>
              <w:t>X</w:t>
            </w:r>
            <w:r w:rsidRPr="004850C9">
              <w:rPr>
                <w:rFonts w:ascii="Times New Roman" w:hAnsi="Times New Roman"/>
                <w:i/>
                <w:vertAlign w:val="subscript"/>
              </w:rPr>
              <w:t>n</w:t>
            </w:r>
            <w:proofErr w:type="spellEnd"/>
            <w:r w:rsidRPr="00F757F7">
              <w:rPr>
                <w:noProof/>
              </w:rPr>
              <w:t>.</w:t>
            </w:r>
            <w:r>
              <w:t xml:space="preserve"> These independent variables are further described later in this section.</w:t>
            </w:r>
          </w:p>
          <w:p w14:paraId="0507DC6D" w14:textId="77777777" w:rsidR="00B24B51" w:rsidRDefault="00B24B51" w:rsidP="00B24B51">
            <w:pPr>
              <w:spacing w:line="240" w:lineRule="auto"/>
              <w:ind w:left="720"/>
            </w:pPr>
            <w:r>
              <w:t xml:space="preserve">We propose to use </w:t>
            </w:r>
            <w:proofErr w:type="spellStart"/>
            <w:r>
              <w:t>logit</w:t>
            </w:r>
            <w:proofErr w:type="spellEnd"/>
            <w:r>
              <w:t xml:space="preserve"> analysis to determine the probability of occurrence of lateral spread for a given site using Eq. 1 as a framework. The logistic model (or </w:t>
            </w:r>
            <w:proofErr w:type="spellStart"/>
            <w:r>
              <w:t>logit</w:t>
            </w:r>
            <w:proofErr w:type="spellEnd"/>
            <w:r>
              <w:t xml:space="preserve"> model) is a widely used statistical model that uses a logistic function to model a dichotomous (binary) dependent variable (</w:t>
            </w:r>
            <w:hyperlink r:id="rId11" w:history="1">
              <w:r w:rsidRPr="00192CBC">
                <w:rPr>
                  <w:rStyle w:val="Hyperlink"/>
                </w:rPr>
                <w:t>https://en.wikipedia.org/wiki/Logistic_regression</w:t>
              </w:r>
            </w:hyperlink>
            <w:r>
              <w:t xml:space="preserve">). Logistic regression is used to explain the relationship between one dependent binary variable and one or more nominal, ordinal, interval or ratio-level independent variables. In our case, we will </w:t>
            </w:r>
            <w:r w:rsidRPr="00F757F7">
              <w:rPr>
                <w:noProof/>
              </w:rPr>
              <w:t>use</w:t>
            </w:r>
            <w:r>
              <w:t xml:space="preserve"> the logistic model to predict the probability of occurrence (or non-occurrence) of liquefaction-induced lateral spread. We emphasize that the purpose of the logistic model is not to predict the amount of horizontal displacement resulting from </w:t>
            </w:r>
            <w:r w:rsidRPr="004850C9">
              <w:rPr>
                <w:noProof/>
              </w:rPr>
              <w:t>lateral</w:t>
            </w:r>
            <w:r>
              <w:t xml:space="preserve"> spread, D</w:t>
            </w:r>
            <w:r w:rsidRPr="004850C9">
              <w:rPr>
                <w:vertAlign w:val="subscript"/>
              </w:rPr>
              <w:t>H</w:t>
            </w:r>
            <w:r>
              <w:t xml:space="preserve">; hence it does not replace existing MLR predictive equations such as those developed by </w:t>
            </w:r>
            <w:proofErr w:type="spellStart"/>
            <w:r>
              <w:t>Youd</w:t>
            </w:r>
            <w:proofErr w:type="spellEnd"/>
            <w:r>
              <w:t xml:space="preserve"> et al., 2002 and </w:t>
            </w:r>
            <w:proofErr w:type="spellStart"/>
            <w:r>
              <w:t>Gillins</w:t>
            </w:r>
            <w:proofErr w:type="spellEnd"/>
            <w:r>
              <w:t xml:space="preserve"> and Bartlett, 2013, or by others.</w:t>
            </w:r>
          </w:p>
          <w:p w14:paraId="199FFE71" w14:textId="77777777" w:rsidR="00B24B51" w:rsidRDefault="00B24B51" w:rsidP="00B24B51">
            <w:pPr>
              <w:spacing w:line="240" w:lineRule="auto"/>
              <w:ind w:left="720"/>
            </w:pPr>
            <w:r>
              <w:t xml:space="preserve">In general, these latter MLR models can be used to predict the probability that lateral spread horizontal </w:t>
            </w:r>
            <w:r>
              <w:lastRenderedPageBreak/>
              <w:t>displacement, D</w:t>
            </w:r>
            <w:r w:rsidRPr="004850C9">
              <w:rPr>
                <w:vertAlign w:val="subscript"/>
              </w:rPr>
              <w:t>H</w:t>
            </w:r>
            <w:r>
              <w:t>, exceeds some threshold value, y, of engineering interest (e.g., 0.1, 0.3 m, etc.).  This is done by evaluating:</w:t>
            </w:r>
          </w:p>
          <w:p w14:paraId="29F0FB69" w14:textId="77777777" w:rsidR="00B24B51" w:rsidRDefault="00B24B51" w:rsidP="00B24B51">
            <w:pPr>
              <w:spacing w:line="240" w:lineRule="auto"/>
              <w:ind w:left="720"/>
              <w:jc w:val="right"/>
            </w:pPr>
            <w:r>
              <w:t xml:space="preserve"> </w:t>
            </w:r>
            <m:oMath>
              <m:r>
                <w:rPr>
                  <w:rFonts w:ascii="Cambria Math" w:hAnsi="Cambria Math"/>
                </w:rPr>
                <m:t>P[</m:t>
              </m:r>
              <m:sSub>
                <m:sSubPr>
                  <m:ctrlPr>
                    <w:rPr>
                      <w:rFonts w:ascii="Cambria Math" w:hAnsi="Cambria Math"/>
                      <w:i/>
                    </w:rPr>
                  </m:ctrlPr>
                </m:sSubPr>
                <m:e>
                  <m:r>
                    <w:rPr>
                      <w:rFonts w:ascii="Cambria Math" w:hAnsi="Cambria Math"/>
                    </w:rPr>
                    <m:t>D</m:t>
                  </m:r>
                </m:e>
                <m:sub>
                  <m:r>
                    <w:rPr>
                      <w:rFonts w:ascii="Cambria Math" w:hAnsi="Cambria Math"/>
                    </w:rPr>
                    <m:t>H</m:t>
                  </m:r>
                </m:sub>
              </m:sSub>
              <m:r>
                <w:rPr>
                  <w:rFonts w:ascii="Cambria Math" w:hAnsi="Cambria Math"/>
                </w:rPr>
                <m:t>&gt;y]=Φ</m:t>
              </m:r>
              <m:d>
                <m:dPr>
                  <m:ctrlPr>
                    <w:rPr>
                      <w:rFonts w:ascii="Cambria Math" w:hAnsi="Cambria Math"/>
                      <w:i/>
                    </w:rPr>
                  </m:ctrlPr>
                </m:dPr>
                <m:e>
                  <m:r>
                    <w:rPr>
                      <w:rFonts w:ascii="Cambria Math" w:hAnsi="Cambria Math"/>
                    </w:rPr>
                    <m:t>-</m:t>
                  </m:r>
                  <m:f>
                    <m:fPr>
                      <m:ctrlPr>
                        <w:rPr>
                          <w:rFonts w:ascii="Cambria Math" w:hAnsi="Cambria Math"/>
                          <w:i/>
                        </w:rPr>
                      </m:ctrlPr>
                    </m:fPr>
                    <m:num>
                      <m:r>
                        <w:rPr>
                          <w:rFonts w:ascii="Cambria Math" w:hAnsi="Cambria Math"/>
                        </w:rPr>
                        <m:t>Log(y)-</m:t>
                      </m:r>
                      <m:bar>
                        <m:barPr>
                          <m:pos m:val="top"/>
                          <m:ctrlPr>
                            <w:rPr>
                              <w:rFonts w:ascii="Cambria Math" w:hAnsi="Cambria Math"/>
                              <w:i/>
                            </w:rPr>
                          </m:ctrlPr>
                        </m:barPr>
                        <m:e>
                          <m:r>
                            <w:rPr>
                              <w:rFonts w:ascii="Cambria Math" w:hAnsi="Cambria Math"/>
                            </w:rPr>
                            <m:t>Log(</m:t>
                          </m:r>
                          <m:sSub>
                            <m:sSubPr>
                              <m:ctrlPr>
                                <w:rPr>
                                  <w:rFonts w:ascii="Cambria Math" w:hAnsi="Cambria Math"/>
                                  <w:i/>
                                </w:rPr>
                              </m:ctrlPr>
                            </m:sSubPr>
                            <m:e>
                              <m:r>
                                <w:rPr>
                                  <w:rFonts w:ascii="Cambria Math" w:hAnsi="Cambria Math"/>
                                </w:rPr>
                                <m:t>D</m:t>
                              </m:r>
                            </m:e>
                            <m:sub>
                              <m:r>
                                <w:rPr>
                                  <w:rFonts w:ascii="Cambria Math" w:hAnsi="Cambria Math"/>
                                </w:rPr>
                                <m:t>H</m:t>
                              </m:r>
                            </m:sub>
                          </m:sSub>
                          <m:r>
                            <w:rPr>
                              <w:rFonts w:ascii="Cambria Math" w:hAnsi="Cambria Math"/>
                            </w:rPr>
                            <m:t>)</m:t>
                          </m:r>
                        </m:e>
                      </m:bar>
                    </m:num>
                    <m:den>
                      <m:sSub>
                        <m:sSubPr>
                          <m:ctrlPr>
                            <w:rPr>
                              <w:rFonts w:ascii="Cambria Math" w:hAnsi="Cambria Math"/>
                              <w:i/>
                            </w:rPr>
                          </m:ctrlPr>
                        </m:sSubPr>
                        <m:e>
                          <m:r>
                            <w:rPr>
                              <w:rFonts w:ascii="Cambria Math" w:hAnsi="Cambria Math"/>
                            </w:rPr>
                            <m:t>σ</m:t>
                          </m:r>
                        </m:e>
                        <m:sub>
                          <m:r>
                            <w:rPr>
                              <w:rFonts w:ascii="Cambria Math" w:hAnsi="Cambria Math"/>
                            </w:rPr>
                            <m:t>Log(</m:t>
                          </m:r>
                          <m:sSub>
                            <m:sSubPr>
                              <m:ctrlPr>
                                <w:rPr>
                                  <w:rFonts w:ascii="Cambria Math" w:hAnsi="Cambria Math"/>
                                  <w:i/>
                                </w:rPr>
                              </m:ctrlPr>
                            </m:sSubPr>
                            <m:e>
                              <m:r>
                                <w:rPr>
                                  <w:rFonts w:ascii="Cambria Math" w:hAnsi="Cambria Math"/>
                                </w:rPr>
                                <m:t>D</m:t>
                              </m:r>
                            </m:e>
                            <m:sub>
                              <m:r>
                                <w:rPr>
                                  <w:rFonts w:ascii="Cambria Math" w:hAnsi="Cambria Math"/>
                                </w:rPr>
                                <m:t>H</m:t>
                              </m:r>
                            </m:sub>
                          </m:sSub>
                          <m:r>
                            <w:rPr>
                              <w:rFonts w:ascii="Cambria Math" w:hAnsi="Cambria Math"/>
                            </w:rPr>
                            <m:t>)</m:t>
                          </m:r>
                        </m:sub>
                      </m:sSub>
                    </m:den>
                  </m:f>
                </m:e>
              </m:d>
            </m:oMath>
            <w:r>
              <w:t xml:space="preserve"> </w:t>
            </w:r>
            <w:r>
              <w:tab/>
            </w:r>
            <w:r>
              <w:tab/>
            </w:r>
            <w:r>
              <w:tab/>
            </w:r>
            <w:r>
              <w:tab/>
            </w:r>
            <w:r>
              <w:tab/>
              <w:t>Eq. 2</w:t>
            </w:r>
          </w:p>
          <w:p w14:paraId="1CE9B421" w14:textId="77777777" w:rsidR="00B24B51" w:rsidRDefault="00B24B51" w:rsidP="00B24B51">
            <w:pPr>
              <w:spacing w:line="240" w:lineRule="auto"/>
              <w:ind w:left="720"/>
              <w:rPr>
                <w:iCs/>
              </w:rPr>
            </w:pPr>
            <w:r>
              <w:t>where</w:t>
            </w:r>
            <w:r w:rsidRPr="007450A6">
              <w:t xml:space="preserve"> Φ </w:t>
            </w:r>
            <w:r>
              <w:t>is</w:t>
            </w:r>
            <w:r w:rsidRPr="007450A6">
              <w:t xml:space="preserve"> the standard</w:t>
            </w:r>
            <w:r>
              <w:t xml:space="preserve"> cumulative normal distribution; and, </w:t>
            </w:r>
            <w:proofErr w:type="spellStart"/>
            <w:r w:rsidRPr="007450A6">
              <w:t>σ</w:t>
            </w:r>
            <w:r>
              <w:rPr>
                <w:i/>
                <w:vertAlign w:val="subscript"/>
              </w:rPr>
              <w:t>Log</w:t>
            </w:r>
            <w:proofErr w:type="spellEnd"/>
            <w:r>
              <w:rPr>
                <w:i/>
                <w:vertAlign w:val="subscript"/>
              </w:rPr>
              <w:t>(D</w:t>
            </w:r>
            <w:r w:rsidRPr="003744C8">
              <w:rPr>
                <w:i/>
                <w:vertAlign w:val="subscript"/>
              </w:rPr>
              <w:t>H</w:t>
            </w:r>
            <w:r>
              <w:rPr>
                <w:i/>
                <w:vertAlign w:val="subscript"/>
              </w:rPr>
              <w:t xml:space="preserve">) </w:t>
            </w:r>
            <w:r>
              <w:t xml:space="preserve">is the standard deviation of the predicted variable and </w:t>
            </w:r>
            <w:r w:rsidRPr="007450A6">
              <w:rPr>
                <w:iCs/>
                <w:position w:val="-12"/>
              </w:rPr>
              <w:object w:dxaOrig="960" w:dyaOrig="400" w14:anchorId="7D10C8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pt;height:17.65pt" o:ole="">
                  <v:imagedata r:id="rId12" o:title=""/>
                </v:shape>
                <o:OLEObject Type="Embed" ProgID="Equation.DSMT4" ShapeID="_x0000_i1025" DrawAspect="Content" ObjectID="_1611639225" r:id="rId13"/>
              </w:object>
            </w:r>
            <w:r w:rsidRPr="007450A6">
              <w:rPr>
                <w:iCs/>
              </w:rPr>
              <w:t xml:space="preserve"> is the </w:t>
            </w:r>
            <w:r>
              <w:rPr>
                <w:iCs/>
              </w:rPr>
              <w:t>mean</w:t>
            </w:r>
            <w:r w:rsidRPr="007450A6">
              <w:rPr>
                <w:iCs/>
              </w:rPr>
              <w:t xml:space="preserve"> value of the logarithm of the lateral spread displacement (</w:t>
            </w:r>
            <w:r w:rsidRPr="007450A6">
              <w:rPr>
                <w:i/>
                <w:iCs/>
              </w:rPr>
              <w:t>D</w:t>
            </w:r>
            <w:r w:rsidRPr="007450A6">
              <w:rPr>
                <w:i/>
                <w:iCs/>
                <w:vertAlign w:val="subscript"/>
              </w:rPr>
              <w:t>H</w:t>
            </w:r>
            <w:r w:rsidRPr="007450A6">
              <w:rPr>
                <w:iCs/>
              </w:rPr>
              <w:t xml:space="preserve"> is in meters)</w:t>
            </w:r>
            <w:r>
              <w:rPr>
                <w:iCs/>
              </w:rPr>
              <w:t xml:space="preserve"> predicted from the respective MLR model (</w:t>
            </w:r>
            <w:proofErr w:type="spellStart"/>
            <w:r>
              <w:rPr>
                <w:iCs/>
              </w:rPr>
              <w:t>Youd</w:t>
            </w:r>
            <w:proofErr w:type="spellEnd"/>
            <w:r>
              <w:rPr>
                <w:iCs/>
              </w:rPr>
              <w:t xml:space="preserve"> at al. 2002, </w:t>
            </w:r>
            <w:proofErr w:type="spellStart"/>
            <w:r>
              <w:rPr>
                <w:iCs/>
              </w:rPr>
              <w:t>Gillins</w:t>
            </w:r>
            <w:proofErr w:type="spellEnd"/>
            <w:r>
              <w:rPr>
                <w:iCs/>
              </w:rPr>
              <w:t xml:space="preserve"> and Bartlett, 2013).</w:t>
            </w:r>
          </w:p>
          <w:p w14:paraId="4CB00651" w14:textId="77777777" w:rsidR="00B24B51" w:rsidRDefault="00B24B51" w:rsidP="00B24B51">
            <w:pPr>
              <w:spacing w:line="240" w:lineRule="auto"/>
              <w:ind w:left="720"/>
            </w:pPr>
            <w:r>
              <w:t>To join the logistic model with the MLR displacement model, we propose the following conditional probability statement:</w:t>
            </w:r>
          </w:p>
          <w:p w14:paraId="17EF3156" w14:textId="77777777" w:rsidR="00B24B51" w:rsidRDefault="00B24B51" w:rsidP="00B24B51">
            <w:pPr>
              <w:spacing w:line="240" w:lineRule="auto"/>
              <w:ind w:left="720"/>
              <w:jc w:val="right"/>
            </w:pPr>
            <w:r w:rsidRPr="004850C9">
              <w:rPr>
                <w:rFonts w:ascii="Times New Roman" w:hAnsi="Times New Roman"/>
                <w:i/>
              </w:rPr>
              <w:t>P</w:t>
            </w:r>
            <w:r w:rsidRPr="004850C9">
              <w:rPr>
                <w:rFonts w:ascii="Times New Roman" w:hAnsi="Times New Roman"/>
              </w:rPr>
              <w:t>[</w:t>
            </w:r>
            <w:r w:rsidRPr="004850C9">
              <w:rPr>
                <w:rFonts w:ascii="Times New Roman" w:hAnsi="Times New Roman"/>
                <w:i/>
              </w:rPr>
              <w:t>D</w:t>
            </w:r>
            <w:r w:rsidRPr="004850C9">
              <w:rPr>
                <w:rFonts w:ascii="Times New Roman" w:hAnsi="Times New Roman"/>
                <w:i/>
                <w:vertAlign w:val="subscript"/>
              </w:rPr>
              <w:t>H</w:t>
            </w:r>
            <w:r w:rsidRPr="004850C9">
              <w:rPr>
                <w:rFonts w:ascii="Times New Roman" w:hAnsi="Times New Roman"/>
                <w:i/>
              </w:rPr>
              <w:t xml:space="preserve"> &gt; y</w:t>
            </w:r>
            <w:r w:rsidRPr="004850C9">
              <w:rPr>
                <w:rFonts w:ascii="Times New Roman" w:hAnsi="Times New Roman"/>
              </w:rPr>
              <w:t>]</w:t>
            </w:r>
            <w:r w:rsidRPr="004850C9">
              <w:rPr>
                <w:rFonts w:ascii="Times New Roman" w:hAnsi="Times New Roman"/>
                <w:i/>
              </w:rPr>
              <w:t xml:space="preserve"> = P</w:t>
            </w:r>
            <w:r w:rsidRPr="004850C9">
              <w:rPr>
                <w:rFonts w:ascii="Times New Roman" w:hAnsi="Times New Roman"/>
              </w:rPr>
              <w:t>[</w:t>
            </w:r>
            <w:r w:rsidRPr="004850C9">
              <w:rPr>
                <w:rFonts w:ascii="Times New Roman" w:hAnsi="Times New Roman"/>
                <w:i/>
              </w:rPr>
              <w:t>D</w:t>
            </w:r>
            <w:r w:rsidRPr="004850C9">
              <w:rPr>
                <w:rFonts w:ascii="Times New Roman" w:hAnsi="Times New Roman"/>
                <w:i/>
                <w:vertAlign w:val="subscript"/>
              </w:rPr>
              <w:t>H</w:t>
            </w:r>
            <w:r w:rsidRPr="004850C9">
              <w:rPr>
                <w:rFonts w:ascii="Times New Roman" w:hAnsi="Times New Roman"/>
                <w:i/>
              </w:rPr>
              <w:t xml:space="preserve"> &gt; d | </w:t>
            </w:r>
            <w:proofErr w:type="spellStart"/>
            <w:r w:rsidRPr="004850C9">
              <w:rPr>
                <w:rFonts w:ascii="Times New Roman" w:hAnsi="Times New Roman"/>
                <w:i/>
              </w:rPr>
              <w:t>L</w:t>
            </w:r>
            <w:r w:rsidRPr="004850C9">
              <w:rPr>
                <w:rFonts w:ascii="Times New Roman" w:hAnsi="Times New Roman"/>
                <w:i/>
                <w:vertAlign w:val="subscript"/>
              </w:rPr>
              <w:t>s</w:t>
            </w:r>
            <w:proofErr w:type="spellEnd"/>
            <w:r w:rsidRPr="004850C9">
              <w:rPr>
                <w:rFonts w:ascii="Times New Roman" w:hAnsi="Times New Roman"/>
              </w:rPr>
              <w:t>]</w:t>
            </w:r>
            <w:r w:rsidRPr="004850C9">
              <w:rPr>
                <w:rFonts w:ascii="Times New Roman" w:hAnsi="Times New Roman"/>
                <w:i/>
              </w:rPr>
              <w:t xml:space="preserve"> · P</w:t>
            </w:r>
            <w:r w:rsidRPr="004850C9">
              <w:rPr>
                <w:rFonts w:ascii="Times New Roman" w:hAnsi="Times New Roman"/>
              </w:rPr>
              <w:t>[</w:t>
            </w:r>
            <w:proofErr w:type="spellStart"/>
            <w:r w:rsidRPr="004850C9">
              <w:rPr>
                <w:rFonts w:ascii="Times New Roman" w:hAnsi="Times New Roman"/>
                <w:i/>
              </w:rPr>
              <w:t>L</w:t>
            </w:r>
            <w:r w:rsidRPr="004850C9">
              <w:rPr>
                <w:rFonts w:ascii="Times New Roman" w:hAnsi="Times New Roman"/>
                <w:i/>
                <w:vertAlign w:val="subscript"/>
              </w:rPr>
              <w:t>s</w:t>
            </w:r>
            <w:proofErr w:type="spellEnd"/>
            <w:r w:rsidRPr="004850C9">
              <w:rPr>
                <w:rFonts w:ascii="Times New Roman" w:hAnsi="Times New Roman"/>
                <w:i/>
              </w:rPr>
              <w:t xml:space="preserve"> | F, PI, SI, T, </w:t>
            </w:r>
            <w:r w:rsidRPr="004850C9">
              <w:rPr>
                <w:rFonts w:ascii="Times New Roman" w:hAnsi="Times New Roman"/>
                <w:i/>
                <w:noProof/>
              </w:rPr>
              <w:t>D, Z,</w:t>
            </w:r>
            <w:r w:rsidRPr="004850C9">
              <w:rPr>
                <w:rFonts w:ascii="Times New Roman" w:hAnsi="Times New Roman"/>
                <w:i/>
              </w:rPr>
              <w:t xml:space="preserve"> </w:t>
            </w:r>
            <w:r>
              <w:rPr>
                <w:rFonts w:ascii="Times New Roman" w:hAnsi="Times New Roman"/>
                <w:i/>
              </w:rPr>
              <w:t xml:space="preserve">G, </w:t>
            </w:r>
            <w:r w:rsidRPr="004850C9">
              <w:rPr>
                <w:rFonts w:ascii="Times New Roman" w:hAnsi="Times New Roman"/>
                <w:i/>
              </w:rPr>
              <w:t>R, M</w:t>
            </w:r>
            <w:r w:rsidRPr="004850C9">
              <w:rPr>
                <w:rFonts w:ascii="Times New Roman" w:hAnsi="Times New Roman"/>
                <w:i/>
                <w:vertAlign w:val="subscript"/>
              </w:rPr>
              <w:t>w</w:t>
            </w:r>
            <w:r w:rsidRPr="004850C9">
              <w:rPr>
                <w:rFonts w:ascii="Times New Roman" w:hAnsi="Times New Roman"/>
                <w:i/>
              </w:rPr>
              <w:t xml:space="preserve">, </w:t>
            </w:r>
            <w:proofErr w:type="spellStart"/>
            <w:r w:rsidRPr="004850C9">
              <w:rPr>
                <w:rFonts w:ascii="Times New Roman" w:hAnsi="Times New Roman"/>
                <w:i/>
              </w:rPr>
              <w:t>X</w:t>
            </w:r>
            <w:r w:rsidRPr="004850C9">
              <w:rPr>
                <w:rFonts w:ascii="Times New Roman" w:hAnsi="Times New Roman"/>
                <w:i/>
                <w:vertAlign w:val="subscript"/>
              </w:rPr>
              <w:t>n</w:t>
            </w:r>
            <w:proofErr w:type="spellEnd"/>
            <w:r w:rsidRPr="004850C9">
              <w:rPr>
                <w:rFonts w:ascii="Times New Roman" w:hAnsi="Times New Roman"/>
              </w:rPr>
              <w:t>]</w:t>
            </w:r>
            <w:r>
              <w:tab/>
            </w:r>
            <w:r>
              <w:tab/>
            </w:r>
            <w:r>
              <w:tab/>
              <w:t>Eq. 3</w:t>
            </w:r>
          </w:p>
          <w:p w14:paraId="33923A69" w14:textId="119757A0" w:rsidR="00B24B51" w:rsidRDefault="00B24B51" w:rsidP="00B24B51">
            <w:pPr>
              <w:spacing w:line="240" w:lineRule="auto"/>
              <w:ind w:left="720"/>
            </w:pPr>
            <w:r>
              <w:t xml:space="preserve">This conditional probability statement has a distinct advantage over previous approaches by </w:t>
            </w:r>
            <w:r w:rsidRPr="00F757F7">
              <w:rPr>
                <w:noProof/>
              </w:rPr>
              <w:t>defini</w:t>
            </w:r>
            <w:r>
              <w:rPr>
                <w:noProof/>
              </w:rPr>
              <w:t>ng</w:t>
            </w:r>
            <w:r>
              <w:t xml:space="preserve"> factors or conditions that are correlated with the occurrence of lateral spread (i.e., screening criteria) with the prediction of </w:t>
            </w:r>
            <w:r w:rsidRPr="004850C9">
              <w:rPr>
                <w:rFonts w:ascii="Times New Roman" w:hAnsi="Times New Roman"/>
                <w:i/>
              </w:rPr>
              <w:t>D</w:t>
            </w:r>
            <w:r w:rsidRPr="004850C9">
              <w:rPr>
                <w:rFonts w:ascii="Times New Roman" w:hAnsi="Times New Roman"/>
                <w:i/>
                <w:vertAlign w:val="subscript"/>
              </w:rPr>
              <w:t>H</w:t>
            </w:r>
            <w:r>
              <w:t xml:space="preserve">. Because the proposed approach is fundamentally probabilistic, it can more rigorously deal with uncertainty in the various input factors.  For example, Bartlett and </w:t>
            </w:r>
            <w:proofErr w:type="spellStart"/>
            <w:r>
              <w:t>Youd</w:t>
            </w:r>
            <w:proofErr w:type="spellEnd"/>
            <w:r>
              <w:t xml:space="preserve"> (1992; 1995) showed that relatively loose</w:t>
            </w:r>
            <w:r w:rsidRPr="00F757F7">
              <w:rPr>
                <w:noProof/>
              </w:rPr>
              <w:t>, saturated, sandy</w:t>
            </w:r>
            <w:r>
              <w:t xml:space="preserve"> deposits are required to generate lateral spread. They proposed that such sediments generally have SPT N1</w:t>
            </w:r>
            <w:r w:rsidRPr="005E5F42">
              <w:rPr>
                <w:vertAlign w:val="subscript"/>
              </w:rPr>
              <w:t>60</w:t>
            </w:r>
            <w:r>
              <w:t xml:space="preserve"> values less than 10 and almost always have SPT N1</w:t>
            </w:r>
            <w:r w:rsidRPr="005E5F42">
              <w:rPr>
                <w:vertAlign w:val="subscript"/>
              </w:rPr>
              <w:t>60</w:t>
            </w:r>
            <w:r>
              <w:t xml:space="preserve"> </w:t>
            </w:r>
            <w:r w:rsidRPr="00D766C3">
              <w:rPr>
                <w:noProof/>
              </w:rPr>
              <w:t>less</w:t>
            </w:r>
            <w:r>
              <w:t xml:space="preserve"> than 15. However, if the SPT N1</w:t>
            </w:r>
            <w:r w:rsidRPr="005E5F42">
              <w:rPr>
                <w:vertAlign w:val="subscript"/>
              </w:rPr>
              <w:t>60</w:t>
            </w:r>
            <w:r>
              <w:t xml:space="preserve"> values slightly exceed 15, is it still possible to generate lateral spread under certain conditions (e.g., close-by, large magnitude earthquakes)? Although the probability may be small, it is not zero. Conversely, if a borehole at a site has a saturated sandy layer with SPT N1</w:t>
            </w:r>
            <w:r w:rsidRPr="005E5F42">
              <w:rPr>
                <w:vertAlign w:val="subscript"/>
              </w:rPr>
              <w:t>60</w:t>
            </w:r>
            <w:r>
              <w:t xml:space="preserve"> values less than 15, the likelihood of lateral spread has increased, but its occurrence is not certain. Therefore, the logistic model will allow for the quantification of this probability by including the combined influence of other important independent variables.</w:t>
            </w:r>
          </w:p>
          <w:p w14:paraId="0BD7945B" w14:textId="77777777" w:rsidR="00B24B51" w:rsidRDefault="00B24B51" w:rsidP="00B24B51">
            <w:pPr>
              <w:spacing w:line="240" w:lineRule="auto"/>
              <w:ind w:left="720"/>
            </w:pPr>
            <w:proofErr w:type="spellStart"/>
            <w:r>
              <w:t>Gillins</w:t>
            </w:r>
            <w:proofErr w:type="spellEnd"/>
            <w:r>
              <w:t xml:space="preserve"> (2012) has proposed that Eq. 3 be conditioned on the probability of liquefaction, </w:t>
            </w:r>
            <w:r w:rsidRPr="004850C9">
              <w:rPr>
                <w:rFonts w:ascii="Times New Roman" w:hAnsi="Times New Roman"/>
                <w:i/>
              </w:rPr>
              <w:t>L</w:t>
            </w:r>
            <w:r>
              <w:rPr>
                <w:rFonts w:ascii="Times New Roman" w:hAnsi="Times New Roman"/>
              </w:rPr>
              <w:t>,</w:t>
            </w:r>
            <w:r>
              <w:t xml:space="preserve"> and not the probability of lateral spread, </w:t>
            </w:r>
            <w:proofErr w:type="spellStart"/>
            <w:r w:rsidRPr="004850C9">
              <w:rPr>
                <w:rFonts w:ascii="Times New Roman" w:hAnsi="Times New Roman"/>
                <w:i/>
              </w:rPr>
              <w:t>L</w:t>
            </w:r>
            <w:r w:rsidRPr="004850C9">
              <w:rPr>
                <w:rFonts w:ascii="Times New Roman" w:hAnsi="Times New Roman"/>
                <w:i/>
                <w:vertAlign w:val="subscript"/>
              </w:rPr>
              <w:t>s</w:t>
            </w:r>
            <w:proofErr w:type="spellEnd"/>
            <w:r>
              <w:t xml:space="preserve">. </w:t>
            </w:r>
          </w:p>
          <w:p w14:paraId="6863221A" w14:textId="77777777" w:rsidR="00B24B51" w:rsidRDefault="00B24B51" w:rsidP="00B24B51">
            <w:pPr>
              <w:spacing w:line="240" w:lineRule="auto"/>
              <w:ind w:left="3960" w:firstLine="360"/>
              <w:jc w:val="right"/>
            </w:pPr>
            <m:oMath>
              <m:r>
                <w:rPr>
                  <w:rFonts w:ascii="Cambria Math"/>
                </w:rPr>
                <m:t>P[</m:t>
              </m:r>
              <m:sSub>
                <m:sSubPr>
                  <m:ctrlPr>
                    <w:rPr>
                      <w:rFonts w:ascii="Cambria Math" w:hAnsi="Cambria Math"/>
                      <w:i/>
                    </w:rPr>
                  </m:ctrlPr>
                </m:sSubPr>
                <m:e>
                  <m:r>
                    <w:rPr>
                      <w:rFonts w:ascii="Cambria Math"/>
                    </w:rPr>
                    <m:t>D</m:t>
                  </m:r>
                </m:e>
                <m:sub>
                  <m:r>
                    <w:rPr>
                      <w:rFonts w:ascii="Cambria Math"/>
                    </w:rPr>
                    <m:t>H</m:t>
                  </m:r>
                </m:sub>
              </m:sSub>
              <m:r>
                <w:rPr>
                  <w:rFonts w:ascii="Cambria Math"/>
                </w:rPr>
                <m:t>&gt;y]=P[</m:t>
              </m:r>
              <m:sSub>
                <m:sSubPr>
                  <m:ctrlPr>
                    <w:rPr>
                      <w:rFonts w:ascii="Cambria Math" w:hAnsi="Cambria Math"/>
                      <w:i/>
                    </w:rPr>
                  </m:ctrlPr>
                </m:sSubPr>
                <m:e>
                  <m:r>
                    <w:rPr>
                      <w:rFonts w:ascii="Cambria Math"/>
                    </w:rPr>
                    <m:t>D</m:t>
                  </m:r>
                </m:e>
                <m:sub>
                  <m:r>
                    <w:rPr>
                      <w:rFonts w:ascii="Cambria Math"/>
                    </w:rPr>
                    <m:t>H</m:t>
                  </m:r>
                </m:sub>
              </m:sSub>
              <m:r>
                <w:rPr>
                  <w:rFonts w:ascii="Cambria Math"/>
                </w:rPr>
                <m:t>&gt;y|L]</m:t>
              </m:r>
              <m:r>
                <w:rPr>
                  <w:rFonts w:ascii="Cambria Math" w:hAnsi="Cambria Math" w:cs="Cambria Math"/>
                </w:rPr>
                <m:t>⋅</m:t>
              </m:r>
              <m:sSub>
                <m:sSubPr>
                  <m:ctrlPr>
                    <w:rPr>
                      <w:rFonts w:ascii="Cambria Math" w:hAnsi="Cambria Math"/>
                      <w:i/>
                    </w:rPr>
                  </m:ctrlPr>
                </m:sSubPr>
                <m:e>
                  <m:r>
                    <w:rPr>
                      <w:rFonts w:ascii="Cambria Math"/>
                    </w:rPr>
                    <m:t>P</m:t>
                  </m:r>
                </m:e>
                <m:sub>
                  <m:r>
                    <w:rPr>
                      <w:rFonts w:ascii="Cambria Math"/>
                    </w:rPr>
                    <m:t>L</m:t>
                  </m:r>
                </m:sub>
              </m:sSub>
            </m:oMath>
            <w:r>
              <w:t xml:space="preserve"> </w:t>
            </w:r>
            <w:r>
              <w:tab/>
            </w:r>
            <w:r>
              <w:tab/>
            </w:r>
            <w:r>
              <w:tab/>
            </w:r>
            <w:r>
              <w:tab/>
            </w:r>
            <w:r>
              <w:tab/>
              <w:t>Eq. 4</w:t>
            </w:r>
          </w:p>
          <w:p w14:paraId="3E201E61" w14:textId="77777777" w:rsidR="00B24B51" w:rsidRDefault="00B24B51" w:rsidP="00B24B51">
            <w:pPr>
              <w:spacing w:line="240" w:lineRule="auto"/>
              <w:ind w:left="720"/>
            </w:pPr>
            <w:r>
              <w:t xml:space="preserve">While this equation is often used for performing probabilistic-based lateral spread evaluations that are coupled with probabilistic liquefaction triggering evaluations and probabilistic seismic hazard analysis (PSHA), Eq. 4 is not necessary as long as Eq. 3 contains independent variables that are correlated with the occurrence of lateral spread and liquefaction. The use of Eq. 3 instead of Eq. 4 in the final probability chain is similar to the approach taken by </w:t>
            </w:r>
            <w:proofErr w:type="spellStart"/>
            <w:r w:rsidRPr="004850C9">
              <w:t>Franke</w:t>
            </w:r>
            <w:proofErr w:type="spellEnd"/>
            <w:r w:rsidRPr="004850C9">
              <w:t xml:space="preserve"> and Kramer (2014)</w:t>
            </w:r>
            <w:r>
              <w:t xml:space="preserve"> in developing their predictive equations for lateral spread displacement. These authors </w:t>
            </w:r>
            <w:r w:rsidRPr="004850C9">
              <w:t>introduced a performance-based procedure</w:t>
            </w:r>
            <w:r>
              <w:t xml:space="preserve"> built</w:t>
            </w:r>
            <w:r w:rsidRPr="004850C9">
              <w:t xml:space="preserve"> upon </w:t>
            </w:r>
            <w:r>
              <w:t xml:space="preserve">a </w:t>
            </w:r>
            <w:r w:rsidRPr="004850C9">
              <w:t>probabilistic framework to compute the mean annual</w:t>
            </w:r>
            <w:r>
              <w:t xml:space="preserve"> </w:t>
            </w:r>
            <w:r w:rsidRPr="004850C9">
              <w:t>rate of exceeding some lateral spread displacement</w:t>
            </w:r>
            <w:r>
              <w:t xml:space="preserve"> (i.e.,</w:t>
            </w:r>
            <w:r w:rsidRPr="004850C9">
              <w:t xml:space="preserve"> </w:t>
            </w:r>
            <w:r w:rsidRPr="004850C9">
              <w:rPr>
                <w:rFonts w:ascii="Times New Roman" w:hAnsi="Times New Roman"/>
                <w:i/>
              </w:rPr>
              <w:t>D</w:t>
            </w:r>
            <w:r w:rsidRPr="004850C9">
              <w:rPr>
                <w:rFonts w:ascii="Times New Roman" w:hAnsi="Times New Roman"/>
                <w:i/>
                <w:vertAlign w:val="subscript"/>
              </w:rPr>
              <w:t>H</w:t>
            </w:r>
            <w:r>
              <w:rPr>
                <w:vertAlign w:val="subscript"/>
              </w:rPr>
              <w:t xml:space="preserve"> </w:t>
            </w:r>
            <w:r>
              <w:t xml:space="preserve">&gt; </w:t>
            </w:r>
            <w:r w:rsidRPr="004850C9">
              <w:rPr>
                <w:rFonts w:ascii="Times New Roman" w:hAnsi="Times New Roman"/>
                <w:i/>
              </w:rPr>
              <w:t>d</w:t>
            </w:r>
            <w:r>
              <w:t>)</w:t>
            </w:r>
            <w:r w:rsidRPr="004850C9">
              <w:t xml:space="preserve">. Their </w:t>
            </w:r>
            <w:r>
              <w:t xml:space="preserve">approach </w:t>
            </w:r>
            <w:r w:rsidRPr="004850C9">
              <w:t xml:space="preserve">modifies the </w:t>
            </w:r>
            <w:proofErr w:type="spellStart"/>
            <w:r w:rsidRPr="004850C9">
              <w:t>Youd</w:t>
            </w:r>
            <w:proofErr w:type="spellEnd"/>
            <w:r w:rsidRPr="004850C9">
              <w:t xml:space="preserve"> et al. (2002) model by grouping together all of the</w:t>
            </w:r>
            <w:r>
              <w:t xml:space="preserve"> </w:t>
            </w:r>
            <w:r w:rsidRPr="004850C9">
              <w:t xml:space="preserve">model variables related to seismic loading (i.e., </w:t>
            </w:r>
            <w:r w:rsidRPr="004850C9">
              <w:rPr>
                <w:rFonts w:ascii="Times New Roman" w:hAnsi="Times New Roman"/>
                <w:i/>
              </w:rPr>
              <w:t>M</w:t>
            </w:r>
            <w:r w:rsidRPr="004850C9">
              <w:rPr>
                <w:rFonts w:ascii="Times New Roman" w:hAnsi="Times New Roman"/>
                <w:i/>
                <w:vertAlign w:val="subscript"/>
              </w:rPr>
              <w:t>W</w:t>
            </w:r>
            <w:r w:rsidRPr="004850C9">
              <w:t xml:space="preserve"> and </w:t>
            </w:r>
            <w:r w:rsidRPr="004850C9">
              <w:rPr>
                <w:rFonts w:ascii="Times New Roman" w:hAnsi="Times New Roman"/>
                <w:i/>
              </w:rPr>
              <w:t>R</w:t>
            </w:r>
            <w:r w:rsidRPr="004850C9">
              <w:t>) and designating</w:t>
            </w:r>
            <w:r>
              <w:t xml:space="preserve"> </w:t>
            </w:r>
            <w:r w:rsidRPr="004850C9">
              <w:t xml:space="preserve">them as </w:t>
            </w:r>
            <w:r>
              <w:t xml:space="preserve">an </w:t>
            </w:r>
            <w:r w:rsidRPr="004850C9">
              <w:t xml:space="preserve">apparent loading parameter, </w:t>
            </w:r>
            <w:r w:rsidRPr="004850C9">
              <w:rPr>
                <w:rFonts w:ascii="Brush Script MT" w:hAnsi="Brush Script MT"/>
              </w:rPr>
              <w:t>L</w:t>
            </w:r>
            <w:r w:rsidRPr="004850C9">
              <w:t xml:space="preserve">. Because </w:t>
            </w:r>
            <w:r w:rsidRPr="004850C9">
              <w:rPr>
                <w:rFonts w:ascii="Brush Script MT" w:hAnsi="Brush Script MT"/>
              </w:rPr>
              <w:t>L</w:t>
            </w:r>
            <w:r w:rsidRPr="004850C9">
              <w:t xml:space="preserve"> is a</w:t>
            </w:r>
            <w:r>
              <w:t xml:space="preserve"> </w:t>
            </w:r>
            <w:r w:rsidRPr="004850C9">
              <w:t xml:space="preserve">function of parameters </w:t>
            </w:r>
            <w:r w:rsidRPr="004850C9">
              <w:rPr>
                <w:rFonts w:ascii="Times New Roman" w:hAnsi="Times New Roman"/>
                <w:i/>
              </w:rPr>
              <w:t>M</w:t>
            </w:r>
            <w:r w:rsidRPr="004850C9">
              <w:rPr>
                <w:rFonts w:ascii="Times New Roman" w:hAnsi="Times New Roman"/>
                <w:i/>
                <w:vertAlign w:val="subscript"/>
              </w:rPr>
              <w:t>W</w:t>
            </w:r>
            <w:r w:rsidRPr="004850C9">
              <w:t xml:space="preserve"> and </w:t>
            </w:r>
            <w:r w:rsidRPr="004850C9">
              <w:rPr>
                <w:rFonts w:ascii="Times New Roman" w:hAnsi="Times New Roman"/>
                <w:i/>
              </w:rPr>
              <w:t>R</w:t>
            </w:r>
            <w:r w:rsidRPr="004850C9">
              <w:t>, it is analogous to a ground motion</w:t>
            </w:r>
            <w:r>
              <w:t xml:space="preserve"> </w:t>
            </w:r>
            <w:r w:rsidRPr="004850C9">
              <w:t>attenuation relationship and can be treated in a similar manner</w:t>
            </w:r>
            <w:r>
              <w:t xml:space="preserve"> (</w:t>
            </w:r>
            <w:proofErr w:type="spellStart"/>
            <w:r w:rsidRPr="004850C9">
              <w:t>Sharifi</w:t>
            </w:r>
            <w:proofErr w:type="spellEnd"/>
            <w:r w:rsidRPr="004850C9">
              <w:t>-Mood</w:t>
            </w:r>
            <w:r>
              <w:t xml:space="preserve"> et al., 2018)</w:t>
            </w:r>
            <w:r w:rsidRPr="004850C9">
              <w:t xml:space="preserve">. </w:t>
            </w:r>
            <w:r>
              <w:rPr>
                <w:noProof/>
              </w:rPr>
              <w:t xml:space="preserve">Therefore, we propose that </w:t>
            </w:r>
            <w:r>
              <w:t xml:space="preserve">Eq. 5 can be used either deterministically for a given earthquake and source distance, or combined with PHSA to </w:t>
            </w:r>
            <w:r w:rsidRPr="004850C9">
              <w:rPr>
                <w:noProof/>
              </w:rPr>
              <w:t>p</w:t>
            </w:r>
            <w:r>
              <w:rPr>
                <w:noProof/>
              </w:rPr>
              <w:t xml:space="preserve">erform probabilistic </w:t>
            </w:r>
            <w:r>
              <w:t xml:space="preserve">mapping and performance-based </w:t>
            </w:r>
            <w:r w:rsidRPr="004850C9">
              <w:rPr>
                <w:noProof/>
              </w:rPr>
              <w:t>assessments</w:t>
            </w:r>
            <w:r>
              <w:rPr>
                <w:noProof/>
              </w:rPr>
              <w:t>:</w:t>
            </w:r>
          </w:p>
          <w:p w14:paraId="713A4E65" w14:textId="77777777" w:rsidR="00B24B51" w:rsidRDefault="00B24B51" w:rsidP="00B24B51">
            <w:pPr>
              <w:spacing w:line="240" w:lineRule="auto"/>
              <w:ind w:left="720"/>
              <w:jc w:val="right"/>
            </w:pPr>
            <w:r>
              <w:t xml:space="preserve"> </w:t>
            </w:r>
            <w:r>
              <w:tab/>
            </w:r>
            <w:r>
              <w:tab/>
            </w:r>
            <w:r>
              <w:tab/>
            </w:r>
            <w:r w:rsidRPr="004850C9">
              <w:rPr>
                <w:rFonts w:ascii="Times New Roman" w:hAnsi="Times New Roman"/>
                <w:i/>
              </w:rPr>
              <w:t>P</w:t>
            </w:r>
            <w:r w:rsidRPr="004850C9">
              <w:rPr>
                <w:rFonts w:ascii="Times New Roman" w:hAnsi="Times New Roman"/>
              </w:rPr>
              <w:t>[</w:t>
            </w:r>
            <w:r w:rsidRPr="004850C9">
              <w:rPr>
                <w:rFonts w:ascii="Times New Roman" w:hAnsi="Times New Roman"/>
                <w:i/>
              </w:rPr>
              <w:t>D</w:t>
            </w:r>
            <w:r w:rsidRPr="004850C9">
              <w:rPr>
                <w:rFonts w:ascii="Times New Roman" w:hAnsi="Times New Roman"/>
                <w:i/>
                <w:vertAlign w:val="subscript"/>
              </w:rPr>
              <w:t>H</w:t>
            </w:r>
            <w:r w:rsidRPr="004850C9">
              <w:rPr>
                <w:rFonts w:ascii="Times New Roman" w:hAnsi="Times New Roman"/>
                <w:i/>
              </w:rPr>
              <w:t xml:space="preserve"> &gt; d</w:t>
            </w:r>
            <w:r w:rsidRPr="004850C9">
              <w:rPr>
                <w:rFonts w:ascii="Times New Roman" w:hAnsi="Times New Roman"/>
              </w:rPr>
              <w:t>]</w:t>
            </w:r>
            <w:r w:rsidRPr="004850C9">
              <w:rPr>
                <w:rFonts w:ascii="Times New Roman" w:hAnsi="Times New Roman"/>
                <w:i/>
              </w:rPr>
              <w:t xml:space="preserve"> = </w:t>
            </w:r>
            <w:r w:rsidRPr="004850C9">
              <w:rPr>
                <w:rFonts w:ascii="Times New Roman" w:hAnsi="Times New Roman"/>
              </w:rPr>
              <w:t>[</w:t>
            </w:r>
            <w:r w:rsidRPr="004850C9">
              <w:rPr>
                <w:rFonts w:ascii="Times New Roman" w:hAnsi="Times New Roman"/>
                <w:i/>
              </w:rPr>
              <w:t>D</w:t>
            </w:r>
            <w:r w:rsidRPr="004850C9">
              <w:rPr>
                <w:rFonts w:ascii="Times New Roman" w:hAnsi="Times New Roman"/>
                <w:i/>
                <w:vertAlign w:val="subscript"/>
              </w:rPr>
              <w:t>H</w:t>
            </w:r>
            <w:r w:rsidRPr="004850C9">
              <w:rPr>
                <w:rFonts w:ascii="Times New Roman" w:hAnsi="Times New Roman"/>
                <w:i/>
              </w:rPr>
              <w:t xml:space="preserve"> &gt; d | </w:t>
            </w:r>
            <w:proofErr w:type="spellStart"/>
            <w:r w:rsidRPr="004850C9">
              <w:rPr>
                <w:rFonts w:ascii="Times New Roman" w:hAnsi="Times New Roman"/>
                <w:i/>
              </w:rPr>
              <w:t>L</w:t>
            </w:r>
            <w:r w:rsidRPr="004850C9">
              <w:rPr>
                <w:rFonts w:ascii="Times New Roman" w:hAnsi="Times New Roman"/>
                <w:i/>
                <w:vertAlign w:val="subscript"/>
              </w:rPr>
              <w:t>s</w:t>
            </w:r>
            <w:proofErr w:type="spellEnd"/>
            <w:r w:rsidRPr="004850C9">
              <w:rPr>
                <w:rFonts w:ascii="Times New Roman" w:hAnsi="Times New Roman"/>
              </w:rPr>
              <w:t>]</w:t>
            </w:r>
            <w:r w:rsidRPr="004850C9">
              <w:rPr>
                <w:rFonts w:ascii="Times New Roman" w:hAnsi="Times New Roman"/>
                <w:i/>
              </w:rPr>
              <w:t xml:space="preserve"> ·</w:t>
            </w:r>
            <w:r>
              <w:rPr>
                <w:rFonts w:ascii="Times New Roman" w:hAnsi="Times New Roman"/>
                <w:i/>
              </w:rPr>
              <w:t xml:space="preserve"> </w:t>
            </w:r>
            <w:r w:rsidRPr="004850C9">
              <w:rPr>
                <w:rFonts w:ascii="Times New Roman" w:hAnsi="Times New Roman"/>
                <w:i/>
              </w:rPr>
              <w:t>P</w:t>
            </w:r>
            <w:r w:rsidRPr="004850C9">
              <w:rPr>
                <w:rFonts w:ascii="Times New Roman" w:hAnsi="Times New Roman"/>
              </w:rPr>
              <w:t>[</w:t>
            </w:r>
            <w:proofErr w:type="spellStart"/>
            <w:r w:rsidRPr="004850C9">
              <w:rPr>
                <w:rFonts w:ascii="Times New Roman" w:hAnsi="Times New Roman"/>
                <w:i/>
              </w:rPr>
              <w:t>L</w:t>
            </w:r>
            <w:r w:rsidRPr="004850C9">
              <w:rPr>
                <w:rFonts w:ascii="Times New Roman" w:hAnsi="Times New Roman"/>
                <w:i/>
                <w:vertAlign w:val="subscript"/>
              </w:rPr>
              <w:t>s</w:t>
            </w:r>
            <w:proofErr w:type="spellEnd"/>
            <w:r w:rsidRPr="004850C9">
              <w:rPr>
                <w:rFonts w:ascii="Times New Roman" w:hAnsi="Times New Roman"/>
                <w:i/>
              </w:rPr>
              <w:t xml:space="preserve"> | F, PI, SI, T, </w:t>
            </w:r>
            <w:r w:rsidRPr="004850C9">
              <w:rPr>
                <w:rFonts w:ascii="Times New Roman" w:hAnsi="Times New Roman"/>
                <w:i/>
                <w:noProof/>
              </w:rPr>
              <w:t>D, Z,</w:t>
            </w:r>
            <w:r w:rsidRPr="004850C9">
              <w:rPr>
                <w:rFonts w:ascii="Times New Roman" w:hAnsi="Times New Roman"/>
                <w:i/>
              </w:rPr>
              <w:t xml:space="preserve"> R, M</w:t>
            </w:r>
            <w:r w:rsidRPr="004850C9">
              <w:rPr>
                <w:rFonts w:ascii="Times New Roman" w:hAnsi="Times New Roman"/>
                <w:i/>
                <w:vertAlign w:val="subscript"/>
              </w:rPr>
              <w:t>w</w:t>
            </w:r>
            <w:r w:rsidRPr="004850C9">
              <w:rPr>
                <w:rFonts w:ascii="Times New Roman" w:hAnsi="Times New Roman"/>
                <w:i/>
              </w:rPr>
              <w:t xml:space="preserve">, </w:t>
            </w:r>
            <w:proofErr w:type="spellStart"/>
            <w:r w:rsidRPr="004850C9">
              <w:rPr>
                <w:rFonts w:ascii="Times New Roman" w:hAnsi="Times New Roman"/>
                <w:i/>
              </w:rPr>
              <w:t>X</w:t>
            </w:r>
            <w:r w:rsidRPr="004850C9">
              <w:rPr>
                <w:rFonts w:ascii="Times New Roman" w:hAnsi="Times New Roman"/>
                <w:i/>
                <w:vertAlign w:val="subscript"/>
              </w:rPr>
              <w:t>n</w:t>
            </w:r>
            <w:proofErr w:type="spellEnd"/>
            <w:r w:rsidRPr="004850C9">
              <w:rPr>
                <w:rFonts w:ascii="Times New Roman" w:hAnsi="Times New Roman"/>
              </w:rPr>
              <w:t>]</w:t>
            </w:r>
            <w:r w:rsidRPr="004850C9">
              <w:rPr>
                <w:rFonts w:ascii="Times New Roman" w:hAnsi="Times New Roman"/>
                <w:i/>
              </w:rPr>
              <w:t xml:space="preserve"> ·</w:t>
            </w:r>
            <w:r>
              <w:rPr>
                <w:rFonts w:ascii="Times New Roman" w:hAnsi="Times New Roman"/>
                <w:i/>
              </w:rPr>
              <w:t xml:space="preserve"> </w:t>
            </w:r>
            <w:r w:rsidRPr="004850C9">
              <w:rPr>
                <w:rFonts w:ascii="Times New Roman" w:hAnsi="Times New Roman"/>
                <w:i/>
              </w:rPr>
              <w:t>P</w:t>
            </w:r>
            <w:r w:rsidRPr="004850C9">
              <w:rPr>
                <w:rFonts w:ascii="Times New Roman" w:hAnsi="Times New Roman"/>
              </w:rPr>
              <w:t>[</w:t>
            </w:r>
            <w:r w:rsidRPr="004850C9">
              <w:rPr>
                <w:rFonts w:ascii="Times New Roman" w:hAnsi="Times New Roman"/>
                <w:i/>
              </w:rPr>
              <w:t>M</w:t>
            </w:r>
            <w:r w:rsidRPr="004850C9">
              <w:rPr>
                <w:rFonts w:ascii="Times New Roman" w:hAnsi="Times New Roman"/>
                <w:i/>
                <w:vertAlign w:val="subscript"/>
              </w:rPr>
              <w:t>w</w:t>
            </w:r>
            <w:r w:rsidRPr="004850C9">
              <w:rPr>
                <w:rFonts w:ascii="Times New Roman" w:hAnsi="Times New Roman"/>
                <w:i/>
              </w:rPr>
              <w:t>, R</w:t>
            </w:r>
            <w:r w:rsidRPr="004850C9">
              <w:rPr>
                <w:rFonts w:ascii="Times New Roman" w:hAnsi="Times New Roman"/>
              </w:rPr>
              <w:t>]</w:t>
            </w:r>
            <w:r>
              <w:tab/>
            </w:r>
            <w:r>
              <w:tab/>
              <w:t>Eq. 5</w:t>
            </w:r>
          </w:p>
          <w:p w14:paraId="64DE6CC1" w14:textId="77777777" w:rsidR="00B24B51" w:rsidRDefault="00B24B51" w:rsidP="00B24B51">
            <w:pPr>
              <w:spacing w:line="240" w:lineRule="auto"/>
              <w:ind w:left="720"/>
            </w:pPr>
            <w:proofErr w:type="gramStart"/>
            <w:r>
              <w:t>where</w:t>
            </w:r>
            <w:proofErr w:type="gramEnd"/>
            <w:r>
              <w:t xml:space="preserve"> the </w:t>
            </w:r>
            <w:r w:rsidRPr="004850C9">
              <w:rPr>
                <w:rFonts w:ascii="Times New Roman" w:hAnsi="Times New Roman"/>
                <w:i/>
              </w:rPr>
              <w:t>P</w:t>
            </w:r>
            <w:r w:rsidRPr="004850C9">
              <w:rPr>
                <w:rFonts w:ascii="Times New Roman" w:hAnsi="Times New Roman"/>
              </w:rPr>
              <w:t>[</w:t>
            </w:r>
            <w:r w:rsidRPr="004850C9">
              <w:rPr>
                <w:rFonts w:ascii="Times New Roman" w:hAnsi="Times New Roman"/>
                <w:i/>
              </w:rPr>
              <w:t>M</w:t>
            </w:r>
            <w:r w:rsidRPr="004850C9">
              <w:rPr>
                <w:rFonts w:ascii="Times New Roman" w:hAnsi="Times New Roman"/>
                <w:i/>
                <w:vertAlign w:val="subscript"/>
              </w:rPr>
              <w:t>w</w:t>
            </w:r>
            <w:r w:rsidRPr="004850C9">
              <w:rPr>
                <w:rFonts w:ascii="Times New Roman" w:hAnsi="Times New Roman"/>
                <w:i/>
              </w:rPr>
              <w:t>, R</w:t>
            </w:r>
            <w:r w:rsidRPr="004850C9">
              <w:rPr>
                <w:rFonts w:ascii="Times New Roman" w:hAnsi="Times New Roman"/>
              </w:rPr>
              <w:t>]</w:t>
            </w:r>
            <w:r>
              <w:rPr>
                <w:rFonts w:ascii="Times New Roman" w:hAnsi="Times New Roman"/>
              </w:rPr>
              <w:t xml:space="preserve"> </w:t>
            </w:r>
            <w:r>
              <w:t>is obtained from the PHSA for each magnitude-distance pair at the grid point of interest. Ultimately, Eq. 5 can be summed across all possible magnitude-distance pairs (</w:t>
            </w:r>
            <w:r w:rsidRPr="004850C9">
              <w:rPr>
                <w:rFonts w:ascii="Times New Roman" w:hAnsi="Times New Roman"/>
                <w:i/>
              </w:rPr>
              <w:t>M</w:t>
            </w:r>
            <w:r w:rsidRPr="004850C9">
              <w:rPr>
                <w:rFonts w:ascii="Times New Roman" w:hAnsi="Times New Roman"/>
                <w:i/>
                <w:vertAlign w:val="subscript"/>
              </w:rPr>
              <w:t>w</w:t>
            </w:r>
            <w:r w:rsidRPr="004850C9">
              <w:rPr>
                <w:rFonts w:ascii="Times New Roman" w:hAnsi="Times New Roman"/>
                <w:i/>
              </w:rPr>
              <w:t>, R</w:t>
            </w:r>
            <w:r>
              <w:t xml:space="preserve">) using the individual probabilities as weights for each magnitude-distance pair at a given grid point to determine the mean annual rate that </w:t>
            </w:r>
            <w:r w:rsidRPr="004850C9">
              <w:rPr>
                <w:rFonts w:ascii="Times New Roman" w:hAnsi="Times New Roman"/>
                <w:i/>
              </w:rPr>
              <w:t>D</w:t>
            </w:r>
            <w:r w:rsidRPr="004850C9">
              <w:rPr>
                <w:rFonts w:ascii="Times New Roman" w:hAnsi="Times New Roman"/>
                <w:i/>
                <w:vertAlign w:val="subscript"/>
              </w:rPr>
              <w:t>H</w:t>
            </w:r>
            <w:r>
              <w:t xml:space="preserve"> exceeds, </w:t>
            </w:r>
            <w:r w:rsidRPr="004850C9">
              <w:rPr>
                <w:rFonts w:ascii="Times New Roman" w:hAnsi="Times New Roman"/>
                <w:i/>
              </w:rPr>
              <w:t>d</w:t>
            </w:r>
            <w:r>
              <w:t xml:space="preserve">. </w:t>
            </w:r>
          </w:p>
          <w:p w14:paraId="43FF0FE4" w14:textId="5AEBD4D9" w:rsidR="00B24B51" w:rsidRDefault="00B24B51" w:rsidP="00B24B51">
            <w:pPr>
              <w:spacing w:line="240" w:lineRule="auto"/>
              <w:ind w:left="720"/>
            </w:pPr>
            <w:r>
              <w:rPr>
                <w:b/>
              </w:rPr>
              <w:lastRenderedPageBreak/>
              <w:t>Influence</w:t>
            </w:r>
            <w:r w:rsidRPr="00BD69E4">
              <w:rPr>
                <w:b/>
              </w:rPr>
              <w:t xml:space="preserve"> of Fines</w:t>
            </w:r>
            <w:r>
              <w:rPr>
                <w:b/>
              </w:rPr>
              <w:t xml:space="preserve"> Content (F)</w:t>
            </w:r>
            <w:r>
              <w:t xml:space="preserve"> – The fines content is that percentage of the soil distribution that is finer than 0.075 mm. Field case histories indicate that fine-grained sediment such as those beneath </w:t>
            </w:r>
            <w:proofErr w:type="spellStart"/>
            <w:r>
              <w:t>Adapazari</w:t>
            </w:r>
            <w:proofErr w:type="spellEnd"/>
            <w:r>
              <w:t xml:space="preserve">, Turkey, although susceptible to liquefaction, </w:t>
            </w:r>
            <w:proofErr w:type="gramStart"/>
            <w:r>
              <w:t>were</w:t>
            </w:r>
            <w:proofErr w:type="gramEnd"/>
            <w:r>
              <w:t xml:space="preserve"> not susceptible to lateral spread. </w:t>
            </w:r>
            <w:r w:rsidRPr="00FF4A82">
              <w:rPr>
                <w:noProof/>
              </w:rPr>
              <w:t>Also</w:t>
            </w:r>
            <w:r>
              <w:rPr>
                <w:noProof/>
              </w:rPr>
              <w:t>,</w:t>
            </w:r>
            <w:r>
              <w:t xml:space="preserve"> clay-like soils appear to be immune to lateral spread. Empirical models based on SPT sampling suggest that lateral displacement decreases markedly with increasing fines content (Bartlett and </w:t>
            </w:r>
            <w:proofErr w:type="spellStart"/>
            <w:r>
              <w:t>Youd</w:t>
            </w:r>
            <w:proofErr w:type="spellEnd"/>
            <w:r>
              <w:t xml:space="preserve"> 1995, </w:t>
            </w:r>
            <w:proofErr w:type="spellStart"/>
            <w:r w:rsidRPr="0025223F">
              <w:t>Youd</w:t>
            </w:r>
            <w:proofErr w:type="spellEnd"/>
            <w:r>
              <w:t xml:space="preserve"> et al., 2002). This finding needs additional definition and confirmation. Predicted lateral spread displacements from CPT methods (e.g., Zhang et al. 2004) do not similarly show the </w:t>
            </w:r>
            <w:r w:rsidRPr="00F757F7">
              <w:rPr>
                <w:noProof/>
              </w:rPr>
              <w:t>impeding</w:t>
            </w:r>
            <w:r>
              <w:t xml:space="preserve"> effects of fine-grained soils on </w:t>
            </w:r>
            <w:r w:rsidRPr="00FF4A82">
              <w:rPr>
                <w:noProof/>
              </w:rPr>
              <w:t>lateral</w:t>
            </w:r>
            <w:r>
              <w:t xml:space="preserve"> spreads. Therefor</w:t>
            </w:r>
            <w:r w:rsidR="00EB68CD">
              <w:t>e</w:t>
            </w:r>
            <w:r>
              <w:t xml:space="preserve">, the influence of fines content on the probability of lateral spread </w:t>
            </w:r>
            <w:r w:rsidRPr="00F757F7">
              <w:rPr>
                <w:noProof/>
              </w:rPr>
              <w:t>need</w:t>
            </w:r>
            <w:r>
              <w:rPr>
                <w:noProof/>
              </w:rPr>
              <w:t>s</w:t>
            </w:r>
            <w:r>
              <w:t xml:space="preserve"> further exploration. </w:t>
            </w:r>
          </w:p>
          <w:p w14:paraId="2B116742" w14:textId="1320F7F6" w:rsidR="00B24B51" w:rsidRDefault="00B24B51" w:rsidP="00B24B51">
            <w:pPr>
              <w:spacing w:line="240" w:lineRule="auto"/>
              <w:ind w:left="720"/>
            </w:pPr>
            <w:r>
              <w:rPr>
                <w:b/>
              </w:rPr>
              <w:t>Influence</w:t>
            </w:r>
            <w:r w:rsidRPr="00BD69E4">
              <w:rPr>
                <w:b/>
              </w:rPr>
              <w:t xml:space="preserve"> of </w:t>
            </w:r>
            <w:r w:rsidRPr="004850C9">
              <w:rPr>
                <w:b/>
                <w:noProof/>
              </w:rPr>
              <w:t>Plasticity</w:t>
            </w:r>
            <w:r>
              <w:rPr>
                <w:b/>
              </w:rPr>
              <w:t xml:space="preserve"> Index (PI)</w:t>
            </w:r>
            <w:r>
              <w:t xml:space="preserve"> – The plasticity index is the liquid limit of the soil minus the </w:t>
            </w:r>
            <w:r w:rsidRPr="00F757F7">
              <w:rPr>
                <w:noProof/>
              </w:rPr>
              <w:t>plastic</w:t>
            </w:r>
            <w:r>
              <w:t xml:space="preserve"> limit of the soil, as defined by </w:t>
            </w:r>
            <w:proofErr w:type="spellStart"/>
            <w:r>
              <w:t>Atterberg</w:t>
            </w:r>
            <w:proofErr w:type="spellEnd"/>
            <w:r>
              <w:t xml:space="preserve"> (</w:t>
            </w:r>
            <w:hyperlink r:id="rId14" w:history="1">
              <w:r w:rsidRPr="00192CBC">
                <w:rPr>
                  <w:rStyle w:val="Hyperlink"/>
                </w:rPr>
                <w:t>https://en.wikipedia.org/wiki/Atterberg_limits</w:t>
              </w:r>
            </w:hyperlink>
            <w:r>
              <w:t xml:space="preserve">). </w:t>
            </w:r>
            <w:r w:rsidRPr="00FF4A82">
              <w:t xml:space="preserve">Monotonic and cyclic </w:t>
            </w:r>
            <w:proofErr w:type="spellStart"/>
            <w:r w:rsidRPr="00FF4A82">
              <w:t>undrained</w:t>
            </w:r>
            <w:proofErr w:type="spellEnd"/>
            <w:r w:rsidRPr="00FF4A82">
              <w:t xml:space="preserve"> loading test data for silts and clays show that they transition, over a fairly narrow range of plasticity indices (PI), from soils that behave more fundamentally like sands (sand-like behavior) to soils that behave more fundamentally like clays (clay-like behavior).  Boulanger and </w:t>
            </w:r>
            <w:proofErr w:type="spellStart"/>
            <w:r w:rsidRPr="00FF4A82">
              <w:t>Idriss</w:t>
            </w:r>
            <w:proofErr w:type="spellEnd"/>
            <w:r w:rsidRPr="00FF4A82">
              <w:t xml:space="preserve"> (2006) propose for practical purposes, clay-like behavior is expected for fine-grained soils that have a plastic</w:t>
            </w:r>
            <w:r w:rsidR="00030EA1">
              <w:t>ity</w:t>
            </w:r>
            <w:r w:rsidRPr="00FF4A82">
              <w:t xml:space="preserve"> index (PI) equal to or greater than 7. Bray and </w:t>
            </w:r>
            <w:proofErr w:type="spellStart"/>
            <w:r w:rsidRPr="00FF4A82">
              <w:t>Sancio</w:t>
            </w:r>
            <w:proofErr w:type="spellEnd"/>
            <w:r w:rsidRPr="00FF4A82">
              <w:t xml:space="preserve"> (2006) concluded that</w:t>
            </w:r>
            <w:r w:rsidRPr="00F757F7">
              <w:rPr>
                <w:rStyle w:val="apple-converted-space"/>
                <w:color w:val="000000"/>
                <w:shd w:val="clear" w:color="auto" w:fill="EFEFEF"/>
              </w:rPr>
              <w:t xml:space="preserve"> l</w:t>
            </w:r>
            <w:r w:rsidRPr="00FF4A82">
              <w:t>oose soils</w:t>
            </w:r>
            <w:r w:rsidRPr="0025223F">
              <w:t xml:space="preserve"> with PI</w:t>
            </w:r>
            <w:r>
              <w:t xml:space="preserve"> &lt; </w:t>
            </w:r>
            <w:r w:rsidRPr="0025223F">
              <w:t>12 and</w:t>
            </w:r>
            <w:r>
              <w:t xml:space="preserve"> </w:t>
            </w:r>
            <w:r w:rsidRPr="00FF4A82">
              <w:rPr>
                <w:i/>
                <w:iCs/>
                <w:noProof/>
              </w:rPr>
              <w:t>wc</w:t>
            </w:r>
            <w:r>
              <w:rPr>
                <w:i/>
                <w:iCs/>
              </w:rPr>
              <w:t xml:space="preserve"> </w:t>
            </w:r>
            <w:r w:rsidRPr="0025223F">
              <w:t>/</w:t>
            </w:r>
            <w:r>
              <w:t xml:space="preserve"> </w:t>
            </w:r>
            <w:r w:rsidRPr="0025223F">
              <w:t>LL</w:t>
            </w:r>
            <w:r>
              <w:t xml:space="preserve">&gt; </w:t>
            </w:r>
            <w:r w:rsidRPr="0025223F">
              <w:t>0.85 were susceptible to liquefaction, and loose soils with 12</w:t>
            </w:r>
            <w:r>
              <w:t xml:space="preserve"> &lt; </w:t>
            </w:r>
            <w:r w:rsidRPr="0025223F">
              <w:t>PI</w:t>
            </w:r>
            <w:r>
              <w:t xml:space="preserve"> &lt; </w:t>
            </w:r>
            <w:r w:rsidRPr="0025223F">
              <w:t xml:space="preserve">18 and </w:t>
            </w:r>
            <w:r w:rsidRPr="00FF4A82">
              <w:rPr>
                <w:i/>
                <w:iCs/>
                <w:noProof/>
              </w:rPr>
              <w:t>wc</w:t>
            </w:r>
            <w:r>
              <w:rPr>
                <w:i/>
                <w:iCs/>
              </w:rPr>
              <w:t xml:space="preserve"> </w:t>
            </w:r>
            <w:r w:rsidRPr="0025223F">
              <w:t>/</w:t>
            </w:r>
            <w:r>
              <w:t xml:space="preserve"> </w:t>
            </w:r>
            <w:r w:rsidRPr="0025223F">
              <w:t>LL</w:t>
            </w:r>
            <w:r>
              <w:t xml:space="preserve"> &gt; </w:t>
            </w:r>
            <w:r w:rsidRPr="0025223F">
              <w:t>0.8 were systematically more resistant to liquefaction. Soils with PI</w:t>
            </w:r>
            <w:r>
              <w:t xml:space="preserve"> &gt; </w:t>
            </w:r>
            <w:r w:rsidRPr="0025223F">
              <w:t>18 tested at low effective confining stresses were not susceptible to liquefaction</w:t>
            </w:r>
            <w:r>
              <w:t xml:space="preserve">. </w:t>
            </w:r>
          </w:p>
          <w:p w14:paraId="55B3291D" w14:textId="77777777" w:rsidR="00B24B51" w:rsidRPr="00B24B51" w:rsidRDefault="00B24B51" w:rsidP="00B24B51">
            <w:pPr>
              <w:pStyle w:val="Heading2"/>
              <w:ind w:left="720"/>
              <w:rPr>
                <w:rFonts w:ascii="Calibri" w:eastAsia="Calibri" w:hAnsi="Calibri" w:cs="Times New Roman"/>
                <w:b w:val="0"/>
                <w:snapToGrid/>
                <w:sz w:val="22"/>
                <w:szCs w:val="22"/>
              </w:rPr>
            </w:pPr>
            <w:r w:rsidRPr="00B24B51">
              <w:rPr>
                <w:rFonts w:ascii="Calibri" w:eastAsia="Calibri" w:hAnsi="Calibri" w:cs="Times New Roman"/>
                <w:snapToGrid/>
                <w:sz w:val="22"/>
                <w:szCs w:val="22"/>
              </w:rPr>
              <w:t>Influence of Soil Index (SI)</w:t>
            </w:r>
            <w:r w:rsidRPr="00B24B51">
              <w:rPr>
                <w:rFonts w:ascii="Calibri" w:eastAsia="Calibri" w:hAnsi="Calibri" w:cs="Times New Roman"/>
                <w:b w:val="0"/>
                <w:snapToGrid/>
                <w:sz w:val="22"/>
                <w:szCs w:val="22"/>
              </w:rPr>
              <w:t xml:space="preserve"> – </w:t>
            </w:r>
            <w:proofErr w:type="spellStart"/>
            <w:r w:rsidRPr="00B24B51">
              <w:rPr>
                <w:rFonts w:ascii="Calibri" w:eastAsia="Calibri" w:hAnsi="Calibri" w:cs="Times New Roman"/>
                <w:b w:val="0"/>
                <w:snapToGrid/>
                <w:sz w:val="22"/>
                <w:szCs w:val="22"/>
              </w:rPr>
              <w:t>Gillins</w:t>
            </w:r>
            <w:proofErr w:type="spellEnd"/>
            <w:r w:rsidRPr="00B24B51">
              <w:rPr>
                <w:rFonts w:ascii="Calibri" w:eastAsia="Calibri" w:hAnsi="Calibri" w:cs="Times New Roman"/>
                <w:b w:val="0"/>
                <w:snapToGrid/>
                <w:sz w:val="22"/>
                <w:szCs w:val="22"/>
              </w:rPr>
              <w:t xml:space="preserve"> and Bartlett (2013) found that the soil classification obtained from borehole logs could supplant the use of fines content and mean grain size in MLR models and develop a soil type factor called the soil index, SI. Because often there are descriptions or classifications of the soil recorded on the case history borehole log with the corresponding SPT N values, SI might be useful to replace F15 and D5015 in the </w:t>
            </w:r>
            <w:proofErr w:type="spellStart"/>
            <w:r w:rsidRPr="00B24B51">
              <w:rPr>
                <w:rFonts w:ascii="Calibri" w:eastAsia="Calibri" w:hAnsi="Calibri" w:cs="Times New Roman"/>
                <w:b w:val="0"/>
                <w:snapToGrid/>
                <w:sz w:val="22"/>
                <w:szCs w:val="22"/>
              </w:rPr>
              <w:t>logit</w:t>
            </w:r>
            <w:proofErr w:type="spellEnd"/>
            <w:r w:rsidRPr="00B24B51">
              <w:rPr>
                <w:rFonts w:ascii="Calibri" w:eastAsia="Calibri" w:hAnsi="Calibri" w:cs="Times New Roman"/>
                <w:b w:val="0"/>
                <w:snapToGrid/>
                <w:sz w:val="22"/>
                <w:szCs w:val="22"/>
              </w:rPr>
              <w:t xml:space="preserve"> analyses (Table 3).</w:t>
            </w:r>
          </w:p>
          <w:p w14:paraId="553D2B14" w14:textId="77777777" w:rsidR="00B24B51" w:rsidRDefault="00B24B51" w:rsidP="00B24B51">
            <w:pPr>
              <w:ind w:left="720"/>
            </w:pPr>
          </w:p>
          <w:p w14:paraId="27402323" w14:textId="77777777" w:rsidR="00B24B51" w:rsidRPr="004850C9" w:rsidRDefault="00B24B51" w:rsidP="00B24B51">
            <w:pPr>
              <w:pStyle w:val="Caption"/>
              <w:keepNext/>
              <w:ind w:left="1080"/>
              <w:jc w:val="center"/>
            </w:pPr>
            <w:bookmarkStart w:id="1" w:name="_Ref336614289"/>
            <w:bookmarkStart w:id="2" w:name="_Toc336935265"/>
            <w:r w:rsidRPr="004850C9">
              <w:t xml:space="preserve">Table </w:t>
            </w:r>
            <w:bookmarkEnd w:id="1"/>
            <w:r>
              <w:t>3</w:t>
            </w:r>
            <w:r>
              <w:rPr>
                <w:noProof/>
              </w:rPr>
              <w:t>.</w:t>
            </w:r>
            <w:r w:rsidRPr="004850C9">
              <w:t xml:space="preserve"> Descriptions and distributions of </w:t>
            </w:r>
            <w:r w:rsidRPr="004850C9">
              <w:rPr>
                <w:i/>
              </w:rPr>
              <w:t>T</w:t>
            </w:r>
            <w:r w:rsidRPr="004850C9">
              <w:rPr>
                <w:i/>
                <w:vertAlign w:val="subscript"/>
              </w:rPr>
              <w:t>15</w:t>
            </w:r>
            <w:r w:rsidRPr="004850C9">
              <w:t xml:space="preserve"> layers in </w:t>
            </w:r>
            <w:proofErr w:type="spellStart"/>
            <w:r w:rsidRPr="004850C9">
              <w:t>Youd</w:t>
            </w:r>
            <w:proofErr w:type="spellEnd"/>
            <w:r w:rsidRPr="004850C9">
              <w:t xml:space="preserve"> et al. (2002) database</w:t>
            </w:r>
            <w:bookmarkEnd w:id="2"/>
          </w:p>
          <w:tbl>
            <w:tblPr>
              <w:tblW w:w="9036" w:type="dxa"/>
              <w:jc w:val="center"/>
              <w:tblInd w:w="720" w:type="dxa"/>
              <w:tblLook w:val="04A0" w:firstRow="1" w:lastRow="0" w:firstColumn="1" w:lastColumn="0" w:noHBand="0" w:noVBand="1"/>
            </w:tblPr>
            <w:tblGrid>
              <w:gridCol w:w="2789"/>
              <w:gridCol w:w="798"/>
              <w:gridCol w:w="950"/>
              <w:gridCol w:w="803"/>
              <w:gridCol w:w="805"/>
              <w:gridCol w:w="689"/>
              <w:gridCol w:w="1313"/>
              <w:gridCol w:w="889"/>
            </w:tblGrid>
            <w:tr w:rsidR="00B24B51" w:rsidRPr="004850C9" w14:paraId="703439DD" w14:textId="77777777" w:rsidTr="00B24B51">
              <w:trPr>
                <w:trHeight w:val="260"/>
                <w:jc w:val="center"/>
              </w:trPr>
              <w:tc>
                <w:tcPr>
                  <w:tcW w:w="2789" w:type="dxa"/>
                  <w:tcBorders>
                    <w:top w:val="single" w:sz="4" w:space="0" w:color="auto"/>
                    <w:left w:val="nil"/>
                    <w:bottom w:val="single" w:sz="4" w:space="0" w:color="auto"/>
                    <w:right w:val="nil"/>
                  </w:tcBorders>
                  <w:vAlign w:val="center"/>
                </w:tcPr>
                <w:p w14:paraId="6290AF42" w14:textId="77777777" w:rsidR="00B24B51" w:rsidRPr="004850C9" w:rsidRDefault="00B24B51" w:rsidP="007019BD">
                  <w:pPr>
                    <w:pStyle w:val="Table"/>
                    <w:rPr>
                      <w:rFonts w:ascii="Arial" w:hAnsi="Arial"/>
                      <w:sz w:val="20"/>
                      <w:szCs w:val="20"/>
                    </w:rPr>
                  </w:pPr>
                  <w:r w:rsidRPr="004850C9">
                    <w:rPr>
                      <w:rFonts w:ascii="Arial" w:hAnsi="Arial"/>
                      <w:sz w:val="20"/>
                      <w:szCs w:val="20"/>
                    </w:rPr>
                    <w:t>Soil Descriptions</w:t>
                  </w:r>
                </w:p>
              </w:tc>
              <w:tc>
                <w:tcPr>
                  <w:tcW w:w="0" w:type="auto"/>
                  <w:tcBorders>
                    <w:top w:val="single" w:sz="4" w:space="0" w:color="auto"/>
                    <w:left w:val="nil"/>
                    <w:bottom w:val="single" w:sz="4" w:space="0" w:color="auto"/>
                    <w:right w:val="nil"/>
                  </w:tcBorders>
                  <w:shd w:val="clear" w:color="auto" w:fill="auto"/>
                  <w:vAlign w:val="center"/>
                  <w:hideMark/>
                </w:tcPr>
                <w:p w14:paraId="63A063FF" w14:textId="77777777" w:rsidR="00B24B51" w:rsidRPr="004850C9" w:rsidRDefault="00B24B51" w:rsidP="007019BD">
                  <w:pPr>
                    <w:pStyle w:val="Table"/>
                    <w:jc w:val="center"/>
                    <w:rPr>
                      <w:rFonts w:ascii="Arial" w:hAnsi="Arial"/>
                      <w:sz w:val="20"/>
                      <w:szCs w:val="20"/>
                    </w:rPr>
                  </w:pPr>
                  <w:r w:rsidRPr="004850C9">
                    <w:rPr>
                      <w:rFonts w:ascii="Arial" w:hAnsi="Arial"/>
                      <w:sz w:val="20"/>
                      <w:szCs w:val="20"/>
                    </w:rPr>
                    <w:t xml:space="preserve">Count </w:t>
                  </w:r>
                  <w:r w:rsidRPr="004850C9">
                    <w:rPr>
                      <w:rFonts w:ascii="Arial" w:hAnsi="Arial"/>
                      <w:i/>
                      <w:sz w:val="20"/>
                      <w:szCs w:val="20"/>
                    </w:rPr>
                    <w:t>n</w:t>
                  </w:r>
                </w:p>
              </w:tc>
              <w:tc>
                <w:tcPr>
                  <w:tcW w:w="0" w:type="auto"/>
                  <w:tcBorders>
                    <w:top w:val="single" w:sz="4" w:space="0" w:color="auto"/>
                    <w:left w:val="nil"/>
                    <w:bottom w:val="single" w:sz="4" w:space="0" w:color="auto"/>
                    <w:right w:val="nil"/>
                  </w:tcBorders>
                  <w:shd w:val="clear" w:color="auto" w:fill="auto"/>
                  <w:vAlign w:val="center"/>
                  <w:hideMark/>
                </w:tcPr>
                <w:p w14:paraId="1B29127E" w14:textId="77777777" w:rsidR="00B24B51" w:rsidRPr="004850C9" w:rsidRDefault="00B24B51" w:rsidP="007019BD">
                  <w:pPr>
                    <w:pStyle w:val="Table"/>
                    <w:jc w:val="center"/>
                    <w:rPr>
                      <w:rFonts w:ascii="Arial" w:hAnsi="Arial"/>
                      <w:sz w:val="20"/>
                      <w:szCs w:val="20"/>
                    </w:rPr>
                  </w:pPr>
                  <w:r w:rsidRPr="004850C9">
                    <w:rPr>
                      <w:rFonts w:ascii="Arial" w:hAnsi="Arial"/>
                      <w:i/>
                      <w:sz w:val="20"/>
                      <w:szCs w:val="20"/>
                    </w:rPr>
                    <w:fldChar w:fldCharType="begin"/>
                  </w:r>
                  <w:r w:rsidRPr="004850C9">
                    <w:rPr>
                      <w:rFonts w:ascii="Arial" w:hAnsi="Arial"/>
                      <w:i/>
                      <w:sz w:val="20"/>
                      <w:szCs w:val="20"/>
                    </w:rPr>
                    <w:instrText xml:space="preserve"> EQ \x \to(D50) </w:instrText>
                  </w:r>
                  <w:r w:rsidRPr="004850C9">
                    <w:rPr>
                      <w:rFonts w:ascii="Arial" w:hAnsi="Arial"/>
                      <w:i/>
                      <w:sz w:val="20"/>
                      <w:szCs w:val="20"/>
                    </w:rPr>
                    <w:fldChar w:fldCharType="end"/>
                  </w:r>
                  <w:r w:rsidRPr="004850C9">
                    <w:rPr>
                      <w:rFonts w:ascii="Arial" w:hAnsi="Arial"/>
                      <w:sz w:val="20"/>
                      <w:szCs w:val="20"/>
                    </w:rPr>
                    <w:t xml:space="preserve"> (mm)</w:t>
                  </w:r>
                </w:p>
              </w:tc>
              <w:tc>
                <w:tcPr>
                  <w:tcW w:w="0" w:type="auto"/>
                  <w:tcBorders>
                    <w:top w:val="single" w:sz="4" w:space="0" w:color="auto"/>
                    <w:left w:val="nil"/>
                    <w:bottom w:val="single" w:sz="4" w:space="0" w:color="auto"/>
                    <w:right w:val="nil"/>
                  </w:tcBorders>
                  <w:shd w:val="clear" w:color="auto" w:fill="auto"/>
                  <w:vAlign w:val="center"/>
                  <w:hideMark/>
                </w:tcPr>
                <w:p w14:paraId="11B731FC" w14:textId="77777777" w:rsidR="00B24B51" w:rsidRPr="004850C9" w:rsidRDefault="00B24B51" w:rsidP="007019BD">
                  <w:pPr>
                    <w:pStyle w:val="Table"/>
                    <w:jc w:val="center"/>
                    <w:rPr>
                      <w:rFonts w:ascii="Arial" w:hAnsi="Arial"/>
                      <w:sz w:val="20"/>
                      <w:szCs w:val="20"/>
                    </w:rPr>
                  </w:pPr>
                  <w:r w:rsidRPr="004850C9">
                    <w:rPr>
                      <w:rFonts w:ascii="Arial" w:hAnsi="Arial"/>
                      <w:i/>
                      <w:sz w:val="20"/>
                      <w:szCs w:val="20"/>
                    </w:rPr>
                    <w:t>σ</w:t>
                  </w:r>
                  <w:r w:rsidRPr="004850C9">
                    <w:rPr>
                      <w:rFonts w:ascii="Arial" w:hAnsi="Arial"/>
                      <w:i/>
                      <w:sz w:val="20"/>
                      <w:szCs w:val="20"/>
                      <w:vertAlign w:val="subscript"/>
                    </w:rPr>
                    <w:t>D50</w:t>
                  </w:r>
                  <w:r w:rsidRPr="004850C9">
                    <w:rPr>
                      <w:rFonts w:ascii="Arial" w:hAnsi="Arial"/>
                      <w:i/>
                      <w:sz w:val="20"/>
                      <w:szCs w:val="20"/>
                    </w:rPr>
                    <w:t xml:space="preserve"> </w:t>
                  </w:r>
                  <w:r w:rsidRPr="004850C9">
                    <w:rPr>
                      <w:rFonts w:ascii="Arial" w:hAnsi="Arial"/>
                      <w:sz w:val="20"/>
                      <w:szCs w:val="20"/>
                    </w:rPr>
                    <w:t>(mm)</w:t>
                  </w:r>
                </w:p>
              </w:tc>
              <w:tc>
                <w:tcPr>
                  <w:tcW w:w="0" w:type="auto"/>
                  <w:tcBorders>
                    <w:top w:val="single" w:sz="4" w:space="0" w:color="auto"/>
                    <w:left w:val="nil"/>
                    <w:bottom w:val="single" w:sz="4" w:space="0" w:color="auto"/>
                    <w:right w:val="nil"/>
                  </w:tcBorders>
                  <w:shd w:val="clear" w:color="auto" w:fill="auto"/>
                  <w:vAlign w:val="center"/>
                  <w:hideMark/>
                </w:tcPr>
                <w:p w14:paraId="3C054B97" w14:textId="77777777" w:rsidR="00B24B51" w:rsidRPr="004850C9" w:rsidRDefault="00B24B51" w:rsidP="007019BD">
                  <w:pPr>
                    <w:pStyle w:val="Table"/>
                    <w:jc w:val="center"/>
                    <w:rPr>
                      <w:rFonts w:ascii="Arial" w:hAnsi="Arial"/>
                      <w:sz w:val="20"/>
                      <w:szCs w:val="20"/>
                    </w:rPr>
                  </w:pPr>
                  <w:r w:rsidRPr="004850C9">
                    <w:rPr>
                      <w:rFonts w:ascii="Arial" w:hAnsi="Arial"/>
                      <w:i/>
                      <w:sz w:val="20"/>
                      <w:szCs w:val="20"/>
                    </w:rPr>
                    <w:fldChar w:fldCharType="begin"/>
                  </w:r>
                  <w:r w:rsidRPr="004850C9">
                    <w:rPr>
                      <w:rFonts w:ascii="Arial" w:hAnsi="Arial"/>
                      <w:i/>
                      <w:sz w:val="20"/>
                      <w:szCs w:val="20"/>
                    </w:rPr>
                    <w:instrText xml:space="preserve">  EQ \x \to(FC) </w:instrText>
                  </w:r>
                  <w:r w:rsidRPr="004850C9">
                    <w:rPr>
                      <w:rFonts w:ascii="Arial" w:hAnsi="Arial"/>
                      <w:i/>
                      <w:sz w:val="20"/>
                      <w:szCs w:val="20"/>
                    </w:rPr>
                    <w:fldChar w:fldCharType="end"/>
                  </w:r>
                  <w:r w:rsidRPr="004850C9">
                    <w:rPr>
                      <w:rFonts w:ascii="Arial" w:hAnsi="Arial"/>
                      <w:sz w:val="20"/>
                      <w:szCs w:val="20"/>
                    </w:rPr>
                    <w:t xml:space="preserve"> (%)</w:t>
                  </w:r>
                </w:p>
              </w:tc>
              <w:tc>
                <w:tcPr>
                  <w:tcW w:w="0" w:type="auto"/>
                  <w:tcBorders>
                    <w:top w:val="single" w:sz="4" w:space="0" w:color="auto"/>
                    <w:left w:val="nil"/>
                    <w:bottom w:val="single" w:sz="4" w:space="0" w:color="auto"/>
                    <w:right w:val="nil"/>
                  </w:tcBorders>
                  <w:shd w:val="clear" w:color="auto" w:fill="auto"/>
                  <w:vAlign w:val="center"/>
                  <w:hideMark/>
                </w:tcPr>
                <w:p w14:paraId="3231BECA" w14:textId="77777777" w:rsidR="00B24B51" w:rsidRPr="004850C9" w:rsidRDefault="00B24B51" w:rsidP="007019BD">
                  <w:pPr>
                    <w:pStyle w:val="Table"/>
                    <w:jc w:val="center"/>
                    <w:rPr>
                      <w:rFonts w:ascii="Arial" w:hAnsi="Arial"/>
                      <w:sz w:val="20"/>
                      <w:szCs w:val="20"/>
                    </w:rPr>
                  </w:pPr>
                  <w:proofErr w:type="spellStart"/>
                  <w:proofErr w:type="gramStart"/>
                  <w:r w:rsidRPr="004850C9">
                    <w:rPr>
                      <w:rFonts w:ascii="Arial" w:hAnsi="Arial"/>
                      <w:i/>
                      <w:sz w:val="20"/>
                      <w:szCs w:val="20"/>
                    </w:rPr>
                    <w:t>σ</w:t>
                  </w:r>
                  <w:r w:rsidRPr="004850C9">
                    <w:rPr>
                      <w:rFonts w:ascii="Arial" w:hAnsi="Arial"/>
                      <w:i/>
                      <w:sz w:val="20"/>
                      <w:szCs w:val="20"/>
                      <w:vertAlign w:val="subscript"/>
                    </w:rPr>
                    <w:t>FC</w:t>
                  </w:r>
                  <w:proofErr w:type="spellEnd"/>
                  <w:proofErr w:type="gramEnd"/>
                  <w:r w:rsidRPr="004850C9">
                    <w:rPr>
                      <w:rFonts w:ascii="Arial" w:hAnsi="Arial"/>
                      <w:i/>
                      <w:sz w:val="20"/>
                      <w:szCs w:val="20"/>
                      <w:vertAlign w:val="subscript"/>
                    </w:rPr>
                    <w:t xml:space="preserve"> </w:t>
                  </w:r>
                  <w:r w:rsidRPr="004850C9">
                    <w:rPr>
                      <w:rFonts w:ascii="Arial" w:hAnsi="Arial"/>
                      <w:sz w:val="20"/>
                      <w:szCs w:val="20"/>
                    </w:rPr>
                    <w:t>(%)</w:t>
                  </w:r>
                </w:p>
              </w:tc>
              <w:tc>
                <w:tcPr>
                  <w:tcW w:w="0" w:type="auto"/>
                  <w:tcBorders>
                    <w:top w:val="single" w:sz="4" w:space="0" w:color="auto"/>
                    <w:left w:val="nil"/>
                    <w:bottom w:val="single" w:sz="4" w:space="0" w:color="auto"/>
                    <w:right w:val="nil"/>
                  </w:tcBorders>
                  <w:vAlign w:val="center"/>
                </w:tcPr>
                <w:p w14:paraId="39712A8B" w14:textId="77777777" w:rsidR="00B24B51" w:rsidRPr="004850C9" w:rsidRDefault="00B24B51" w:rsidP="007019BD">
                  <w:pPr>
                    <w:pStyle w:val="Table"/>
                    <w:jc w:val="center"/>
                    <w:rPr>
                      <w:rFonts w:ascii="Arial" w:hAnsi="Arial"/>
                      <w:sz w:val="20"/>
                      <w:szCs w:val="20"/>
                    </w:rPr>
                  </w:pPr>
                  <w:r w:rsidRPr="004850C9">
                    <w:rPr>
                      <w:rFonts w:ascii="Arial" w:hAnsi="Arial"/>
                      <w:sz w:val="20"/>
                      <w:szCs w:val="20"/>
                    </w:rPr>
                    <w:t>General USCS Symbol</w:t>
                  </w:r>
                </w:p>
              </w:tc>
              <w:tc>
                <w:tcPr>
                  <w:tcW w:w="0" w:type="auto"/>
                  <w:tcBorders>
                    <w:top w:val="single" w:sz="4" w:space="0" w:color="auto"/>
                    <w:left w:val="nil"/>
                    <w:bottom w:val="single" w:sz="4" w:space="0" w:color="auto"/>
                    <w:right w:val="nil"/>
                  </w:tcBorders>
                  <w:vAlign w:val="center"/>
                </w:tcPr>
                <w:p w14:paraId="4579E432" w14:textId="77777777" w:rsidR="00B24B51" w:rsidRPr="004850C9" w:rsidRDefault="00B24B51" w:rsidP="007019BD">
                  <w:pPr>
                    <w:pStyle w:val="Table"/>
                    <w:jc w:val="center"/>
                    <w:rPr>
                      <w:rFonts w:ascii="Arial" w:hAnsi="Arial"/>
                      <w:sz w:val="20"/>
                      <w:szCs w:val="20"/>
                    </w:rPr>
                  </w:pPr>
                  <w:r w:rsidRPr="004850C9">
                    <w:rPr>
                      <w:rFonts w:ascii="Arial" w:hAnsi="Arial"/>
                      <w:sz w:val="20"/>
                      <w:szCs w:val="20"/>
                    </w:rPr>
                    <w:t xml:space="preserve">Soil Index </w:t>
                  </w:r>
                  <w:r w:rsidRPr="004850C9">
                    <w:rPr>
                      <w:rFonts w:ascii="Arial" w:hAnsi="Arial"/>
                      <w:i/>
                      <w:sz w:val="20"/>
                      <w:szCs w:val="20"/>
                    </w:rPr>
                    <w:t>SI</w:t>
                  </w:r>
                </w:p>
              </w:tc>
            </w:tr>
            <w:tr w:rsidR="00B24B51" w:rsidRPr="004850C9" w14:paraId="4B0AB168" w14:textId="77777777" w:rsidTr="00B24B51">
              <w:trPr>
                <w:trHeight w:hRule="exact" w:val="652"/>
                <w:jc w:val="center"/>
              </w:trPr>
              <w:tc>
                <w:tcPr>
                  <w:tcW w:w="2789" w:type="dxa"/>
                  <w:tcBorders>
                    <w:top w:val="single" w:sz="4" w:space="0" w:color="auto"/>
                    <w:left w:val="nil"/>
                    <w:bottom w:val="nil"/>
                    <w:right w:val="nil"/>
                  </w:tcBorders>
                  <w:tcMar>
                    <w:top w:w="115" w:type="dxa"/>
                    <w:left w:w="115" w:type="dxa"/>
                    <w:bottom w:w="115" w:type="dxa"/>
                    <w:right w:w="115" w:type="dxa"/>
                  </w:tcMar>
                </w:tcPr>
                <w:p w14:paraId="1E9CBC1D" w14:textId="77777777" w:rsidR="00B24B51" w:rsidRPr="004850C9" w:rsidRDefault="00B24B51" w:rsidP="007019BD">
                  <w:pPr>
                    <w:pStyle w:val="Table"/>
                    <w:rPr>
                      <w:rFonts w:ascii="Arial" w:hAnsi="Arial"/>
                      <w:sz w:val="20"/>
                      <w:szCs w:val="20"/>
                    </w:rPr>
                  </w:pPr>
                  <w:proofErr w:type="spellStart"/>
                  <w:r w:rsidRPr="004850C9">
                    <w:rPr>
                      <w:rFonts w:ascii="Arial" w:hAnsi="Arial"/>
                      <w:sz w:val="20"/>
                      <w:szCs w:val="20"/>
                    </w:rPr>
                    <w:t>Silty</w:t>
                  </w:r>
                  <w:proofErr w:type="spellEnd"/>
                  <w:r w:rsidRPr="004850C9">
                    <w:rPr>
                      <w:rFonts w:ascii="Arial" w:hAnsi="Arial"/>
                      <w:sz w:val="20"/>
                      <w:szCs w:val="20"/>
                    </w:rPr>
                    <w:t xml:space="preserve"> gravel with sand, </w:t>
                  </w:r>
                  <w:proofErr w:type="spellStart"/>
                  <w:r w:rsidRPr="004850C9">
                    <w:rPr>
                      <w:rFonts w:ascii="Arial" w:hAnsi="Arial"/>
                      <w:sz w:val="20"/>
                      <w:szCs w:val="20"/>
                    </w:rPr>
                    <w:t>silty</w:t>
                  </w:r>
                  <w:proofErr w:type="spellEnd"/>
                  <w:r w:rsidRPr="004850C9">
                    <w:rPr>
                      <w:rFonts w:ascii="Arial" w:hAnsi="Arial"/>
                      <w:sz w:val="20"/>
                      <w:szCs w:val="20"/>
                    </w:rPr>
                    <w:t xml:space="preserve"> gravel, fine gravel</w:t>
                  </w:r>
                </w:p>
              </w:tc>
              <w:tc>
                <w:tcPr>
                  <w:tcW w:w="0" w:type="auto"/>
                  <w:tcBorders>
                    <w:top w:val="single" w:sz="4" w:space="0" w:color="auto"/>
                    <w:left w:val="nil"/>
                    <w:bottom w:val="nil"/>
                    <w:right w:val="nil"/>
                  </w:tcBorders>
                  <w:shd w:val="clear" w:color="auto" w:fill="auto"/>
                  <w:noWrap/>
                  <w:tcMar>
                    <w:top w:w="115" w:type="dxa"/>
                    <w:left w:w="115" w:type="dxa"/>
                    <w:bottom w:w="115" w:type="dxa"/>
                    <w:right w:w="115" w:type="dxa"/>
                  </w:tcMar>
                  <w:hideMark/>
                </w:tcPr>
                <w:p w14:paraId="7DE95C81" w14:textId="77777777" w:rsidR="00B24B51" w:rsidRPr="004850C9" w:rsidRDefault="00B24B51" w:rsidP="007019BD">
                  <w:pPr>
                    <w:pStyle w:val="Table"/>
                    <w:jc w:val="center"/>
                    <w:rPr>
                      <w:rFonts w:ascii="Arial" w:hAnsi="Arial"/>
                      <w:sz w:val="20"/>
                      <w:szCs w:val="20"/>
                    </w:rPr>
                  </w:pPr>
                  <w:r w:rsidRPr="004850C9">
                    <w:rPr>
                      <w:rFonts w:ascii="Arial" w:hAnsi="Arial"/>
                      <w:sz w:val="20"/>
                      <w:szCs w:val="20"/>
                    </w:rPr>
                    <w:t>6</w:t>
                  </w:r>
                </w:p>
              </w:tc>
              <w:tc>
                <w:tcPr>
                  <w:tcW w:w="0" w:type="auto"/>
                  <w:tcBorders>
                    <w:top w:val="single" w:sz="4" w:space="0" w:color="auto"/>
                    <w:left w:val="nil"/>
                    <w:bottom w:val="nil"/>
                    <w:right w:val="nil"/>
                  </w:tcBorders>
                  <w:shd w:val="clear" w:color="auto" w:fill="auto"/>
                  <w:noWrap/>
                  <w:tcMar>
                    <w:top w:w="115" w:type="dxa"/>
                    <w:left w:w="115" w:type="dxa"/>
                    <w:bottom w:w="115" w:type="dxa"/>
                    <w:right w:w="115" w:type="dxa"/>
                  </w:tcMar>
                  <w:hideMark/>
                </w:tcPr>
                <w:p w14:paraId="7C8EB500" w14:textId="77777777" w:rsidR="00B24B51" w:rsidRPr="004850C9" w:rsidRDefault="00B24B51" w:rsidP="007019BD">
                  <w:pPr>
                    <w:pStyle w:val="Table"/>
                    <w:jc w:val="center"/>
                    <w:rPr>
                      <w:rFonts w:ascii="Arial" w:hAnsi="Arial"/>
                      <w:sz w:val="20"/>
                      <w:szCs w:val="20"/>
                    </w:rPr>
                  </w:pPr>
                  <w:r w:rsidRPr="004850C9">
                    <w:rPr>
                      <w:rFonts w:ascii="Arial" w:hAnsi="Arial"/>
                      <w:sz w:val="20"/>
                      <w:szCs w:val="20"/>
                    </w:rPr>
                    <w:t>5.69</w:t>
                  </w:r>
                </w:p>
              </w:tc>
              <w:tc>
                <w:tcPr>
                  <w:tcW w:w="0" w:type="auto"/>
                  <w:tcBorders>
                    <w:top w:val="single" w:sz="4" w:space="0" w:color="auto"/>
                    <w:left w:val="nil"/>
                    <w:bottom w:val="nil"/>
                    <w:right w:val="nil"/>
                  </w:tcBorders>
                  <w:shd w:val="clear" w:color="auto" w:fill="auto"/>
                  <w:noWrap/>
                  <w:tcMar>
                    <w:top w:w="115" w:type="dxa"/>
                    <w:left w:w="115" w:type="dxa"/>
                    <w:bottom w:w="115" w:type="dxa"/>
                    <w:right w:w="115" w:type="dxa"/>
                  </w:tcMar>
                  <w:hideMark/>
                </w:tcPr>
                <w:p w14:paraId="09C2AFAC" w14:textId="77777777" w:rsidR="00B24B51" w:rsidRPr="004850C9" w:rsidRDefault="00B24B51" w:rsidP="007019BD">
                  <w:pPr>
                    <w:pStyle w:val="Table"/>
                    <w:jc w:val="center"/>
                    <w:rPr>
                      <w:rFonts w:ascii="Arial" w:hAnsi="Arial"/>
                      <w:sz w:val="20"/>
                      <w:szCs w:val="20"/>
                    </w:rPr>
                  </w:pPr>
                  <w:r w:rsidRPr="004850C9">
                    <w:rPr>
                      <w:rFonts w:ascii="Arial" w:hAnsi="Arial"/>
                      <w:sz w:val="20"/>
                      <w:szCs w:val="20"/>
                    </w:rPr>
                    <w:t>4.26</w:t>
                  </w:r>
                </w:p>
              </w:tc>
              <w:tc>
                <w:tcPr>
                  <w:tcW w:w="0" w:type="auto"/>
                  <w:tcBorders>
                    <w:top w:val="single" w:sz="4" w:space="0" w:color="auto"/>
                    <w:left w:val="nil"/>
                    <w:bottom w:val="nil"/>
                    <w:right w:val="nil"/>
                  </w:tcBorders>
                  <w:shd w:val="clear" w:color="auto" w:fill="auto"/>
                  <w:noWrap/>
                  <w:tcMar>
                    <w:top w:w="115" w:type="dxa"/>
                    <w:left w:w="115" w:type="dxa"/>
                    <w:bottom w:w="115" w:type="dxa"/>
                    <w:right w:w="115" w:type="dxa"/>
                  </w:tcMar>
                  <w:hideMark/>
                </w:tcPr>
                <w:p w14:paraId="0CDA17E7" w14:textId="77777777" w:rsidR="00B24B51" w:rsidRPr="004850C9" w:rsidRDefault="00B24B51" w:rsidP="007019BD">
                  <w:pPr>
                    <w:pStyle w:val="Table"/>
                    <w:jc w:val="center"/>
                    <w:rPr>
                      <w:rFonts w:ascii="Arial" w:hAnsi="Arial"/>
                      <w:sz w:val="20"/>
                      <w:szCs w:val="20"/>
                    </w:rPr>
                  </w:pPr>
                  <w:r w:rsidRPr="004850C9">
                    <w:rPr>
                      <w:rFonts w:ascii="Arial" w:hAnsi="Arial"/>
                      <w:sz w:val="20"/>
                      <w:szCs w:val="20"/>
                    </w:rPr>
                    <w:t>18.3</w:t>
                  </w:r>
                </w:p>
              </w:tc>
              <w:tc>
                <w:tcPr>
                  <w:tcW w:w="0" w:type="auto"/>
                  <w:tcBorders>
                    <w:top w:val="single" w:sz="4" w:space="0" w:color="auto"/>
                    <w:left w:val="nil"/>
                    <w:bottom w:val="nil"/>
                    <w:right w:val="nil"/>
                  </w:tcBorders>
                  <w:shd w:val="clear" w:color="auto" w:fill="auto"/>
                  <w:noWrap/>
                  <w:tcMar>
                    <w:top w:w="115" w:type="dxa"/>
                    <w:left w:w="115" w:type="dxa"/>
                    <w:bottom w:w="115" w:type="dxa"/>
                    <w:right w:w="115" w:type="dxa"/>
                  </w:tcMar>
                  <w:hideMark/>
                </w:tcPr>
                <w:p w14:paraId="25D3B829" w14:textId="77777777" w:rsidR="00B24B51" w:rsidRPr="004850C9" w:rsidRDefault="00B24B51" w:rsidP="007019BD">
                  <w:pPr>
                    <w:pStyle w:val="Table"/>
                    <w:jc w:val="center"/>
                    <w:rPr>
                      <w:rFonts w:ascii="Arial" w:hAnsi="Arial"/>
                      <w:sz w:val="20"/>
                      <w:szCs w:val="20"/>
                    </w:rPr>
                  </w:pPr>
                  <w:r w:rsidRPr="004850C9">
                    <w:rPr>
                      <w:rFonts w:ascii="Arial" w:hAnsi="Arial"/>
                      <w:sz w:val="20"/>
                      <w:szCs w:val="20"/>
                    </w:rPr>
                    <w:t>6.4</w:t>
                  </w:r>
                </w:p>
              </w:tc>
              <w:tc>
                <w:tcPr>
                  <w:tcW w:w="0" w:type="auto"/>
                  <w:tcBorders>
                    <w:top w:val="single" w:sz="4" w:space="0" w:color="auto"/>
                    <w:left w:val="nil"/>
                    <w:bottom w:val="nil"/>
                    <w:right w:val="nil"/>
                  </w:tcBorders>
                  <w:tcMar>
                    <w:top w:w="115" w:type="dxa"/>
                    <w:left w:w="115" w:type="dxa"/>
                    <w:bottom w:w="115" w:type="dxa"/>
                    <w:right w:w="115" w:type="dxa"/>
                  </w:tcMar>
                </w:tcPr>
                <w:p w14:paraId="464CBC0F" w14:textId="77777777" w:rsidR="00B24B51" w:rsidRPr="004850C9" w:rsidRDefault="00B24B51" w:rsidP="007019BD">
                  <w:pPr>
                    <w:pStyle w:val="Table"/>
                    <w:jc w:val="center"/>
                    <w:rPr>
                      <w:rFonts w:ascii="Arial" w:hAnsi="Arial"/>
                      <w:sz w:val="20"/>
                      <w:szCs w:val="20"/>
                    </w:rPr>
                  </w:pPr>
                  <w:r w:rsidRPr="004850C9">
                    <w:rPr>
                      <w:rFonts w:ascii="Arial" w:hAnsi="Arial"/>
                      <w:sz w:val="20"/>
                      <w:szCs w:val="20"/>
                    </w:rPr>
                    <w:t>GM</w:t>
                  </w:r>
                </w:p>
              </w:tc>
              <w:tc>
                <w:tcPr>
                  <w:tcW w:w="0" w:type="auto"/>
                  <w:tcBorders>
                    <w:top w:val="single" w:sz="4" w:space="0" w:color="auto"/>
                    <w:left w:val="nil"/>
                    <w:bottom w:val="nil"/>
                    <w:right w:val="nil"/>
                  </w:tcBorders>
                  <w:tcMar>
                    <w:top w:w="115" w:type="dxa"/>
                    <w:left w:w="115" w:type="dxa"/>
                    <w:bottom w:w="115" w:type="dxa"/>
                    <w:right w:w="115" w:type="dxa"/>
                  </w:tcMar>
                </w:tcPr>
                <w:p w14:paraId="08D76A03" w14:textId="77777777" w:rsidR="00B24B51" w:rsidRPr="004850C9" w:rsidRDefault="00B24B51" w:rsidP="007019BD">
                  <w:pPr>
                    <w:pStyle w:val="Table"/>
                    <w:jc w:val="center"/>
                    <w:rPr>
                      <w:rFonts w:ascii="Arial" w:hAnsi="Arial"/>
                      <w:sz w:val="20"/>
                      <w:szCs w:val="20"/>
                    </w:rPr>
                  </w:pPr>
                  <w:r w:rsidRPr="004850C9">
                    <w:rPr>
                      <w:rFonts w:ascii="Arial" w:hAnsi="Arial"/>
                      <w:sz w:val="20"/>
                      <w:szCs w:val="20"/>
                    </w:rPr>
                    <w:t>1</w:t>
                  </w:r>
                </w:p>
              </w:tc>
            </w:tr>
            <w:tr w:rsidR="00B24B51" w:rsidRPr="004850C9" w14:paraId="1CC8BBBB" w14:textId="77777777" w:rsidTr="00B24B51">
              <w:trPr>
                <w:trHeight w:hRule="exact" w:val="678"/>
                <w:jc w:val="center"/>
              </w:trPr>
              <w:tc>
                <w:tcPr>
                  <w:tcW w:w="2789" w:type="dxa"/>
                  <w:tcBorders>
                    <w:top w:val="nil"/>
                    <w:left w:val="nil"/>
                    <w:bottom w:val="nil"/>
                    <w:right w:val="nil"/>
                  </w:tcBorders>
                  <w:tcMar>
                    <w:top w:w="115" w:type="dxa"/>
                    <w:left w:w="115" w:type="dxa"/>
                    <w:bottom w:w="115" w:type="dxa"/>
                    <w:right w:w="115" w:type="dxa"/>
                  </w:tcMar>
                </w:tcPr>
                <w:p w14:paraId="7444C516" w14:textId="77777777" w:rsidR="00B24B51" w:rsidRPr="004850C9" w:rsidRDefault="00B24B51" w:rsidP="007019BD">
                  <w:pPr>
                    <w:pStyle w:val="Table"/>
                    <w:rPr>
                      <w:rFonts w:ascii="Arial" w:hAnsi="Arial"/>
                      <w:sz w:val="20"/>
                      <w:szCs w:val="20"/>
                    </w:rPr>
                  </w:pPr>
                  <w:r w:rsidRPr="004850C9">
                    <w:rPr>
                      <w:rFonts w:ascii="Arial" w:hAnsi="Arial"/>
                      <w:sz w:val="20"/>
                      <w:szCs w:val="20"/>
                    </w:rPr>
                    <w:t>Very coarse sand, sand and gravel, gravelly sand</w:t>
                  </w:r>
                </w:p>
              </w:tc>
              <w:tc>
                <w:tcPr>
                  <w:tcW w:w="0" w:type="auto"/>
                  <w:tcBorders>
                    <w:top w:val="nil"/>
                    <w:left w:val="nil"/>
                    <w:bottom w:val="nil"/>
                    <w:right w:val="nil"/>
                  </w:tcBorders>
                  <w:shd w:val="clear" w:color="auto" w:fill="auto"/>
                  <w:noWrap/>
                  <w:tcMar>
                    <w:top w:w="115" w:type="dxa"/>
                    <w:left w:w="115" w:type="dxa"/>
                    <w:bottom w:w="115" w:type="dxa"/>
                    <w:right w:w="115" w:type="dxa"/>
                  </w:tcMar>
                  <w:hideMark/>
                </w:tcPr>
                <w:p w14:paraId="0D49C2D3" w14:textId="77777777" w:rsidR="00B24B51" w:rsidRPr="004850C9" w:rsidRDefault="00B24B51" w:rsidP="007019BD">
                  <w:pPr>
                    <w:pStyle w:val="Table"/>
                    <w:jc w:val="center"/>
                    <w:rPr>
                      <w:rFonts w:ascii="Arial" w:hAnsi="Arial"/>
                      <w:sz w:val="20"/>
                      <w:szCs w:val="20"/>
                    </w:rPr>
                  </w:pPr>
                  <w:r w:rsidRPr="004850C9">
                    <w:rPr>
                      <w:rFonts w:ascii="Arial" w:hAnsi="Arial"/>
                      <w:sz w:val="20"/>
                      <w:szCs w:val="20"/>
                    </w:rPr>
                    <w:t>7</w:t>
                  </w:r>
                </w:p>
              </w:tc>
              <w:tc>
                <w:tcPr>
                  <w:tcW w:w="0" w:type="auto"/>
                  <w:tcBorders>
                    <w:top w:val="nil"/>
                    <w:left w:val="nil"/>
                    <w:bottom w:val="nil"/>
                    <w:right w:val="nil"/>
                  </w:tcBorders>
                  <w:shd w:val="clear" w:color="auto" w:fill="auto"/>
                  <w:noWrap/>
                  <w:tcMar>
                    <w:top w:w="115" w:type="dxa"/>
                    <w:left w:w="115" w:type="dxa"/>
                    <w:bottom w:w="115" w:type="dxa"/>
                    <w:right w:w="115" w:type="dxa"/>
                  </w:tcMar>
                  <w:hideMark/>
                </w:tcPr>
                <w:p w14:paraId="61C3C66F" w14:textId="77777777" w:rsidR="00B24B51" w:rsidRPr="004850C9" w:rsidRDefault="00B24B51" w:rsidP="007019BD">
                  <w:pPr>
                    <w:pStyle w:val="Table"/>
                    <w:jc w:val="center"/>
                    <w:rPr>
                      <w:rFonts w:ascii="Arial" w:hAnsi="Arial"/>
                      <w:sz w:val="20"/>
                      <w:szCs w:val="20"/>
                    </w:rPr>
                  </w:pPr>
                  <w:r w:rsidRPr="004850C9">
                    <w:rPr>
                      <w:rFonts w:ascii="Arial" w:hAnsi="Arial"/>
                      <w:sz w:val="20"/>
                      <w:szCs w:val="20"/>
                    </w:rPr>
                    <w:t>2.15</w:t>
                  </w:r>
                </w:p>
              </w:tc>
              <w:tc>
                <w:tcPr>
                  <w:tcW w:w="0" w:type="auto"/>
                  <w:tcBorders>
                    <w:top w:val="nil"/>
                    <w:left w:val="nil"/>
                    <w:bottom w:val="nil"/>
                    <w:right w:val="nil"/>
                  </w:tcBorders>
                  <w:shd w:val="clear" w:color="auto" w:fill="auto"/>
                  <w:noWrap/>
                  <w:tcMar>
                    <w:top w:w="115" w:type="dxa"/>
                    <w:left w:w="115" w:type="dxa"/>
                    <w:bottom w:w="115" w:type="dxa"/>
                    <w:right w:w="115" w:type="dxa"/>
                  </w:tcMar>
                  <w:hideMark/>
                </w:tcPr>
                <w:p w14:paraId="2EA0697E" w14:textId="77777777" w:rsidR="00B24B51" w:rsidRPr="004850C9" w:rsidRDefault="00B24B51" w:rsidP="007019BD">
                  <w:pPr>
                    <w:pStyle w:val="Table"/>
                    <w:jc w:val="center"/>
                    <w:rPr>
                      <w:rFonts w:ascii="Arial" w:hAnsi="Arial"/>
                      <w:sz w:val="20"/>
                      <w:szCs w:val="20"/>
                    </w:rPr>
                  </w:pPr>
                  <w:r w:rsidRPr="004850C9">
                    <w:rPr>
                      <w:rFonts w:ascii="Arial" w:hAnsi="Arial"/>
                      <w:sz w:val="20"/>
                      <w:szCs w:val="20"/>
                    </w:rPr>
                    <w:t>0.83</w:t>
                  </w:r>
                </w:p>
              </w:tc>
              <w:tc>
                <w:tcPr>
                  <w:tcW w:w="0" w:type="auto"/>
                  <w:tcBorders>
                    <w:top w:val="nil"/>
                    <w:left w:val="nil"/>
                    <w:bottom w:val="nil"/>
                    <w:right w:val="nil"/>
                  </w:tcBorders>
                  <w:shd w:val="clear" w:color="auto" w:fill="auto"/>
                  <w:noWrap/>
                  <w:tcMar>
                    <w:top w:w="115" w:type="dxa"/>
                    <w:left w:w="115" w:type="dxa"/>
                    <w:bottom w:w="115" w:type="dxa"/>
                    <w:right w:w="115" w:type="dxa"/>
                  </w:tcMar>
                  <w:hideMark/>
                </w:tcPr>
                <w:p w14:paraId="5AFBC018" w14:textId="77777777" w:rsidR="00B24B51" w:rsidRPr="004850C9" w:rsidRDefault="00B24B51" w:rsidP="007019BD">
                  <w:pPr>
                    <w:pStyle w:val="Table"/>
                    <w:jc w:val="center"/>
                    <w:rPr>
                      <w:rFonts w:ascii="Arial" w:hAnsi="Arial"/>
                      <w:sz w:val="20"/>
                      <w:szCs w:val="20"/>
                    </w:rPr>
                  </w:pPr>
                  <w:r w:rsidRPr="004850C9">
                    <w:rPr>
                      <w:rFonts w:ascii="Arial" w:hAnsi="Arial"/>
                      <w:sz w:val="20"/>
                      <w:szCs w:val="20"/>
                    </w:rPr>
                    <w:t>7.5</w:t>
                  </w:r>
                </w:p>
              </w:tc>
              <w:tc>
                <w:tcPr>
                  <w:tcW w:w="0" w:type="auto"/>
                  <w:tcBorders>
                    <w:top w:val="nil"/>
                    <w:left w:val="nil"/>
                    <w:bottom w:val="nil"/>
                    <w:right w:val="nil"/>
                  </w:tcBorders>
                  <w:shd w:val="clear" w:color="auto" w:fill="auto"/>
                  <w:noWrap/>
                  <w:tcMar>
                    <w:top w:w="115" w:type="dxa"/>
                    <w:left w:w="115" w:type="dxa"/>
                    <w:bottom w:w="115" w:type="dxa"/>
                    <w:right w:w="115" w:type="dxa"/>
                  </w:tcMar>
                  <w:hideMark/>
                </w:tcPr>
                <w:p w14:paraId="070530D7" w14:textId="77777777" w:rsidR="00B24B51" w:rsidRPr="004850C9" w:rsidRDefault="00B24B51" w:rsidP="007019BD">
                  <w:pPr>
                    <w:pStyle w:val="Table"/>
                    <w:jc w:val="center"/>
                    <w:rPr>
                      <w:rFonts w:ascii="Arial" w:hAnsi="Arial"/>
                      <w:sz w:val="20"/>
                      <w:szCs w:val="20"/>
                    </w:rPr>
                  </w:pPr>
                  <w:r w:rsidRPr="004850C9">
                    <w:rPr>
                      <w:rFonts w:ascii="Arial" w:hAnsi="Arial"/>
                      <w:sz w:val="20"/>
                      <w:szCs w:val="20"/>
                    </w:rPr>
                    <w:t>6.4</w:t>
                  </w:r>
                </w:p>
              </w:tc>
              <w:tc>
                <w:tcPr>
                  <w:tcW w:w="0" w:type="auto"/>
                  <w:tcBorders>
                    <w:top w:val="nil"/>
                    <w:left w:val="nil"/>
                    <w:bottom w:val="nil"/>
                    <w:right w:val="nil"/>
                  </w:tcBorders>
                  <w:tcMar>
                    <w:top w:w="115" w:type="dxa"/>
                    <w:left w:w="115" w:type="dxa"/>
                    <w:bottom w:w="115" w:type="dxa"/>
                    <w:right w:w="115" w:type="dxa"/>
                  </w:tcMar>
                </w:tcPr>
                <w:p w14:paraId="6D2F4C98" w14:textId="77777777" w:rsidR="00B24B51" w:rsidRPr="004850C9" w:rsidRDefault="00B24B51" w:rsidP="007019BD">
                  <w:pPr>
                    <w:pStyle w:val="Table"/>
                    <w:jc w:val="center"/>
                    <w:rPr>
                      <w:rFonts w:ascii="Arial" w:hAnsi="Arial"/>
                      <w:sz w:val="20"/>
                      <w:szCs w:val="20"/>
                    </w:rPr>
                  </w:pPr>
                  <w:r w:rsidRPr="004850C9">
                    <w:rPr>
                      <w:rFonts w:ascii="Arial" w:hAnsi="Arial"/>
                      <w:sz w:val="20"/>
                      <w:szCs w:val="20"/>
                    </w:rPr>
                    <w:t>GM-SP</w:t>
                  </w:r>
                </w:p>
              </w:tc>
              <w:tc>
                <w:tcPr>
                  <w:tcW w:w="0" w:type="auto"/>
                  <w:tcBorders>
                    <w:top w:val="nil"/>
                    <w:left w:val="nil"/>
                    <w:bottom w:val="nil"/>
                    <w:right w:val="nil"/>
                  </w:tcBorders>
                  <w:tcMar>
                    <w:top w:w="115" w:type="dxa"/>
                    <w:left w:w="115" w:type="dxa"/>
                    <w:bottom w:w="115" w:type="dxa"/>
                    <w:right w:w="115" w:type="dxa"/>
                  </w:tcMar>
                </w:tcPr>
                <w:p w14:paraId="4A9A4EAA" w14:textId="77777777" w:rsidR="00B24B51" w:rsidRPr="004850C9" w:rsidRDefault="00B24B51" w:rsidP="007019BD">
                  <w:pPr>
                    <w:pStyle w:val="Table"/>
                    <w:jc w:val="center"/>
                    <w:rPr>
                      <w:rFonts w:ascii="Arial" w:hAnsi="Arial"/>
                      <w:sz w:val="20"/>
                      <w:szCs w:val="20"/>
                    </w:rPr>
                  </w:pPr>
                  <w:r w:rsidRPr="004850C9">
                    <w:rPr>
                      <w:rFonts w:ascii="Arial" w:hAnsi="Arial"/>
                      <w:sz w:val="20"/>
                      <w:szCs w:val="20"/>
                    </w:rPr>
                    <w:t>2</w:t>
                  </w:r>
                </w:p>
              </w:tc>
            </w:tr>
            <w:tr w:rsidR="00B24B51" w:rsidRPr="004850C9" w14:paraId="422CB153" w14:textId="77777777" w:rsidTr="00B24B51">
              <w:trPr>
                <w:trHeight w:hRule="exact" w:val="606"/>
                <w:jc w:val="center"/>
              </w:trPr>
              <w:tc>
                <w:tcPr>
                  <w:tcW w:w="2789" w:type="dxa"/>
                  <w:tcBorders>
                    <w:top w:val="nil"/>
                    <w:left w:val="nil"/>
                    <w:bottom w:val="nil"/>
                    <w:right w:val="nil"/>
                  </w:tcBorders>
                  <w:tcMar>
                    <w:top w:w="115" w:type="dxa"/>
                    <w:left w:w="115" w:type="dxa"/>
                    <w:bottom w:w="115" w:type="dxa"/>
                    <w:right w:w="115" w:type="dxa"/>
                  </w:tcMar>
                </w:tcPr>
                <w:p w14:paraId="5BD6C4F5" w14:textId="77777777" w:rsidR="00B24B51" w:rsidRPr="004850C9" w:rsidRDefault="00B24B51" w:rsidP="007019BD">
                  <w:pPr>
                    <w:pStyle w:val="Table"/>
                    <w:rPr>
                      <w:rFonts w:ascii="Arial" w:hAnsi="Arial"/>
                      <w:sz w:val="20"/>
                      <w:szCs w:val="20"/>
                    </w:rPr>
                  </w:pPr>
                  <w:r w:rsidRPr="004850C9">
                    <w:rPr>
                      <w:rFonts w:ascii="Arial" w:hAnsi="Arial"/>
                      <w:sz w:val="20"/>
                      <w:szCs w:val="20"/>
                    </w:rPr>
                    <w:t>Coarse sand, sand with some gravel</w:t>
                  </w:r>
                </w:p>
              </w:tc>
              <w:tc>
                <w:tcPr>
                  <w:tcW w:w="0" w:type="auto"/>
                  <w:tcBorders>
                    <w:top w:val="nil"/>
                    <w:left w:val="nil"/>
                    <w:bottom w:val="nil"/>
                    <w:right w:val="nil"/>
                  </w:tcBorders>
                  <w:shd w:val="clear" w:color="auto" w:fill="auto"/>
                  <w:noWrap/>
                  <w:tcMar>
                    <w:top w:w="115" w:type="dxa"/>
                    <w:left w:w="115" w:type="dxa"/>
                    <w:bottom w:w="115" w:type="dxa"/>
                    <w:right w:w="115" w:type="dxa"/>
                  </w:tcMar>
                  <w:hideMark/>
                </w:tcPr>
                <w:p w14:paraId="594EC48B" w14:textId="77777777" w:rsidR="00B24B51" w:rsidRPr="004850C9" w:rsidRDefault="00B24B51" w:rsidP="007019BD">
                  <w:pPr>
                    <w:pStyle w:val="Table"/>
                    <w:jc w:val="center"/>
                    <w:rPr>
                      <w:rFonts w:ascii="Arial" w:hAnsi="Arial"/>
                      <w:sz w:val="20"/>
                      <w:szCs w:val="20"/>
                    </w:rPr>
                  </w:pPr>
                  <w:r w:rsidRPr="004850C9">
                    <w:rPr>
                      <w:rFonts w:ascii="Arial" w:hAnsi="Arial"/>
                      <w:sz w:val="20"/>
                      <w:szCs w:val="20"/>
                    </w:rPr>
                    <w:t>32</w:t>
                  </w:r>
                </w:p>
              </w:tc>
              <w:tc>
                <w:tcPr>
                  <w:tcW w:w="0" w:type="auto"/>
                  <w:tcBorders>
                    <w:top w:val="nil"/>
                    <w:left w:val="nil"/>
                    <w:bottom w:val="nil"/>
                    <w:right w:val="nil"/>
                  </w:tcBorders>
                  <w:shd w:val="clear" w:color="auto" w:fill="auto"/>
                  <w:noWrap/>
                  <w:tcMar>
                    <w:top w:w="115" w:type="dxa"/>
                    <w:left w:w="115" w:type="dxa"/>
                    <w:bottom w:w="115" w:type="dxa"/>
                    <w:right w:w="115" w:type="dxa"/>
                  </w:tcMar>
                  <w:hideMark/>
                </w:tcPr>
                <w:p w14:paraId="3DD6E4A9" w14:textId="77777777" w:rsidR="00B24B51" w:rsidRPr="004850C9" w:rsidRDefault="00B24B51" w:rsidP="007019BD">
                  <w:pPr>
                    <w:pStyle w:val="Table"/>
                    <w:jc w:val="center"/>
                    <w:rPr>
                      <w:rFonts w:ascii="Arial" w:hAnsi="Arial"/>
                      <w:sz w:val="20"/>
                      <w:szCs w:val="20"/>
                    </w:rPr>
                  </w:pPr>
                  <w:r w:rsidRPr="004850C9">
                    <w:rPr>
                      <w:rFonts w:ascii="Arial" w:hAnsi="Arial"/>
                      <w:sz w:val="20"/>
                      <w:szCs w:val="20"/>
                    </w:rPr>
                    <w:t>0.62</w:t>
                  </w:r>
                </w:p>
              </w:tc>
              <w:tc>
                <w:tcPr>
                  <w:tcW w:w="0" w:type="auto"/>
                  <w:tcBorders>
                    <w:top w:val="nil"/>
                    <w:left w:val="nil"/>
                    <w:bottom w:val="nil"/>
                    <w:right w:val="nil"/>
                  </w:tcBorders>
                  <w:shd w:val="clear" w:color="auto" w:fill="auto"/>
                  <w:noWrap/>
                  <w:tcMar>
                    <w:top w:w="115" w:type="dxa"/>
                    <w:left w:w="115" w:type="dxa"/>
                    <w:bottom w:w="115" w:type="dxa"/>
                    <w:right w:w="115" w:type="dxa"/>
                  </w:tcMar>
                  <w:hideMark/>
                </w:tcPr>
                <w:p w14:paraId="780EEAE7" w14:textId="77777777" w:rsidR="00B24B51" w:rsidRPr="004850C9" w:rsidRDefault="00B24B51" w:rsidP="007019BD">
                  <w:pPr>
                    <w:pStyle w:val="Table"/>
                    <w:jc w:val="center"/>
                    <w:rPr>
                      <w:rFonts w:ascii="Arial" w:hAnsi="Arial"/>
                      <w:sz w:val="20"/>
                      <w:szCs w:val="20"/>
                    </w:rPr>
                  </w:pPr>
                  <w:r w:rsidRPr="004850C9">
                    <w:rPr>
                      <w:rFonts w:ascii="Arial" w:hAnsi="Arial"/>
                      <w:sz w:val="20"/>
                      <w:szCs w:val="20"/>
                    </w:rPr>
                    <w:t>0.18</w:t>
                  </w:r>
                </w:p>
              </w:tc>
              <w:tc>
                <w:tcPr>
                  <w:tcW w:w="0" w:type="auto"/>
                  <w:tcBorders>
                    <w:top w:val="nil"/>
                    <w:left w:val="nil"/>
                    <w:bottom w:val="nil"/>
                    <w:right w:val="nil"/>
                  </w:tcBorders>
                  <w:shd w:val="clear" w:color="auto" w:fill="auto"/>
                  <w:noWrap/>
                  <w:tcMar>
                    <w:top w:w="115" w:type="dxa"/>
                    <w:left w:w="115" w:type="dxa"/>
                    <w:bottom w:w="115" w:type="dxa"/>
                    <w:right w:w="115" w:type="dxa"/>
                  </w:tcMar>
                  <w:hideMark/>
                </w:tcPr>
                <w:p w14:paraId="6F569301" w14:textId="77777777" w:rsidR="00B24B51" w:rsidRPr="004850C9" w:rsidRDefault="00B24B51" w:rsidP="007019BD">
                  <w:pPr>
                    <w:pStyle w:val="Table"/>
                    <w:jc w:val="center"/>
                    <w:rPr>
                      <w:rFonts w:ascii="Arial" w:hAnsi="Arial"/>
                      <w:sz w:val="20"/>
                      <w:szCs w:val="20"/>
                    </w:rPr>
                  </w:pPr>
                  <w:r w:rsidRPr="004850C9">
                    <w:rPr>
                      <w:rFonts w:ascii="Arial" w:hAnsi="Arial"/>
                      <w:sz w:val="20"/>
                      <w:szCs w:val="20"/>
                    </w:rPr>
                    <w:t>7.0</w:t>
                  </w:r>
                </w:p>
              </w:tc>
              <w:tc>
                <w:tcPr>
                  <w:tcW w:w="0" w:type="auto"/>
                  <w:tcBorders>
                    <w:top w:val="nil"/>
                    <w:left w:val="nil"/>
                    <w:bottom w:val="nil"/>
                    <w:right w:val="nil"/>
                  </w:tcBorders>
                  <w:shd w:val="clear" w:color="auto" w:fill="auto"/>
                  <w:noWrap/>
                  <w:tcMar>
                    <w:top w:w="115" w:type="dxa"/>
                    <w:left w:w="115" w:type="dxa"/>
                    <w:bottom w:w="115" w:type="dxa"/>
                    <w:right w:w="115" w:type="dxa"/>
                  </w:tcMar>
                  <w:hideMark/>
                </w:tcPr>
                <w:p w14:paraId="67528D90" w14:textId="77777777" w:rsidR="00B24B51" w:rsidRPr="004850C9" w:rsidRDefault="00B24B51" w:rsidP="007019BD">
                  <w:pPr>
                    <w:pStyle w:val="Table"/>
                    <w:jc w:val="center"/>
                    <w:rPr>
                      <w:rFonts w:ascii="Arial" w:hAnsi="Arial"/>
                      <w:sz w:val="20"/>
                      <w:szCs w:val="20"/>
                    </w:rPr>
                  </w:pPr>
                  <w:r w:rsidRPr="004850C9">
                    <w:rPr>
                      <w:rFonts w:ascii="Arial" w:hAnsi="Arial"/>
                      <w:sz w:val="20"/>
                      <w:szCs w:val="20"/>
                    </w:rPr>
                    <w:t>4.2</w:t>
                  </w:r>
                </w:p>
              </w:tc>
              <w:tc>
                <w:tcPr>
                  <w:tcW w:w="0" w:type="auto"/>
                  <w:tcBorders>
                    <w:top w:val="nil"/>
                    <w:left w:val="nil"/>
                    <w:bottom w:val="nil"/>
                    <w:right w:val="nil"/>
                  </w:tcBorders>
                  <w:tcMar>
                    <w:top w:w="115" w:type="dxa"/>
                    <w:left w:w="115" w:type="dxa"/>
                    <w:bottom w:w="115" w:type="dxa"/>
                    <w:right w:w="115" w:type="dxa"/>
                  </w:tcMar>
                </w:tcPr>
                <w:p w14:paraId="650DC56C" w14:textId="77777777" w:rsidR="00B24B51" w:rsidRPr="004850C9" w:rsidRDefault="00B24B51" w:rsidP="007019BD">
                  <w:pPr>
                    <w:pStyle w:val="Table"/>
                    <w:jc w:val="center"/>
                    <w:rPr>
                      <w:rFonts w:ascii="Arial" w:hAnsi="Arial"/>
                      <w:sz w:val="20"/>
                      <w:szCs w:val="20"/>
                    </w:rPr>
                  </w:pPr>
                  <w:r w:rsidRPr="004850C9">
                    <w:rPr>
                      <w:rFonts w:ascii="Arial" w:hAnsi="Arial"/>
                      <w:sz w:val="20"/>
                      <w:szCs w:val="20"/>
                    </w:rPr>
                    <w:t>SP</w:t>
                  </w:r>
                </w:p>
              </w:tc>
              <w:tc>
                <w:tcPr>
                  <w:tcW w:w="0" w:type="auto"/>
                  <w:tcBorders>
                    <w:top w:val="nil"/>
                    <w:left w:val="nil"/>
                    <w:bottom w:val="nil"/>
                    <w:right w:val="nil"/>
                  </w:tcBorders>
                  <w:tcMar>
                    <w:top w:w="115" w:type="dxa"/>
                    <w:left w:w="115" w:type="dxa"/>
                    <w:bottom w:w="115" w:type="dxa"/>
                    <w:right w:w="115" w:type="dxa"/>
                  </w:tcMar>
                </w:tcPr>
                <w:p w14:paraId="5C5BA097" w14:textId="77777777" w:rsidR="00B24B51" w:rsidRPr="004850C9" w:rsidRDefault="00B24B51" w:rsidP="007019BD">
                  <w:pPr>
                    <w:pStyle w:val="Table"/>
                    <w:jc w:val="center"/>
                    <w:rPr>
                      <w:rFonts w:ascii="Arial" w:hAnsi="Arial"/>
                      <w:sz w:val="20"/>
                      <w:szCs w:val="20"/>
                    </w:rPr>
                  </w:pPr>
                  <w:r w:rsidRPr="004850C9">
                    <w:rPr>
                      <w:rFonts w:ascii="Arial" w:hAnsi="Arial"/>
                      <w:sz w:val="20"/>
                      <w:szCs w:val="20"/>
                    </w:rPr>
                    <w:t>2</w:t>
                  </w:r>
                </w:p>
              </w:tc>
            </w:tr>
            <w:tr w:rsidR="00B24B51" w:rsidRPr="004850C9" w14:paraId="1430C53E" w14:textId="77777777" w:rsidTr="00B24B51">
              <w:trPr>
                <w:trHeight w:hRule="exact" w:val="606"/>
                <w:jc w:val="center"/>
              </w:trPr>
              <w:tc>
                <w:tcPr>
                  <w:tcW w:w="2789" w:type="dxa"/>
                  <w:tcBorders>
                    <w:top w:val="nil"/>
                    <w:left w:val="nil"/>
                    <w:bottom w:val="nil"/>
                    <w:right w:val="nil"/>
                  </w:tcBorders>
                  <w:tcMar>
                    <w:top w:w="115" w:type="dxa"/>
                    <w:left w:w="115" w:type="dxa"/>
                    <w:bottom w:w="115" w:type="dxa"/>
                    <w:right w:w="115" w:type="dxa"/>
                  </w:tcMar>
                </w:tcPr>
                <w:p w14:paraId="479B8948" w14:textId="77777777" w:rsidR="00B24B51" w:rsidRPr="004850C9" w:rsidRDefault="00B24B51" w:rsidP="007019BD">
                  <w:pPr>
                    <w:pStyle w:val="Table"/>
                    <w:rPr>
                      <w:rFonts w:ascii="Arial" w:hAnsi="Arial"/>
                      <w:sz w:val="20"/>
                      <w:szCs w:val="20"/>
                    </w:rPr>
                  </w:pPr>
                  <w:r w:rsidRPr="004850C9">
                    <w:rPr>
                      <w:rFonts w:ascii="Arial" w:hAnsi="Arial"/>
                      <w:sz w:val="20"/>
                      <w:szCs w:val="20"/>
                    </w:rPr>
                    <w:t>Sand, medium to fine sand, sand with some silt</w:t>
                  </w:r>
                </w:p>
              </w:tc>
              <w:tc>
                <w:tcPr>
                  <w:tcW w:w="0" w:type="auto"/>
                  <w:tcBorders>
                    <w:top w:val="nil"/>
                    <w:left w:val="nil"/>
                    <w:bottom w:val="nil"/>
                    <w:right w:val="nil"/>
                  </w:tcBorders>
                  <w:shd w:val="clear" w:color="auto" w:fill="auto"/>
                  <w:noWrap/>
                  <w:tcMar>
                    <w:top w:w="115" w:type="dxa"/>
                    <w:left w:w="115" w:type="dxa"/>
                    <w:bottom w:w="115" w:type="dxa"/>
                    <w:right w:w="115" w:type="dxa"/>
                  </w:tcMar>
                  <w:hideMark/>
                </w:tcPr>
                <w:p w14:paraId="34EE579D" w14:textId="77777777" w:rsidR="00B24B51" w:rsidRPr="004850C9" w:rsidRDefault="00B24B51" w:rsidP="007019BD">
                  <w:pPr>
                    <w:pStyle w:val="Table"/>
                    <w:jc w:val="center"/>
                    <w:rPr>
                      <w:rFonts w:ascii="Arial" w:hAnsi="Arial"/>
                      <w:sz w:val="20"/>
                      <w:szCs w:val="20"/>
                    </w:rPr>
                  </w:pPr>
                  <w:r w:rsidRPr="004850C9">
                    <w:rPr>
                      <w:rFonts w:ascii="Arial" w:hAnsi="Arial"/>
                      <w:sz w:val="20"/>
                      <w:szCs w:val="20"/>
                    </w:rPr>
                    <w:t>76</w:t>
                  </w:r>
                </w:p>
              </w:tc>
              <w:tc>
                <w:tcPr>
                  <w:tcW w:w="0" w:type="auto"/>
                  <w:tcBorders>
                    <w:top w:val="nil"/>
                    <w:left w:val="nil"/>
                    <w:bottom w:val="nil"/>
                    <w:right w:val="nil"/>
                  </w:tcBorders>
                  <w:shd w:val="clear" w:color="auto" w:fill="auto"/>
                  <w:noWrap/>
                  <w:tcMar>
                    <w:top w:w="115" w:type="dxa"/>
                    <w:left w:w="115" w:type="dxa"/>
                    <w:bottom w:w="115" w:type="dxa"/>
                    <w:right w:w="115" w:type="dxa"/>
                  </w:tcMar>
                  <w:hideMark/>
                </w:tcPr>
                <w:p w14:paraId="36A3EE50" w14:textId="77777777" w:rsidR="00B24B51" w:rsidRPr="004850C9" w:rsidRDefault="00B24B51" w:rsidP="007019BD">
                  <w:pPr>
                    <w:pStyle w:val="Table"/>
                    <w:jc w:val="center"/>
                    <w:rPr>
                      <w:rFonts w:ascii="Arial" w:hAnsi="Arial"/>
                      <w:sz w:val="20"/>
                      <w:szCs w:val="20"/>
                    </w:rPr>
                  </w:pPr>
                  <w:r w:rsidRPr="004850C9">
                    <w:rPr>
                      <w:rFonts w:ascii="Arial" w:hAnsi="Arial"/>
                      <w:sz w:val="20"/>
                      <w:szCs w:val="20"/>
                    </w:rPr>
                    <w:t>0.35</w:t>
                  </w:r>
                </w:p>
              </w:tc>
              <w:tc>
                <w:tcPr>
                  <w:tcW w:w="0" w:type="auto"/>
                  <w:tcBorders>
                    <w:top w:val="nil"/>
                    <w:left w:val="nil"/>
                    <w:bottom w:val="nil"/>
                    <w:right w:val="nil"/>
                  </w:tcBorders>
                  <w:shd w:val="clear" w:color="auto" w:fill="auto"/>
                  <w:noWrap/>
                  <w:tcMar>
                    <w:top w:w="115" w:type="dxa"/>
                    <w:left w:w="115" w:type="dxa"/>
                    <w:bottom w:w="115" w:type="dxa"/>
                    <w:right w:w="115" w:type="dxa"/>
                  </w:tcMar>
                  <w:hideMark/>
                </w:tcPr>
                <w:p w14:paraId="49FA4974" w14:textId="77777777" w:rsidR="00B24B51" w:rsidRPr="004850C9" w:rsidRDefault="00B24B51" w:rsidP="007019BD">
                  <w:pPr>
                    <w:pStyle w:val="Table"/>
                    <w:jc w:val="center"/>
                    <w:rPr>
                      <w:rFonts w:ascii="Arial" w:hAnsi="Arial"/>
                      <w:sz w:val="20"/>
                      <w:szCs w:val="20"/>
                    </w:rPr>
                  </w:pPr>
                  <w:r w:rsidRPr="004850C9">
                    <w:rPr>
                      <w:rFonts w:ascii="Arial" w:hAnsi="Arial"/>
                      <w:sz w:val="20"/>
                      <w:szCs w:val="20"/>
                    </w:rPr>
                    <w:t>0.02</w:t>
                  </w:r>
                </w:p>
              </w:tc>
              <w:tc>
                <w:tcPr>
                  <w:tcW w:w="0" w:type="auto"/>
                  <w:tcBorders>
                    <w:top w:val="nil"/>
                    <w:left w:val="nil"/>
                    <w:bottom w:val="nil"/>
                    <w:right w:val="nil"/>
                  </w:tcBorders>
                  <w:shd w:val="clear" w:color="auto" w:fill="auto"/>
                  <w:noWrap/>
                  <w:tcMar>
                    <w:top w:w="115" w:type="dxa"/>
                    <w:left w:w="115" w:type="dxa"/>
                    <w:bottom w:w="115" w:type="dxa"/>
                    <w:right w:w="115" w:type="dxa"/>
                  </w:tcMar>
                  <w:hideMark/>
                </w:tcPr>
                <w:p w14:paraId="21E0D18A" w14:textId="77777777" w:rsidR="00B24B51" w:rsidRPr="004850C9" w:rsidRDefault="00B24B51" w:rsidP="007019BD">
                  <w:pPr>
                    <w:pStyle w:val="Table"/>
                    <w:jc w:val="center"/>
                    <w:rPr>
                      <w:rFonts w:ascii="Arial" w:hAnsi="Arial"/>
                      <w:sz w:val="20"/>
                      <w:szCs w:val="20"/>
                    </w:rPr>
                  </w:pPr>
                  <w:r w:rsidRPr="004850C9">
                    <w:rPr>
                      <w:rFonts w:ascii="Arial" w:hAnsi="Arial"/>
                      <w:sz w:val="20"/>
                      <w:szCs w:val="20"/>
                    </w:rPr>
                    <w:t>4.6</w:t>
                  </w:r>
                </w:p>
              </w:tc>
              <w:tc>
                <w:tcPr>
                  <w:tcW w:w="0" w:type="auto"/>
                  <w:tcBorders>
                    <w:top w:val="nil"/>
                    <w:left w:val="nil"/>
                    <w:bottom w:val="nil"/>
                    <w:right w:val="nil"/>
                  </w:tcBorders>
                  <w:shd w:val="clear" w:color="auto" w:fill="auto"/>
                  <w:noWrap/>
                  <w:tcMar>
                    <w:top w:w="115" w:type="dxa"/>
                    <w:left w:w="115" w:type="dxa"/>
                    <w:bottom w:w="115" w:type="dxa"/>
                    <w:right w:w="115" w:type="dxa"/>
                  </w:tcMar>
                  <w:hideMark/>
                </w:tcPr>
                <w:p w14:paraId="48D37246" w14:textId="77777777" w:rsidR="00B24B51" w:rsidRPr="004850C9" w:rsidRDefault="00B24B51" w:rsidP="007019BD">
                  <w:pPr>
                    <w:pStyle w:val="Table"/>
                    <w:jc w:val="center"/>
                    <w:rPr>
                      <w:rFonts w:ascii="Arial" w:hAnsi="Arial"/>
                      <w:sz w:val="20"/>
                      <w:szCs w:val="20"/>
                    </w:rPr>
                  </w:pPr>
                  <w:r w:rsidRPr="004850C9">
                    <w:rPr>
                      <w:rFonts w:ascii="Arial" w:hAnsi="Arial"/>
                      <w:sz w:val="20"/>
                      <w:szCs w:val="20"/>
                    </w:rPr>
                    <w:t>2.3</w:t>
                  </w:r>
                </w:p>
              </w:tc>
              <w:tc>
                <w:tcPr>
                  <w:tcW w:w="0" w:type="auto"/>
                  <w:tcBorders>
                    <w:top w:val="nil"/>
                    <w:left w:val="nil"/>
                    <w:bottom w:val="nil"/>
                    <w:right w:val="nil"/>
                  </w:tcBorders>
                  <w:tcMar>
                    <w:top w:w="115" w:type="dxa"/>
                    <w:left w:w="115" w:type="dxa"/>
                    <w:bottom w:w="115" w:type="dxa"/>
                    <w:right w:w="115" w:type="dxa"/>
                  </w:tcMar>
                </w:tcPr>
                <w:p w14:paraId="72D3CAC8" w14:textId="77777777" w:rsidR="00B24B51" w:rsidRPr="004850C9" w:rsidRDefault="00B24B51" w:rsidP="007019BD">
                  <w:pPr>
                    <w:pStyle w:val="Table"/>
                    <w:jc w:val="center"/>
                    <w:rPr>
                      <w:rFonts w:ascii="Arial" w:hAnsi="Arial"/>
                      <w:sz w:val="20"/>
                      <w:szCs w:val="20"/>
                    </w:rPr>
                  </w:pPr>
                  <w:r w:rsidRPr="004850C9">
                    <w:rPr>
                      <w:rFonts w:ascii="Arial" w:hAnsi="Arial"/>
                      <w:sz w:val="20"/>
                      <w:szCs w:val="20"/>
                    </w:rPr>
                    <w:t>SP-SM</w:t>
                  </w:r>
                </w:p>
              </w:tc>
              <w:tc>
                <w:tcPr>
                  <w:tcW w:w="0" w:type="auto"/>
                  <w:tcBorders>
                    <w:top w:val="nil"/>
                    <w:left w:val="nil"/>
                    <w:bottom w:val="nil"/>
                    <w:right w:val="nil"/>
                  </w:tcBorders>
                  <w:tcMar>
                    <w:top w:w="115" w:type="dxa"/>
                    <w:left w:w="115" w:type="dxa"/>
                    <w:bottom w:w="115" w:type="dxa"/>
                    <w:right w:w="115" w:type="dxa"/>
                  </w:tcMar>
                </w:tcPr>
                <w:p w14:paraId="42175550" w14:textId="77777777" w:rsidR="00B24B51" w:rsidRPr="004850C9" w:rsidRDefault="00B24B51" w:rsidP="007019BD">
                  <w:pPr>
                    <w:pStyle w:val="Table"/>
                    <w:jc w:val="center"/>
                    <w:rPr>
                      <w:rFonts w:ascii="Arial" w:hAnsi="Arial"/>
                      <w:sz w:val="20"/>
                      <w:szCs w:val="20"/>
                    </w:rPr>
                  </w:pPr>
                  <w:r w:rsidRPr="004850C9">
                    <w:rPr>
                      <w:rFonts w:ascii="Arial" w:hAnsi="Arial"/>
                      <w:sz w:val="20"/>
                      <w:szCs w:val="20"/>
                    </w:rPr>
                    <w:t>3</w:t>
                  </w:r>
                </w:p>
              </w:tc>
            </w:tr>
            <w:tr w:rsidR="00B24B51" w:rsidRPr="004850C9" w14:paraId="2FBE2C55" w14:textId="77777777" w:rsidTr="00B24B51">
              <w:trPr>
                <w:trHeight w:hRule="exact" w:val="426"/>
                <w:jc w:val="center"/>
              </w:trPr>
              <w:tc>
                <w:tcPr>
                  <w:tcW w:w="2789" w:type="dxa"/>
                  <w:tcBorders>
                    <w:top w:val="nil"/>
                    <w:left w:val="nil"/>
                    <w:bottom w:val="nil"/>
                    <w:right w:val="nil"/>
                  </w:tcBorders>
                  <w:tcMar>
                    <w:top w:w="115" w:type="dxa"/>
                    <w:left w:w="115" w:type="dxa"/>
                    <w:bottom w:w="115" w:type="dxa"/>
                    <w:right w:w="115" w:type="dxa"/>
                  </w:tcMar>
                </w:tcPr>
                <w:p w14:paraId="2E0B9392" w14:textId="77777777" w:rsidR="00B24B51" w:rsidRPr="004850C9" w:rsidRDefault="00B24B51" w:rsidP="007019BD">
                  <w:pPr>
                    <w:pStyle w:val="Table"/>
                    <w:rPr>
                      <w:rFonts w:ascii="Arial" w:hAnsi="Arial"/>
                      <w:sz w:val="20"/>
                      <w:szCs w:val="20"/>
                    </w:rPr>
                  </w:pPr>
                  <w:r w:rsidRPr="004850C9">
                    <w:rPr>
                      <w:rFonts w:ascii="Arial" w:hAnsi="Arial"/>
                      <w:sz w:val="20"/>
                      <w:szCs w:val="20"/>
                    </w:rPr>
                    <w:t>Fine sand, sand with silt</w:t>
                  </w:r>
                </w:p>
              </w:tc>
              <w:tc>
                <w:tcPr>
                  <w:tcW w:w="0" w:type="auto"/>
                  <w:tcBorders>
                    <w:top w:val="nil"/>
                    <w:left w:val="nil"/>
                    <w:bottom w:val="nil"/>
                    <w:right w:val="nil"/>
                  </w:tcBorders>
                  <w:shd w:val="clear" w:color="auto" w:fill="auto"/>
                  <w:noWrap/>
                  <w:tcMar>
                    <w:top w:w="115" w:type="dxa"/>
                    <w:left w:w="115" w:type="dxa"/>
                    <w:bottom w:w="115" w:type="dxa"/>
                    <w:right w:w="115" w:type="dxa"/>
                  </w:tcMar>
                  <w:hideMark/>
                </w:tcPr>
                <w:p w14:paraId="0D291CC9" w14:textId="77777777" w:rsidR="00B24B51" w:rsidRPr="004850C9" w:rsidRDefault="00B24B51" w:rsidP="007019BD">
                  <w:pPr>
                    <w:pStyle w:val="Table"/>
                    <w:jc w:val="center"/>
                    <w:rPr>
                      <w:rFonts w:ascii="Arial" w:hAnsi="Arial"/>
                      <w:sz w:val="20"/>
                      <w:szCs w:val="20"/>
                    </w:rPr>
                  </w:pPr>
                  <w:r w:rsidRPr="004850C9">
                    <w:rPr>
                      <w:rFonts w:ascii="Arial" w:hAnsi="Arial"/>
                      <w:sz w:val="20"/>
                      <w:szCs w:val="20"/>
                    </w:rPr>
                    <w:t>50</w:t>
                  </w:r>
                </w:p>
              </w:tc>
              <w:tc>
                <w:tcPr>
                  <w:tcW w:w="0" w:type="auto"/>
                  <w:tcBorders>
                    <w:top w:val="nil"/>
                    <w:left w:val="nil"/>
                    <w:bottom w:val="nil"/>
                    <w:right w:val="nil"/>
                  </w:tcBorders>
                  <w:shd w:val="clear" w:color="auto" w:fill="auto"/>
                  <w:noWrap/>
                  <w:tcMar>
                    <w:top w:w="115" w:type="dxa"/>
                    <w:left w:w="115" w:type="dxa"/>
                    <w:bottom w:w="115" w:type="dxa"/>
                    <w:right w:w="115" w:type="dxa"/>
                  </w:tcMar>
                  <w:hideMark/>
                </w:tcPr>
                <w:p w14:paraId="7D420F33" w14:textId="77777777" w:rsidR="00B24B51" w:rsidRPr="004850C9" w:rsidRDefault="00B24B51" w:rsidP="007019BD">
                  <w:pPr>
                    <w:pStyle w:val="Table"/>
                    <w:jc w:val="center"/>
                    <w:rPr>
                      <w:rFonts w:ascii="Arial" w:hAnsi="Arial"/>
                      <w:sz w:val="20"/>
                      <w:szCs w:val="20"/>
                    </w:rPr>
                  </w:pPr>
                  <w:r w:rsidRPr="004850C9">
                    <w:rPr>
                      <w:rFonts w:ascii="Arial" w:hAnsi="Arial"/>
                      <w:sz w:val="20"/>
                      <w:szCs w:val="20"/>
                    </w:rPr>
                    <w:t>0.17</w:t>
                  </w:r>
                </w:p>
              </w:tc>
              <w:tc>
                <w:tcPr>
                  <w:tcW w:w="0" w:type="auto"/>
                  <w:tcBorders>
                    <w:top w:val="nil"/>
                    <w:left w:val="nil"/>
                    <w:bottom w:val="nil"/>
                    <w:right w:val="nil"/>
                  </w:tcBorders>
                  <w:shd w:val="clear" w:color="auto" w:fill="auto"/>
                  <w:noWrap/>
                  <w:tcMar>
                    <w:top w:w="115" w:type="dxa"/>
                    <w:left w:w="115" w:type="dxa"/>
                    <w:bottom w:w="115" w:type="dxa"/>
                    <w:right w:w="115" w:type="dxa"/>
                  </w:tcMar>
                  <w:hideMark/>
                </w:tcPr>
                <w:p w14:paraId="6A4E22F7" w14:textId="77777777" w:rsidR="00B24B51" w:rsidRPr="004850C9" w:rsidRDefault="00B24B51" w:rsidP="007019BD">
                  <w:pPr>
                    <w:pStyle w:val="Table"/>
                    <w:jc w:val="center"/>
                    <w:rPr>
                      <w:rFonts w:ascii="Arial" w:hAnsi="Arial"/>
                      <w:sz w:val="20"/>
                      <w:szCs w:val="20"/>
                    </w:rPr>
                  </w:pPr>
                  <w:r w:rsidRPr="004850C9">
                    <w:rPr>
                      <w:rFonts w:ascii="Arial" w:hAnsi="Arial"/>
                      <w:sz w:val="20"/>
                      <w:szCs w:val="20"/>
                    </w:rPr>
                    <w:t>0.05</w:t>
                  </w:r>
                </w:p>
              </w:tc>
              <w:tc>
                <w:tcPr>
                  <w:tcW w:w="0" w:type="auto"/>
                  <w:tcBorders>
                    <w:top w:val="nil"/>
                    <w:left w:val="nil"/>
                    <w:bottom w:val="nil"/>
                    <w:right w:val="nil"/>
                  </w:tcBorders>
                  <w:shd w:val="clear" w:color="auto" w:fill="auto"/>
                  <w:noWrap/>
                  <w:tcMar>
                    <w:top w:w="115" w:type="dxa"/>
                    <w:left w:w="115" w:type="dxa"/>
                    <w:bottom w:w="115" w:type="dxa"/>
                    <w:right w:w="115" w:type="dxa"/>
                  </w:tcMar>
                  <w:hideMark/>
                </w:tcPr>
                <w:p w14:paraId="52A05F48" w14:textId="77777777" w:rsidR="00B24B51" w:rsidRPr="004850C9" w:rsidRDefault="00B24B51" w:rsidP="007019BD">
                  <w:pPr>
                    <w:pStyle w:val="Table"/>
                    <w:jc w:val="center"/>
                    <w:rPr>
                      <w:rFonts w:ascii="Arial" w:hAnsi="Arial"/>
                      <w:sz w:val="20"/>
                      <w:szCs w:val="20"/>
                    </w:rPr>
                  </w:pPr>
                  <w:r w:rsidRPr="004850C9">
                    <w:rPr>
                      <w:rFonts w:ascii="Arial" w:hAnsi="Arial"/>
                      <w:sz w:val="20"/>
                      <w:szCs w:val="20"/>
                    </w:rPr>
                    <w:t>14.3</w:t>
                  </w:r>
                </w:p>
              </w:tc>
              <w:tc>
                <w:tcPr>
                  <w:tcW w:w="0" w:type="auto"/>
                  <w:tcBorders>
                    <w:top w:val="nil"/>
                    <w:left w:val="nil"/>
                    <w:bottom w:val="nil"/>
                    <w:right w:val="nil"/>
                  </w:tcBorders>
                  <w:shd w:val="clear" w:color="auto" w:fill="auto"/>
                  <w:noWrap/>
                  <w:tcMar>
                    <w:top w:w="115" w:type="dxa"/>
                    <w:left w:w="115" w:type="dxa"/>
                    <w:bottom w:w="115" w:type="dxa"/>
                    <w:right w:w="115" w:type="dxa"/>
                  </w:tcMar>
                  <w:hideMark/>
                </w:tcPr>
                <w:p w14:paraId="6D74292A" w14:textId="77777777" w:rsidR="00B24B51" w:rsidRPr="004850C9" w:rsidRDefault="00B24B51" w:rsidP="007019BD">
                  <w:pPr>
                    <w:pStyle w:val="Table"/>
                    <w:jc w:val="center"/>
                    <w:rPr>
                      <w:rFonts w:ascii="Arial" w:hAnsi="Arial"/>
                      <w:sz w:val="20"/>
                      <w:szCs w:val="20"/>
                    </w:rPr>
                  </w:pPr>
                  <w:r w:rsidRPr="004850C9">
                    <w:rPr>
                      <w:rFonts w:ascii="Arial" w:hAnsi="Arial"/>
                      <w:sz w:val="20"/>
                      <w:szCs w:val="20"/>
                    </w:rPr>
                    <w:t>11.0</w:t>
                  </w:r>
                </w:p>
              </w:tc>
              <w:tc>
                <w:tcPr>
                  <w:tcW w:w="0" w:type="auto"/>
                  <w:tcBorders>
                    <w:top w:val="nil"/>
                    <w:left w:val="nil"/>
                    <w:bottom w:val="nil"/>
                    <w:right w:val="nil"/>
                  </w:tcBorders>
                  <w:tcMar>
                    <w:top w:w="115" w:type="dxa"/>
                    <w:left w:w="115" w:type="dxa"/>
                    <w:bottom w:w="115" w:type="dxa"/>
                    <w:right w:w="115" w:type="dxa"/>
                  </w:tcMar>
                </w:tcPr>
                <w:p w14:paraId="1C5C3290" w14:textId="77777777" w:rsidR="00B24B51" w:rsidRPr="004850C9" w:rsidRDefault="00B24B51" w:rsidP="007019BD">
                  <w:pPr>
                    <w:pStyle w:val="Table"/>
                    <w:jc w:val="center"/>
                    <w:rPr>
                      <w:rFonts w:ascii="Arial" w:hAnsi="Arial"/>
                      <w:sz w:val="20"/>
                      <w:szCs w:val="20"/>
                    </w:rPr>
                  </w:pPr>
                  <w:r w:rsidRPr="004850C9">
                    <w:rPr>
                      <w:rFonts w:ascii="Arial" w:hAnsi="Arial"/>
                      <w:sz w:val="20"/>
                      <w:szCs w:val="20"/>
                    </w:rPr>
                    <w:t>SM</w:t>
                  </w:r>
                </w:p>
              </w:tc>
              <w:tc>
                <w:tcPr>
                  <w:tcW w:w="0" w:type="auto"/>
                  <w:tcBorders>
                    <w:top w:val="nil"/>
                    <w:left w:val="nil"/>
                    <w:bottom w:val="nil"/>
                    <w:right w:val="nil"/>
                  </w:tcBorders>
                  <w:tcMar>
                    <w:top w:w="115" w:type="dxa"/>
                    <w:left w:w="115" w:type="dxa"/>
                    <w:bottom w:w="115" w:type="dxa"/>
                    <w:right w:w="115" w:type="dxa"/>
                  </w:tcMar>
                </w:tcPr>
                <w:p w14:paraId="180C6CFF" w14:textId="77777777" w:rsidR="00B24B51" w:rsidRPr="004850C9" w:rsidRDefault="00B24B51" w:rsidP="007019BD">
                  <w:pPr>
                    <w:pStyle w:val="Table"/>
                    <w:jc w:val="center"/>
                    <w:rPr>
                      <w:rFonts w:ascii="Arial" w:hAnsi="Arial"/>
                      <w:sz w:val="20"/>
                      <w:szCs w:val="20"/>
                    </w:rPr>
                  </w:pPr>
                  <w:r w:rsidRPr="004850C9">
                    <w:rPr>
                      <w:rFonts w:ascii="Arial" w:hAnsi="Arial"/>
                      <w:sz w:val="20"/>
                      <w:szCs w:val="20"/>
                    </w:rPr>
                    <w:t>4</w:t>
                  </w:r>
                </w:p>
              </w:tc>
            </w:tr>
            <w:tr w:rsidR="00B24B51" w:rsidRPr="004850C9" w14:paraId="69872117" w14:textId="77777777" w:rsidTr="00B24B51">
              <w:trPr>
                <w:trHeight w:hRule="exact" w:val="606"/>
                <w:jc w:val="center"/>
              </w:trPr>
              <w:tc>
                <w:tcPr>
                  <w:tcW w:w="2789" w:type="dxa"/>
                  <w:tcBorders>
                    <w:top w:val="nil"/>
                    <w:left w:val="nil"/>
                    <w:right w:val="nil"/>
                  </w:tcBorders>
                  <w:tcMar>
                    <w:top w:w="115" w:type="dxa"/>
                    <w:left w:w="115" w:type="dxa"/>
                    <w:bottom w:w="115" w:type="dxa"/>
                    <w:right w:w="115" w:type="dxa"/>
                  </w:tcMar>
                </w:tcPr>
                <w:p w14:paraId="2DB78D79" w14:textId="77777777" w:rsidR="00B24B51" w:rsidRPr="004850C9" w:rsidRDefault="00B24B51" w:rsidP="007019BD">
                  <w:pPr>
                    <w:pStyle w:val="Table"/>
                    <w:rPr>
                      <w:rFonts w:ascii="Arial" w:hAnsi="Arial"/>
                      <w:sz w:val="20"/>
                      <w:szCs w:val="20"/>
                    </w:rPr>
                  </w:pPr>
                  <w:r w:rsidRPr="004850C9">
                    <w:rPr>
                      <w:rFonts w:ascii="Arial" w:hAnsi="Arial"/>
                      <w:sz w:val="20"/>
                      <w:szCs w:val="20"/>
                    </w:rPr>
                    <w:t xml:space="preserve">Very fine sand, </w:t>
                  </w:r>
                  <w:proofErr w:type="spellStart"/>
                  <w:r w:rsidRPr="004850C9">
                    <w:rPr>
                      <w:rFonts w:ascii="Arial" w:hAnsi="Arial"/>
                      <w:sz w:val="20"/>
                      <w:szCs w:val="20"/>
                    </w:rPr>
                    <w:t>silty</w:t>
                  </w:r>
                  <w:proofErr w:type="spellEnd"/>
                  <w:r w:rsidRPr="004850C9">
                    <w:rPr>
                      <w:rFonts w:ascii="Arial" w:hAnsi="Arial"/>
                      <w:sz w:val="20"/>
                      <w:szCs w:val="20"/>
                    </w:rPr>
                    <w:t xml:space="preserve"> sand, dirty sand, </w:t>
                  </w:r>
                  <w:proofErr w:type="spellStart"/>
                  <w:r w:rsidRPr="004850C9">
                    <w:rPr>
                      <w:rFonts w:ascii="Arial" w:hAnsi="Arial"/>
                      <w:sz w:val="20"/>
                      <w:szCs w:val="20"/>
                    </w:rPr>
                    <w:t>silty</w:t>
                  </w:r>
                  <w:proofErr w:type="spellEnd"/>
                  <w:r w:rsidRPr="004850C9">
                    <w:rPr>
                      <w:rFonts w:ascii="Arial" w:hAnsi="Arial"/>
                      <w:sz w:val="20"/>
                      <w:szCs w:val="20"/>
                    </w:rPr>
                    <w:t>/clayey sand</w:t>
                  </w:r>
                </w:p>
              </w:tc>
              <w:tc>
                <w:tcPr>
                  <w:tcW w:w="0" w:type="auto"/>
                  <w:tcBorders>
                    <w:top w:val="nil"/>
                    <w:left w:val="nil"/>
                    <w:right w:val="nil"/>
                  </w:tcBorders>
                  <w:shd w:val="clear" w:color="auto" w:fill="auto"/>
                  <w:noWrap/>
                  <w:tcMar>
                    <w:top w:w="115" w:type="dxa"/>
                    <w:left w:w="115" w:type="dxa"/>
                    <w:bottom w:w="115" w:type="dxa"/>
                    <w:right w:w="115" w:type="dxa"/>
                  </w:tcMar>
                  <w:hideMark/>
                </w:tcPr>
                <w:p w14:paraId="75BB3791" w14:textId="77777777" w:rsidR="00B24B51" w:rsidRPr="004850C9" w:rsidRDefault="00B24B51" w:rsidP="007019BD">
                  <w:pPr>
                    <w:pStyle w:val="Table"/>
                    <w:jc w:val="center"/>
                    <w:rPr>
                      <w:rFonts w:ascii="Arial" w:hAnsi="Arial"/>
                      <w:sz w:val="20"/>
                      <w:szCs w:val="20"/>
                    </w:rPr>
                  </w:pPr>
                  <w:r w:rsidRPr="004850C9">
                    <w:rPr>
                      <w:rFonts w:ascii="Arial" w:hAnsi="Arial"/>
                      <w:sz w:val="20"/>
                      <w:szCs w:val="20"/>
                    </w:rPr>
                    <w:t>39</w:t>
                  </w:r>
                </w:p>
              </w:tc>
              <w:tc>
                <w:tcPr>
                  <w:tcW w:w="0" w:type="auto"/>
                  <w:tcBorders>
                    <w:top w:val="nil"/>
                    <w:left w:val="nil"/>
                    <w:right w:val="nil"/>
                  </w:tcBorders>
                  <w:shd w:val="clear" w:color="auto" w:fill="auto"/>
                  <w:noWrap/>
                  <w:tcMar>
                    <w:top w:w="115" w:type="dxa"/>
                    <w:left w:w="115" w:type="dxa"/>
                    <w:bottom w:w="115" w:type="dxa"/>
                    <w:right w:w="115" w:type="dxa"/>
                  </w:tcMar>
                  <w:hideMark/>
                </w:tcPr>
                <w:p w14:paraId="2A4FA2FF" w14:textId="77777777" w:rsidR="00B24B51" w:rsidRPr="004850C9" w:rsidRDefault="00B24B51" w:rsidP="007019BD">
                  <w:pPr>
                    <w:pStyle w:val="Table"/>
                    <w:jc w:val="center"/>
                    <w:rPr>
                      <w:rFonts w:ascii="Arial" w:hAnsi="Arial"/>
                      <w:sz w:val="20"/>
                      <w:szCs w:val="20"/>
                    </w:rPr>
                  </w:pPr>
                  <w:r w:rsidRPr="004850C9">
                    <w:rPr>
                      <w:rFonts w:ascii="Arial" w:hAnsi="Arial"/>
                      <w:sz w:val="20"/>
                      <w:szCs w:val="20"/>
                    </w:rPr>
                    <w:t>0.11</w:t>
                  </w:r>
                </w:p>
              </w:tc>
              <w:tc>
                <w:tcPr>
                  <w:tcW w:w="0" w:type="auto"/>
                  <w:tcBorders>
                    <w:top w:val="nil"/>
                    <w:left w:val="nil"/>
                    <w:right w:val="nil"/>
                  </w:tcBorders>
                  <w:shd w:val="clear" w:color="auto" w:fill="auto"/>
                  <w:noWrap/>
                  <w:tcMar>
                    <w:top w:w="115" w:type="dxa"/>
                    <w:left w:w="115" w:type="dxa"/>
                    <w:bottom w:w="115" w:type="dxa"/>
                    <w:right w:w="115" w:type="dxa"/>
                  </w:tcMar>
                  <w:hideMark/>
                </w:tcPr>
                <w:p w14:paraId="4C2CEB13" w14:textId="77777777" w:rsidR="00B24B51" w:rsidRPr="004850C9" w:rsidRDefault="00B24B51" w:rsidP="007019BD">
                  <w:pPr>
                    <w:pStyle w:val="Table"/>
                    <w:jc w:val="center"/>
                    <w:rPr>
                      <w:rFonts w:ascii="Arial" w:hAnsi="Arial"/>
                      <w:sz w:val="20"/>
                      <w:szCs w:val="20"/>
                    </w:rPr>
                  </w:pPr>
                  <w:r w:rsidRPr="004850C9">
                    <w:rPr>
                      <w:rFonts w:ascii="Arial" w:hAnsi="Arial"/>
                      <w:sz w:val="20"/>
                      <w:szCs w:val="20"/>
                    </w:rPr>
                    <w:t>0.12</w:t>
                  </w:r>
                </w:p>
              </w:tc>
              <w:tc>
                <w:tcPr>
                  <w:tcW w:w="0" w:type="auto"/>
                  <w:tcBorders>
                    <w:top w:val="nil"/>
                    <w:left w:val="nil"/>
                    <w:right w:val="nil"/>
                  </w:tcBorders>
                  <w:shd w:val="clear" w:color="auto" w:fill="auto"/>
                  <w:noWrap/>
                  <w:tcMar>
                    <w:top w:w="115" w:type="dxa"/>
                    <w:left w:w="115" w:type="dxa"/>
                    <w:bottom w:w="115" w:type="dxa"/>
                    <w:right w:w="115" w:type="dxa"/>
                  </w:tcMar>
                  <w:hideMark/>
                </w:tcPr>
                <w:p w14:paraId="72431AF4" w14:textId="77777777" w:rsidR="00B24B51" w:rsidRPr="004850C9" w:rsidRDefault="00B24B51" w:rsidP="007019BD">
                  <w:pPr>
                    <w:pStyle w:val="Table"/>
                    <w:jc w:val="center"/>
                    <w:rPr>
                      <w:rFonts w:ascii="Arial" w:hAnsi="Arial"/>
                      <w:sz w:val="20"/>
                      <w:szCs w:val="20"/>
                    </w:rPr>
                  </w:pPr>
                  <w:r w:rsidRPr="004850C9">
                    <w:rPr>
                      <w:rFonts w:ascii="Arial" w:hAnsi="Arial"/>
                      <w:sz w:val="20"/>
                      <w:szCs w:val="20"/>
                    </w:rPr>
                    <w:t>36.6</w:t>
                  </w:r>
                </w:p>
              </w:tc>
              <w:tc>
                <w:tcPr>
                  <w:tcW w:w="0" w:type="auto"/>
                  <w:tcBorders>
                    <w:top w:val="nil"/>
                    <w:left w:val="nil"/>
                    <w:right w:val="nil"/>
                  </w:tcBorders>
                  <w:shd w:val="clear" w:color="auto" w:fill="auto"/>
                  <w:noWrap/>
                  <w:tcMar>
                    <w:top w:w="115" w:type="dxa"/>
                    <w:left w:w="115" w:type="dxa"/>
                    <w:bottom w:w="115" w:type="dxa"/>
                    <w:right w:w="115" w:type="dxa"/>
                  </w:tcMar>
                  <w:hideMark/>
                </w:tcPr>
                <w:p w14:paraId="136E07CB" w14:textId="77777777" w:rsidR="00B24B51" w:rsidRPr="004850C9" w:rsidRDefault="00B24B51" w:rsidP="007019BD">
                  <w:pPr>
                    <w:pStyle w:val="Table"/>
                    <w:jc w:val="center"/>
                    <w:rPr>
                      <w:rFonts w:ascii="Arial" w:hAnsi="Arial"/>
                      <w:sz w:val="20"/>
                      <w:szCs w:val="20"/>
                    </w:rPr>
                  </w:pPr>
                  <w:r w:rsidRPr="004850C9">
                    <w:rPr>
                      <w:rFonts w:ascii="Arial" w:hAnsi="Arial"/>
                      <w:sz w:val="20"/>
                      <w:szCs w:val="20"/>
                    </w:rPr>
                    <w:t>12.4</w:t>
                  </w:r>
                </w:p>
              </w:tc>
              <w:tc>
                <w:tcPr>
                  <w:tcW w:w="0" w:type="auto"/>
                  <w:tcBorders>
                    <w:top w:val="nil"/>
                    <w:left w:val="nil"/>
                    <w:right w:val="nil"/>
                  </w:tcBorders>
                  <w:tcMar>
                    <w:top w:w="115" w:type="dxa"/>
                    <w:left w:w="115" w:type="dxa"/>
                    <w:bottom w:w="115" w:type="dxa"/>
                    <w:right w:w="115" w:type="dxa"/>
                  </w:tcMar>
                </w:tcPr>
                <w:p w14:paraId="7F2DA1AD" w14:textId="77777777" w:rsidR="00B24B51" w:rsidRPr="004850C9" w:rsidRDefault="00B24B51" w:rsidP="007019BD">
                  <w:pPr>
                    <w:pStyle w:val="Table"/>
                    <w:jc w:val="center"/>
                    <w:rPr>
                      <w:rFonts w:ascii="Arial" w:hAnsi="Arial"/>
                      <w:sz w:val="20"/>
                      <w:szCs w:val="20"/>
                    </w:rPr>
                  </w:pPr>
                  <w:r w:rsidRPr="004850C9">
                    <w:rPr>
                      <w:rFonts w:ascii="Arial" w:hAnsi="Arial"/>
                      <w:sz w:val="20"/>
                      <w:szCs w:val="20"/>
                    </w:rPr>
                    <w:t>SM-ML</w:t>
                  </w:r>
                </w:p>
              </w:tc>
              <w:tc>
                <w:tcPr>
                  <w:tcW w:w="0" w:type="auto"/>
                  <w:tcBorders>
                    <w:top w:val="nil"/>
                    <w:left w:val="nil"/>
                    <w:right w:val="nil"/>
                  </w:tcBorders>
                  <w:tcMar>
                    <w:top w:w="115" w:type="dxa"/>
                    <w:left w:w="115" w:type="dxa"/>
                    <w:bottom w:w="115" w:type="dxa"/>
                    <w:right w:w="115" w:type="dxa"/>
                  </w:tcMar>
                </w:tcPr>
                <w:p w14:paraId="14A06D20" w14:textId="77777777" w:rsidR="00B24B51" w:rsidRPr="004850C9" w:rsidRDefault="00B24B51" w:rsidP="007019BD">
                  <w:pPr>
                    <w:pStyle w:val="Table"/>
                    <w:jc w:val="center"/>
                    <w:rPr>
                      <w:rFonts w:ascii="Arial" w:hAnsi="Arial"/>
                      <w:sz w:val="20"/>
                      <w:szCs w:val="20"/>
                    </w:rPr>
                  </w:pPr>
                  <w:r w:rsidRPr="004850C9">
                    <w:rPr>
                      <w:rFonts w:ascii="Arial" w:hAnsi="Arial"/>
                      <w:sz w:val="20"/>
                      <w:szCs w:val="20"/>
                    </w:rPr>
                    <w:t>4</w:t>
                  </w:r>
                </w:p>
              </w:tc>
            </w:tr>
            <w:tr w:rsidR="00B24B51" w:rsidRPr="004850C9" w14:paraId="19BDF378" w14:textId="77777777" w:rsidTr="00B24B51">
              <w:trPr>
                <w:trHeight w:hRule="exact" w:val="471"/>
                <w:jc w:val="center"/>
              </w:trPr>
              <w:tc>
                <w:tcPr>
                  <w:tcW w:w="2789" w:type="dxa"/>
                  <w:tcBorders>
                    <w:top w:val="nil"/>
                    <w:left w:val="nil"/>
                    <w:right w:val="nil"/>
                  </w:tcBorders>
                  <w:tcMar>
                    <w:top w:w="115" w:type="dxa"/>
                    <w:left w:w="115" w:type="dxa"/>
                    <w:bottom w:w="115" w:type="dxa"/>
                    <w:right w:w="115" w:type="dxa"/>
                  </w:tcMar>
                </w:tcPr>
                <w:p w14:paraId="000D5F9A" w14:textId="77777777" w:rsidR="00B24B51" w:rsidRPr="004850C9" w:rsidRDefault="00B24B51" w:rsidP="007019BD">
                  <w:pPr>
                    <w:pStyle w:val="Table"/>
                    <w:rPr>
                      <w:rFonts w:ascii="Arial" w:hAnsi="Arial"/>
                      <w:sz w:val="20"/>
                      <w:szCs w:val="20"/>
                    </w:rPr>
                  </w:pPr>
                  <w:r w:rsidRPr="004850C9">
                    <w:rPr>
                      <w:rFonts w:ascii="Arial" w:hAnsi="Arial"/>
                      <w:sz w:val="20"/>
                      <w:szCs w:val="20"/>
                    </w:rPr>
                    <w:t>Sandy silt, silt with sand</w:t>
                  </w:r>
                </w:p>
              </w:tc>
              <w:tc>
                <w:tcPr>
                  <w:tcW w:w="0" w:type="auto"/>
                  <w:tcBorders>
                    <w:top w:val="nil"/>
                    <w:left w:val="nil"/>
                    <w:right w:val="nil"/>
                  </w:tcBorders>
                  <w:shd w:val="clear" w:color="auto" w:fill="auto"/>
                  <w:noWrap/>
                  <w:tcMar>
                    <w:top w:w="115" w:type="dxa"/>
                    <w:left w:w="115" w:type="dxa"/>
                    <w:bottom w:w="115" w:type="dxa"/>
                    <w:right w:w="115" w:type="dxa"/>
                  </w:tcMar>
                  <w:hideMark/>
                </w:tcPr>
                <w:p w14:paraId="1C194E2C" w14:textId="77777777" w:rsidR="00B24B51" w:rsidRPr="004850C9" w:rsidRDefault="00B24B51" w:rsidP="007019BD">
                  <w:pPr>
                    <w:pStyle w:val="Table"/>
                    <w:jc w:val="center"/>
                    <w:rPr>
                      <w:rFonts w:ascii="Arial" w:hAnsi="Arial"/>
                      <w:sz w:val="20"/>
                      <w:szCs w:val="20"/>
                    </w:rPr>
                  </w:pPr>
                  <w:r w:rsidRPr="004850C9">
                    <w:rPr>
                      <w:rFonts w:ascii="Arial" w:hAnsi="Arial"/>
                      <w:sz w:val="20"/>
                      <w:szCs w:val="20"/>
                    </w:rPr>
                    <w:t>38</w:t>
                  </w:r>
                </w:p>
              </w:tc>
              <w:tc>
                <w:tcPr>
                  <w:tcW w:w="0" w:type="auto"/>
                  <w:tcBorders>
                    <w:top w:val="nil"/>
                    <w:left w:val="nil"/>
                    <w:right w:val="nil"/>
                  </w:tcBorders>
                  <w:shd w:val="clear" w:color="auto" w:fill="auto"/>
                  <w:noWrap/>
                  <w:tcMar>
                    <w:top w:w="115" w:type="dxa"/>
                    <w:left w:w="115" w:type="dxa"/>
                    <w:bottom w:w="115" w:type="dxa"/>
                    <w:right w:w="115" w:type="dxa"/>
                  </w:tcMar>
                  <w:hideMark/>
                </w:tcPr>
                <w:p w14:paraId="11D89C72" w14:textId="77777777" w:rsidR="00B24B51" w:rsidRPr="004850C9" w:rsidRDefault="00B24B51" w:rsidP="007019BD">
                  <w:pPr>
                    <w:pStyle w:val="Table"/>
                    <w:jc w:val="center"/>
                    <w:rPr>
                      <w:rFonts w:ascii="Arial" w:hAnsi="Arial"/>
                      <w:sz w:val="20"/>
                      <w:szCs w:val="20"/>
                    </w:rPr>
                  </w:pPr>
                  <w:r w:rsidRPr="004850C9">
                    <w:rPr>
                      <w:rFonts w:ascii="Arial" w:hAnsi="Arial"/>
                      <w:sz w:val="20"/>
                      <w:szCs w:val="20"/>
                    </w:rPr>
                    <w:t>0.07</w:t>
                  </w:r>
                </w:p>
              </w:tc>
              <w:tc>
                <w:tcPr>
                  <w:tcW w:w="0" w:type="auto"/>
                  <w:tcBorders>
                    <w:top w:val="nil"/>
                    <w:left w:val="nil"/>
                    <w:right w:val="nil"/>
                  </w:tcBorders>
                  <w:shd w:val="clear" w:color="auto" w:fill="auto"/>
                  <w:noWrap/>
                  <w:tcMar>
                    <w:top w:w="115" w:type="dxa"/>
                    <w:left w:w="115" w:type="dxa"/>
                    <w:bottom w:w="115" w:type="dxa"/>
                    <w:right w:w="115" w:type="dxa"/>
                  </w:tcMar>
                  <w:hideMark/>
                </w:tcPr>
                <w:p w14:paraId="3DF673D7" w14:textId="77777777" w:rsidR="00B24B51" w:rsidRPr="004850C9" w:rsidRDefault="00B24B51" w:rsidP="007019BD">
                  <w:pPr>
                    <w:pStyle w:val="Table"/>
                    <w:jc w:val="center"/>
                    <w:rPr>
                      <w:rFonts w:ascii="Arial" w:hAnsi="Arial"/>
                      <w:sz w:val="20"/>
                      <w:szCs w:val="20"/>
                    </w:rPr>
                  </w:pPr>
                  <w:r w:rsidRPr="004850C9">
                    <w:rPr>
                      <w:rFonts w:ascii="Arial" w:hAnsi="Arial"/>
                      <w:sz w:val="20"/>
                      <w:szCs w:val="20"/>
                    </w:rPr>
                    <w:t>0.08</w:t>
                  </w:r>
                </w:p>
              </w:tc>
              <w:tc>
                <w:tcPr>
                  <w:tcW w:w="0" w:type="auto"/>
                  <w:tcBorders>
                    <w:top w:val="nil"/>
                    <w:left w:val="nil"/>
                    <w:right w:val="nil"/>
                  </w:tcBorders>
                  <w:shd w:val="clear" w:color="auto" w:fill="auto"/>
                  <w:noWrap/>
                  <w:tcMar>
                    <w:top w:w="115" w:type="dxa"/>
                    <w:left w:w="115" w:type="dxa"/>
                    <w:bottom w:w="115" w:type="dxa"/>
                    <w:right w:w="115" w:type="dxa"/>
                  </w:tcMar>
                  <w:hideMark/>
                </w:tcPr>
                <w:p w14:paraId="32C6E250" w14:textId="77777777" w:rsidR="00B24B51" w:rsidRPr="004850C9" w:rsidRDefault="00B24B51" w:rsidP="007019BD">
                  <w:pPr>
                    <w:pStyle w:val="Table"/>
                    <w:jc w:val="center"/>
                    <w:rPr>
                      <w:rFonts w:ascii="Arial" w:hAnsi="Arial"/>
                      <w:sz w:val="20"/>
                      <w:szCs w:val="20"/>
                    </w:rPr>
                  </w:pPr>
                  <w:r w:rsidRPr="004850C9">
                    <w:rPr>
                      <w:rFonts w:ascii="Arial" w:hAnsi="Arial"/>
                      <w:sz w:val="20"/>
                      <w:szCs w:val="20"/>
                    </w:rPr>
                    <w:t>57.9</w:t>
                  </w:r>
                </w:p>
              </w:tc>
              <w:tc>
                <w:tcPr>
                  <w:tcW w:w="0" w:type="auto"/>
                  <w:tcBorders>
                    <w:top w:val="nil"/>
                    <w:left w:val="nil"/>
                    <w:right w:val="nil"/>
                  </w:tcBorders>
                  <w:shd w:val="clear" w:color="auto" w:fill="auto"/>
                  <w:noWrap/>
                  <w:tcMar>
                    <w:top w:w="115" w:type="dxa"/>
                    <w:left w:w="115" w:type="dxa"/>
                    <w:bottom w:w="115" w:type="dxa"/>
                    <w:right w:w="115" w:type="dxa"/>
                  </w:tcMar>
                  <w:hideMark/>
                </w:tcPr>
                <w:p w14:paraId="12E4DD6C" w14:textId="77777777" w:rsidR="00B24B51" w:rsidRPr="004850C9" w:rsidRDefault="00B24B51" w:rsidP="007019BD">
                  <w:pPr>
                    <w:pStyle w:val="Table"/>
                    <w:jc w:val="center"/>
                    <w:rPr>
                      <w:rFonts w:ascii="Arial" w:hAnsi="Arial"/>
                      <w:sz w:val="20"/>
                      <w:szCs w:val="20"/>
                    </w:rPr>
                  </w:pPr>
                  <w:r w:rsidRPr="004850C9">
                    <w:rPr>
                      <w:rFonts w:ascii="Arial" w:hAnsi="Arial"/>
                      <w:sz w:val="20"/>
                      <w:szCs w:val="20"/>
                    </w:rPr>
                    <w:t>12.2</w:t>
                  </w:r>
                </w:p>
              </w:tc>
              <w:tc>
                <w:tcPr>
                  <w:tcW w:w="0" w:type="auto"/>
                  <w:tcBorders>
                    <w:top w:val="nil"/>
                    <w:left w:val="nil"/>
                    <w:right w:val="nil"/>
                  </w:tcBorders>
                  <w:tcMar>
                    <w:top w:w="115" w:type="dxa"/>
                    <w:left w:w="115" w:type="dxa"/>
                    <w:bottom w:w="115" w:type="dxa"/>
                    <w:right w:w="115" w:type="dxa"/>
                  </w:tcMar>
                </w:tcPr>
                <w:p w14:paraId="710F4136" w14:textId="77777777" w:rsidR="00B24B51" w:rsidRPr="004850C9" w:rsidRDefault="00B24B51" w:rsidP="007019BD">
                  <w:pPr>
                    <w:pStyle w:val="Table"/>
                    <w:jc w:val="center"/>
                    <w:rPr>
                      <w:rFonts w:ascii="Arial" w:hAnsi="Arial"/>
                      <w:sz w:val="20"/>
                      <w:szCs w:val="20"/>
                    </w:rPr>
                  </w:pPr>
                  <w:r w:rsidRPr="004850C9">
                    <w:rPr>
                      <w:rFonts w:ascii="Arial" w:hAnsi="Arial"/>
                      <w:sz w:val="20"/>
                      <w:szCs w:val="20"/>
                    </w:rPr>
                    <w:t>ML</w:t>
                  </w:r>
                </w:p>
              </w:tc>
              <w:tc>
                <w:tcPr>
                  <w:tcW w:w="0" w:type="auto"/>
                  <w:tcBorders>
                    <w:top w:val="nil"/>
                    <w:left w:val="nil"/>
                    <w:right w:val="nil"/>
                  </w:tcBorders>
                  <w:tcMar>
                    <w:top w:w="115" w:type="dxa"/>
                    <w:left w:w="115" w:type="dxa"/>
                    <w:bottom w:w="115" w:type="dxa"/>
                    <w:right w:w="115" w:type="dxa"/>
                  </w:tcMar>
                </w:tcPr>
                <w:p w14:paraId="7145B1AB" w14:textId="77777777" w:rsidR="00B24B51" w:rsidRPr="004850C9" w:rsidRDefault="00B24B51" w:rsidP="007019BD">
                  <w:pPr>
                    <w:pStyle w:val="Table"/>
                    <w:jc w:val="center"/>
                    <w:rPr>
                      <w:rFonts w:ascii="Arial" w:hAnsi="Arial"/>
                      <w:sz w:val="20"/>
                      <w:szCs w:val="20"/>
                    </w:rPr>
                  </w:pPr>
                  <w:r w:rsidRPr="004850C9">
                    <w:rPr>
                      <w:rFonts w:ascii="Arial" w:hAnsi="Arial"/>
                      <w:sz w:val="20"/>
                      <w:szCs w:val="20"/>
                    </w:rPr>
                    <w:t>5</w:t>
                  </w:r>
                </w:p>
              </w:tc>
            </w:tr>
            <w:tr w:rsidR="00B24B51" w:rsidRPr="004850C9" w14:paraId="4559E2FC" w14:textId="77777777" w:rsidTr="00B24B51">
              <w:trPr>
                <w:trHeight w:hRule="exact" w:val="399"/>
                <w:jc w:val="center"/>
              </w:trPr>
              <w:tc>
                <w:tcPr>
                  <w:tcW w:w="2789" w:type="dxa"/>
                  <w:tcBorders>
                    <w:left w:val="nil"/>
                    <w:bottom w:val="single" w:sz="4" w:space="0" w:color="auto"/>
                    <w:right w:val="nil"/>
                  </w:tcBorders>
                  <w:tcMar>
                    <w:top w:w="115" w:type="dxa"/>
                    <w:left w:w="115" w:type="dxa"/>
                    <w:bottom w:w="115" w:type="dxa"/>
                    <w:right w:w="115" w:type="dxa"/>
                  </w:tcMar>
                </w:tcPr>
                <w:p w14:paraId="2732104C" w14:textId="77777777" w:rsidR="00B24B51" w:rsidRPr="004850C9" w:rsidRDefault="00B24B51" w:rsidP="007019BD">
                  <w:pPr>
                    <w:pStyle w:val="Table"/>
                    <w:rPr>
                      <w:rFonts w:ascii="Arial" w:hAnsi="Arial"/>
                      <w:sz w:val="20"/>
                      <w:szCs w:val="20"/>
                    </w:rPr>
                  </w:pPr>
                  <w:proofErr w:type="spellStart"/>
                  <w:r w:rsidRPr="004850C9">
                    <w:rPr>
                      <w:rFonts w:ascii="Arial" w:hAnsi="Arial"/>
                      <w:sz w:val="20"/>
                      <w:szCs w:val="20"/>
                    </w:rPr>
                    <w:t>Silty</w:t>
                  </w:r>
                  <w:proofErr w:type="spellEnd"/>
                  <w:r w:rsidRPr="004850C9">
                    <w:rPr>
                      <w:rFonts w:ascii="Arial" w:hAnsi="Arial"/>
                      <w:sz w:val="20"/>
                      <w:szCs w:val="20"/>
                    </w:rPr>
                    <w:t xml:space="preserve"> clay, lean clay</w:t>
                  </w:r>
                </w:p>
              </w:tc>
              <w:tc>
                <w:tcPr>
                  <w:tcW w:w="0" w:type="auto"/>
                  <w:tcBorders>
                    <w:left w:val="nil"/>
                    <w:bottom w:val="single" w:sz="4" w:space="0" w:color="auto"/>
                    <w:right w:val="nil"/>
                  </w:tcBorders>
                  <w:shd w:val="clear" w:color="auto" w:fill="auto"/>
                  <w:noWrap/>
                  <w:tcMar>
                    <w:top w:w="115" w:type="dxa"/>
                    <w:left w:w="115" w:type="dxa"/>
                    <w:bottom w:w="115" w:type="dxa"/>
                    <w:right w:w="115" w:type="dxa"/>
                  </w:tcMar>
                  <w:hideMark/>
                </w:tcPr>
                <w:p w14:paraId="46A7F4F2" w14:textId="77777777" w:rsidR="00B24B51" w:rsidRPr="004850C9" w:rsidRDefault="00B24B51" w:rsidP="007019BD">
                  <w:pPr>
                    <w:pStyle w:val="Table"/>
                    <w:jc w:val="center"/>
                    <w:rPr>
                      <w:rFonts w:ascii="Arial" w:hAnsi="Arial"/>
                      <w:sz w:val="20"/>
                      <w:szCs w:val="20"/>
                    </w:rPr>
                  </w:pPr>
                  <w:r w:rsidRPr="004850C9">
                    <w:rPr>
                      <w:rFonts w:ascii="Arial" w:hAnsi="Arial"/>
                      <w:sz w:val="20"/>
                      <w:szCs w:val="20"/>
                    </w:rPr>
                    <w:t>--</w:t>
                  </w:r>
                </w:p>
              </w:tc>
              <w:tc>
                <w:tcPr>
                  <w:tcW w:w="0" w:type="auto"/>
                  <w:tcBorders>
                    <w:left w:val="nil"/>
                    <w:bottom w:val="single" w:sz="4" w:space="0" w:color="auto"/>
                    <w:right w:val="nil"/>
                  </w:tcBorders>
                  <w:shd w:val="clear" w:color="auto" w:fill="auto"/>
                  <w:noWrap/>
                  <w:tcMar>
                    <w:top w:w="115" w:type="dxa"/>
                    <w:left w:w="115" w:type="dxa"/>
                    <w:bottom w:w="115" w:type="dxa"/>
                    <w:right w:w="115" w:type="dxa"/>
                  </w:tcMar>
                  <w:hideMark/>
                </w:tcPr>
                <w:p w14:paraId="346CD0BD" w14:textId="77777777" w:rsidR="00B24B51" w:rsidRPr="004850C9" w:rsidRDefault="00B24B51" w:rsidP="007019BD">
                  <w:pPr>
                    <w:pStyle w:val="Table"/>
                    <w:jc w:val="center"/>
                    <w:rPr>
                      <w:rFonts w:ascii="Arial" w:hAnsi="Arial"/>
                      <w:sz w:val="20"/>
                      <w:szCs w:val="20"/>
                    </w:rPr>
                  </w:pPr>
                  <w:r w:rsidRPr="004850C9">
                    <w:rPr>
                      <w:rFonts w:ascii="Arial" w:hAnsi="Arial"/>
                      <w:sz w:val="20"/>
                      <w:szCs w:val="20"/>
                    </w:rPr>
                    <w:t>--</w:t>
                  </w:r>
                </w:p>
              </w:tc>
              <w:tc>
                <w:tcPr>
                  <w:tcW w:w="0" w:type="auto"/>
                  <w:tcBorders>
                    <w:left w:val="nil"/>
                    <w:bottom w:val="single" w:sz="4" w:space="0" w:color="auto"/>
                    <w:right w:val="nil"/>
                  </w:tcBorders>
                  <w:shd w:val="clear" w:color="auto" w:fill="auto"/>
                  <w:noWrap/>
                  <w:tcMar>
                    <w:top w:w="115" w:type="dxa"/>
                    <w:left w:w="115" w:type="dxa"/>
                    <w:bottom w:w="115" w:type="dxa"/>
                    <w:right w:w="115" w:type="dxa"/>
                  </w:tcMar>
                  <w:hideMark/>
                </w:tcPr>
                <w:p w14:paraId="4D90C0EB" w14:textId="77777777" w:rsidR="00B24B51" w:rsidRPr="004850C9" w:rsidRDefault="00B24B51" w:rsidP="007019BD">
                  <w:pPr>
                    <w:pStyle w:val="Table"/>
                    <w:jc w:val="center"/>
                    <w:rPr>
                      <w:rFonts w:ascii="Arial" w:hAnsi="Arial"/>
                      <w:sz w:val="20"/>
                      <w:szCs w:val="20"/>
                    </w:rPr>
                  </w:pPr>
                  <w:r w:rsidRPr="004850C9">
                    <w:rPr>
                      <w:rFonts w:ascii="Arial" w:hAnsi="Arial"/>
                      <w:sz w:val="20"/>
                      <w:szCs w:val="20"/>
                    </w:rPr>
                    <w:t>--</w:t>
                  </w:r>
                </w:p>
              </w:tc>
              <w:tc>
                <w:tcPr>
                  <w:tcW w:w="0" w:type="auto"/>
                  <w:tcBorders>
                    <w:left w:val="nil"/>
                    <w:bottom w:val="single" w:sz="4" w:space="0" w:color="auto"/>
                    <w:right w:val="nil"/>
                  </w:tcBorders>
                  <w:shd w:val="clear" w:color="auto" w:fill="auto"/>
                  <w:noWrap/>
                  <w:tcMar>
                    <w:top w:w="115" w:type="dxa"/>
                    <w:left w:w="115" w:type="dxa"/>
                    <w:bottom w:w="115" w:type="dxa"/>
                    <w:right w:w="115" w:type="dxa"/>
                  </w:tcMar>
                  <w:hideMark/>
                </w:tcPr>
                <w:p w14:paraId="4545E48B" w14:textId="77777777" w:rsidR="00B24B51" w:rsidRPr="004850C9" w:rsidRDefault="00B24B51" w:rsidP="007019BD">
                  <w:pPr>
                    <w:pStyle w:val="Table"/>
                    <w:jc w:val="center"/>
                    <w:rPr>
                      <w:rFonts w:ascii="Arial" w:hAnsi="Arial"/>
                      <w:sz w:val="20"/>
                      <w:szCs w:val="20"/>
                    </w:rPr>
                  </w:pPr>
                  <w:r w:rsidRPr="004850C9">
                    <w:rPr>
                      <w:rFonts w:ascii="Arial" w:hAnsi="Arial"/>
                      <w:sz w:val="20"/>
                      <w:szCs w:val="20"/>
                    </w:rPr>
                    <w:t>--</w:t>
                  </w:r>
                </w:p>
              </w:tc>
              <w:tc>
                <w:tcPr>
                  <w:tcW w:w="0" w:type="auto"/>
                  <w:tcBorders>
                    <w:left w:val="nil"/>
                    <w:bottom w:val="single" w:sz="4" w:space="0" w:color="auto"/>
                    <w:right w:val="nil"/>
                  </w:tcBorders>
                  <w:shd w:val="clear" w:color="auto" w:fill="auto"/>
                  <w:noWrap/>
                  <w:tcMar>
                    <w:top w:w="115" w:type="dxa"/>
                    <w:left w:w="115" w:type="dxa"/>
                    <w:bottom w:w="115" w:type="dxa"/>
                    <w:right w:w="115" w:type="dxa"/>
                  </w:tcMar>
                  <w:hideMark/>
                </w:tcPr>
                <w:p w14:paraId="255D74ED" w14:textId="77777777" w:rsidR="00B24B51" w:rsidRPr="004850C9" w:rsidRDefault="00B24B51" w:rsidP="007019BD">
                  <w:pPr>
                    <w:pStyle w:val="Table"/>
                    <w:jc w:val="center"/>
                    <w:rPr>
                      <w:rFonts w:ascii="Arial" w:hAnsi="Arial"/>
                      <w:sz w:val="20"/>
                      <w:szCs w:val="20"/>
                    </w:rPr>
                  </w:pPr>
                  <w:r w:rsidRPr="004850C9">
                    <w:rPr>
                      <w:rFonts w:ascii="Arial" w:hAnsi="Arial"/>
                      <w:sz w:val="20"/>
                      <w:szCs w:val="20"/>
                    </w:rPr>
                    <w:t>--</w:t>
                  </w:r>
                </w:p>
              </w:tc>
              <w:tc>
                <w:tcPr>
                  <w:tcW w:w="0" w:type="auto"/>
                  <w:tcBorders>
                    <w:left w:val="nil"/>
                    <w:bottom w:val="single" w:sz="4" w:space="0" w:color="auto"/>
                    <w:right w:val="nil"/>
                  </w:tcBorders>
                  <w:tcMar>
                    <w:top w:w="115" w:type="dxa"/>
                    <w:left w:w="115" w:type="dxa"/>
                    <w:bottom w:w="115" w:type="dxa"/>
                    <w:right w:w="115" w:type="dxa"/>
                  </w:tcMar>
                </w:tcPr>
                <w:p w14:paraId="0D5B6611" w14:textId="77777777" w:rsidR="00B24B51" w:rsidRPr="004850C9" w:rsidRDefault="00B24B51" w:rsidP="007019BD">
                  <w:pPr>
                    <w:pStyle w:val="Table"/>
                    <w:jc w:val="center"/>
                    <w:rPr>
                      <w:rFonts w:ascii="Arial" w:hAnsi="Arial"/>
                      <w:sz w:val="20"/>
                      <w:szCs w:val="20"/>
                    </w:rPr>
                  </w:pPr>
                  <w:r w:rsidRPr="004850C9">
                    <w:rPr>
                      <w:rFonts w:ascii="Arial" w:hAnsi="Arial"/>
                      <w:sz w:val="20"/>
                      <w:szCs w:val="20"/>
                    </w:rPr>
                    <w:t>CL</w:t>
                  </w:r>
                </w:p>
              </w:tc>
              <w:tc>
                <w:tcPr>
                  <w:tcW w:w="0" w:type="auto"/>
                  <w:tcBorders>
                    <w:left w:val="nil"/>
                    <w:bottom w:val="single" w:sz="4" w:space="0" w:color="auto"/>
                    <w:right w:val="nil"/>
                  </w:tcBorders>
                  <w:tcMar>
                    <w:top w:w="115" w:type="dxa"/>
                    <w:left w:w="115" w:type="dxa"/>
                    <w:bottom w:w="115" w:type="dxa"/>
                    <w:right w:w="115" w:type="dxa"/>
                  </w:tcMar>
                </w:tcPr>
                <w:p w14:paraId="066755F9" w14:textId="77777777" w:rsidR="00B24B51" w:rsidRPr="004850C9" w:rsidRDefault="00B24B51" w:rsidP="007019BD">
                  <w:pPr>
                    <w:pStyle w:val="Table"/>
                    <w:jc w:val="center"/>
                    <w:rPr>
                      <w:rFonts w:ascii="Arial" w:hAnsi="Arial"/>
                      <w:sz w:val="20"/>
                      <w:szCs w:val="20"/>
                    </w:rPr>
                  </w:pPr>
                  <w:r w:rsidRPr="004850C9">
                    <w:rPr>
                      <w:rFonts w:ascii="Arial" w:hAnsi="Arial"/>
                      <w:sz w:val="20"/>
                      <w:szCs w:val="20"/>
                    </w:rPr>
                    <w:t>6</w:t>
                  </w:r>
                </w:p>
              </w:tc>
            </w:tr>
          </w:tbl>
          <w:p w14:paraId="2465B9DC" w14:textId="77777777" w:rsidR="00B24B51" w:rsidRDefault="00B24B51" w:rsidP="00B24B51">
            <w:pPr>
              <w:spacing w:line="240" w:lineRule="auto"/>
              <w:ind w:left="720"/>
              <w:rPr>
                <w:b/>
              </w:rPr>
            </w:pPr>
          </w:p>
          <w:p w14:paraId="6D97FE5E" w14:textId="7D34516C" w:rsidR="00B24B51" w:rsidRDefault="00B24B51" w:rsidP="00B24B51">
            <w:pPr>
              <w:spacing w:line="240" w:lineRule="auto"/>
              <w:ind w:left="720"/>
            </w:pPr>
            <w:r>
              <w:rPr>
                <w:b/>
              </w:rPr>
              <w:lastRenderedPageBreak/>
              <w:t>Influence</w:t>
            </w:r>
            <w:r w:rsidRPr="00BD69E4">
              <w:rPr>
                <w:b/>
              </w:rPr>
              <w:t xml:space="preserve"> of </w:t>
            </w:r>
            <w:r>
              <w:rPr>
                <w:b/>
              </w:rPr>
              <w:t xml:space="preserve">Layer </w:t>
            </w:r>
            <w:r w:rsidRPr="00D766C3">
              <w:rPr>
                <w:b/>
              </w:rPr>
              <w:t>Thickness (T)</w:t>
            </w:r>
            <w:r>
              <w:t xml:space="preserve"> – Bartlett and </w:t>
            </w:r>
            <w:proofErr w:type="spellStart"/>
            <w:r>
              <w:t>Youd</w:t>
            </w:r>
            <w:proofErr w:type="spellEnd"/>
            <w:r>
              <w:t xml:space="preserve"> (1992, 1995) showed that cumulative thickness of the loose, saturated, sandy deposits influences the occurrence of lateral spread and the resulting amount of horizontal displacement. They defined thickness factors (i.e., independent variables) in their MLR analysis that accounted for the effect of thickness. These were T</w:t>
            </w:r>
            <w:r w:rsidRPr="00D766C3">
              <w:rPr>
                <w:vertAlign w:val="subscript"/>
              </w:rPr>
              <w:t>10</w:t>
            </w:r>
            <w:r>
              <w:t>, T</w:t>
            </w:r>
            <w:r w:rsidRPr="00D766C3">
              <w:rPr>
                <w:vertAlign w:val="subscript"/>
              </w:rPr>
              <w:t>15</w:t>
            </w:r>
            <w:r>
              <w:rPr>
                <w:vertAlign w:val="subscript"/>
              </w:rPr>
              <w:t>,</w:t>
            </w:r>
            <w:r>
              <w:t xml:space="preserve"> </w:t>
            </w:r>
            <w:r w:rsidRPr="00F757F7">
              <w:rPr>
                <w:noProof/>
              </w:rPr>
              <w:t>and</w:t>
            </w:r>
            <w:r>
              <w:t xml:space="preserve"> T</w:t>
            </w:r>
            <w:r w:rsidRPr="00D766C3">
              <w:rPr>
                <w:vertAlign w:val="subscript"/>
              </w:rPr>
              <w:t>20</w:t>
            </w:r>
            <w:r>
              <w:t>, where T is the cumulative thickness of saturated, granular deposits with N1</w:t>
            </w:r>
            <w:r w:rsidRPr="00D766C3">
              <w:rPr>
                <w:vertAlign w:val="subscript"/>
              </w:rPr>
              <w:t>60</w:t>
            </w:r>
            <w:r>
              <w:t xml:space="preserve"> values less than 10, 15, and 20, respectively. Bartlett and </w:t>
            </w:r>
            <w:proofErr w:type="spellStart"/>
            <w:r>
              <w:t>Youd</w:t>
            </w:r>
            <w:proofErr w:type="spellEnd"/>
            <w:r>
              <w:t xml:space="preserve"> (1992, 1995) were careful not to infer that these independent variables represented the </w:t>
            </w:r>
            <w:r w:rsidRPr="00F757F7">
              <w:rPr>
                <w:noProof/>
              </w:rPr>
              <w:t>thickness</w:t>
            </w:r>
            <w:r>
              <w:t xml:space="preserve"> of the “liquefied zone.” Instead, they </w:t>
            </w:r>
            <w:r w:rsidRPr="00F757F7">
              <w:rPr>
                <w:noProof/>
              </w:rPr>
              <w:t>were introduced</w:t>
            </w:r>
            <w:r>
              <w:t xml:space="preserve"> in their evaluation simply as soil factors that </w:t>
            </w:r>
            <w:r w:rsidRPr="00F757F7">
              <w:rPr>
                <w:noProof/>
              </w:rPr>
              <w:t>were correlated</w:t>
            </w:r>
            <w:r>
              <w:t xml:space="preserve"> w</w:t>
            </w:r>
            <w:r w:rsidR="00212634">
              <w:t>ith lateral spread displacement</w:t>
            </w:r>
            <w:r>
              <w:t xml:space="preserve"> </w:t>
            </w:r>
            <w:r w:rsidR="00212634">
              <w:t>(</w:t>
            </w:r>
            <w:r>
              <w:t>hence useful without the need of performing liquefaction analysis procedures)</w:t>
            </w:r>
            <w:r w:rsidRPr="004850C9">
              <w:rPr>
                <w:noProof/>
              </w:rPr>
              <w:t>. Regarding</w:t>
            </w:r>
            <w:r>
              <w:t xml:space="preserve"> this, the thinnest T</w:t>
            </w:r>
            <w:r w:rsidRPr="00D766C3">
              <w:rPr>
                <w:vertAlign w:val="subscript"/>
              </w:rPr>
              <w:t>15</w:t>
            </w:r>
            <w:r>
              <w:rPr>
                <w:vertAlign w:val="subscript"/>
              </w:rPr>
              <w:t xml:space="preserve"> </w:t>
            </w:r>
            <w:r>
              <w:t xml:space="preserve">layer in the Bartlett and </w:t>
            </w:r>
            <w:proofErr w:type="spellStart"/>
            <w:r>
              <w:t>Youd</w:t>
            </w:r>
            <w:proofErr w:type="spellEnd"/>
            <w:r>
              <w:t xml:space="preserve"> (1995) dataset in which </w:t>
            </w:r>
            <w:r w:rsidRPr="00F757F7">
              <w:rPr>
                <w:noProof/>
              </w:rPr>
              <w:t>measurable</w:t>
            </w:r>
            <w:r>
              <w:t xml:space="preserve"> lateral spread displacement occurred was about 1.0 m. The thinnest layer observed in CPT data is about 0.6 m (</w:t>
            </w:r>
            <w:proofErr w:type="spellStart"/>
            <w:r>
              <w:t>Youd</w:t>
            </w:r>
            <w:proofErr w:type="spellEnd"/>
            <w:r>
              <w:t xml:space="preserve">, 2018). Hence, it appears that layers with </w:t>
            </w:r>
            <w:r w:rsidRPr="00F757F7">
              <w:rPr>
                <w:noProof/>
              </w:rPr>
              <w:t>a thickness</w:t>
            </w:r>
            <w:r>
              <w:t xml:space="preserve"> less than this are either not continuous across the site or do not have </w:t>
            </w:r>
            <w:r w:rsidRPr="00F757F7">
              <w:rPr>
                <w:noProof/>
              </w:rPr>
              <w:t>a sufficient</w:t>
            </w:r>
            <w:r>
              <w:t xml:space="preserve"> thickness to generate sufficient water migration to induce lateral spread displacement (Bartlett and </w:t>
            </w:r>
            <w:proofErr w:type="spellStart"/>
            <w:r>
              <w:t>Youd</w:t>
            </w:r>
            <w:proofErr w:type="spellEnd"/>
            <w:r>
              <w:t>, 1992).</w:t>
            </w:r>
          </w:p>
          <w:p w14:paraId="7B0646FE" w14:textId="77777777" w:rsidR="00B24B51" w:rsidRDefault="00B24B51" w:rsidP="00B24B51">
            <w:pPr>
              <w:spacing w:line="240" w:lineRule="auto"/>
              <w:ind w:left="720"/>
            </w:pPr>
            <w:r>
              <w:rPr>
                <w:b/>
              </w:rPr>
              <w:t>Influence</w:t>
            </w:r>
            <w:r w:rsidRPr="00FF4A82">
              <w:rPr>
                <w:b/>
              </w:rPr>
              <w:t xml:space="preserve"> of Soil Density</w:t>
            </w:r>
            <w:r>
              <w:rPr>
                <w:b/>
              </w:rPr>
              <w:t xml:space="preserve"> (D)</w:t>
            </w:r>
            <w:r>
              <w:t xml:space="preserve"> – From their MLR database, Bartlett and </w:t>
            </w:r>
            <w:proofErr w:type="spellStart"/>
            <w:r>
              <w:t>Youd</w:t>
            </w:r>
            <w:proofErr w:type="spellEnd"/>
            <w:r>
              <w:t xml:space="preserve"> (1992) and </w:t>
            </w:r>
            <w:proofErr w:type="spellStart"/>
            <w:r>
              <w:t>Youd</w:t>
            </w:r>
            <w:proofErr w:type="spellEnd"/>
            <w:r>
              <w:t xml:space="preserve"> et al. (2002) concluded that sediments susceptible to lateral spread generally have SPT N1</w:t>
            </w:r>
            <w:r w:rsidRPr="005E5F42">
              <w:rPr>
                <w:vertAlign w:val="subscript"/>
              </w:rPr>
              <w:t>60</w:t>
            </w:r>
            <w:r>
              <w:t xml:space="preserve"> values less than 10 and almost always have SPT N1</w:t>
            </w:r>
            <w:r w:rsidRPr="005E5F42">
              <w:rPr>
                <w:vertAlign w:val="subscript"/>
              </w:rPr>
              <w:t>60</w:t>
            </w:r>
            <w:r>
              <w:t xml:space="preserve"> </w:t>
            </w:r>
            <w:r w:rsidRPr="00D766C3">
              <w:rPr>
                <w:noProof/>
              </w:rPr>
              <w:t>less</w:t>
            </w:r>
            <w:r>
              <w:t xml:space="preserve"> than 15. Nonetheless, the influence that soil density (i.e., SPT N values) has on the probability of lateral spread occurrence will be more rigorously explored using logistic analyses.</w:t>
            </w:r>
          </w:p>
          <w:p w14:paraId="3ADE7F3A" w14:textId="77777777" w:rsidR="00B24B51" w:rsidRDefault="00B24B51" w:rsidP="00B24B51">
            <w:pPr>
              <w:spacing w:line="240" w:lineRule="auto"/>
              <w:ind w:left="720"/>
            </w:pPr>
            <w:r>
              <w:rPr>
                <w:b/>
              </w:rPr>
              <w:t xml:space="preserve">Influence </w:t>
            </w:r>
            <w:r w:rsidRPr="00D766C3">
              <w:rPr>
                <w:b/>
              </w:rPr>
              <w:t>of Depth (Z)</w:t>
            </w:r>
            <w:r>
              <w:rPr>
                <w:b/>
              </w:rPr>
              <w:t xml:space="preserve"> – </w:t>
            </w:r>
            <w:r>
              <w:t xml:space="preserve">Bartlett and </w:t>
            </w:r>
            <w:proofErr w:type="spellStart"/>
            <w:r>
              <w:t>Youd</w:t>
            </w:r>
            <w:proofErr w:type="spellEnd"/>
            <w:r>
              <w:t xml:space="preserve"> (1992) found that the depth to the critical zone, defined as the lowest N1</w:t>
            </w:r>
            <w:r w:rsidRPr="004850C9">
              <w:rPr>
                <w:vertAlign w:val="subscript"/>
              </w:rPr>
              <w:t>60</w:t>
            </w:r>
            <w:r>
              <w:t xml:space="preserve"> value in saturated, granular deposits, was almost always in the upper 15 m of the soil profile. Therefore, the influence of depth will also be explored during this research.</w:t>
            </w:r>
          </w:p>
          <w:p w14:paraId="5FAEEF70" w14:textId="77777777" w:rsidR="00B24B51" w:rsidRDefault="00B24B51" w:rsidP="00B24B51">
            <w:pPr>
              <w:spacing w:line="240" w:lineRule="auto"/>
              <w:ind w:left="720"/>
            </w:pPr>
            <w:r w:rsidRPr="004850C9">
              <w:rPr>
                <w:b/>
              </w:rPr>
              <w:t>Influence of Relative Geologic Susceptibility</w:t>
            </w:r>
            <w:r>
              <w:rPr>
                <w:b/>
              </w:rPr>
              <w:t xml:space="preserve"> (G)</w:t>
            </w:r>
            <w:r w:rsidRPr="004850C9">
              <w:rPr>
                <w:b/>
              </w:rPr>
              <w:t xml:space="preserve"> </w:t>
            </w:r>
            <w:r>
              <w:t xml:space="preserve">– Table 4 will be used to score the relative susceptibility of the deposits according to depositional environment (i.e., type of deposit) and age. G will be scored as 5 for very high, 4 for high, 3 for moderate, 2 for low and 1 for very low in the </w:t>
            </w:r>
            <w:proofErr w:type="spellStart"/>
            <w:r>
              <w:t>logit</w:t>
            </w:r>
            <w:proofErr w:type="spellEnd"/>
            <w:r>
              <w:t xml:space="preserve"> evaluations.</w:t>
            </w:r>
          </w:p>
          <w:p w14:paraId="55248FE6" w14:textId="77777777" w:rsidR="00B24B51" w:rsidRPr="004D7208" w:rsidRDefault="00B24B51" w:rsidP="00B24B51">
            <w:pPr>
              <w:pStyle w:val="Caption"/>
              <w:ind w:left="1080"/>
              <w:jc w:val="center"/>
            </w:pPr>
            <w:bookmarkStart w:id="3" w:name="_Ref330222172"/>
            <w:bookmarkStart w:id="4" w:name="_Toc336935261"/>
            <w:r w:rsidRPr="004D7208">
              <w:t xml:space="preserve">Table </w:t>
            </w:r>
            <w:bookmarkEnd w:id="3"/>
            <w:r>
              <w:rPr>
                <w:noProof/>
              </w:rPr>
              <w:t>4.</w:t>
            </w:r>
            <w:r w:rsidRPr="004D7208">
              <w:t xml:space="preserve">  </w:t>
            </w:r>
            <w:r w:rsidRPr="004D7208">
              <w:rPr>
                <w:szCs w:val="24"/>
              </w:rPr>
              <w:t>Estimated susceptibility of sedimentary deposits to liquefaction during strong seismic shaking (</w:t>
            </w:r>
            <w:r>
              <w:rPr>
                <w:szCs w:val="24"/>
              </w:rPr>
              <w:t>after</w:t>
            </w:r>
            <w:r w:rsidRPr="004D7208">
              <w:rPr>
                <w:szCs w:val="24"/>
              </w:rPr>
              <w:t xml:space="preserve"> </w:t>
            </w:r>
            <w:proofErr w:type="spellStart"/>
            <w:r w:rsidRPr="004D7208">
              <w:rPr>
                <w:szCs w:val="24"/>
              </w:rPr>
              <w:t>Youd</w:t>
            </w:r>
            <w:proofErr w:type="spellEnd"/>
            <w:r w:rsidRPr="004D7208">
              <w:rPr>
                <w:szCs w:val="24"/>
              </w:rPr>
              <w:t xml:space="preserve"> and Perkins</w:t>
            </w:r>
            <w:r>
              <w:rPr>
                <w:szCs w:val="24"/>
              </w:rPr>
              <w:t xml:space="preserve"> </w:t>
            </w:r>
            <w:r w:rsidRPr="004D7208">
              <w:rPr>
                <w:szCs w:val="24"/>
              </w:rPr>
              <w:t>1978)</w:t>
            </w:r>
            <w:bookmarkEnd w:id="4"/>
          </w:p>
          <w:tbl>
            <w:tblPr>
              <w:tblW w:w="8655" w:type="dxa"/>
              <w:jc w:val="center"/>
              <w:tblInd w:w="720" w:type="dxa"/>
              <w:tblLook w:val="0000" w:firstRow="0" w:lastRow="0" w:firstColumn="0" w:lastColumn="0" w:noHBand="0" w:noVBand="0"/>
            </w:tblPr>
            <w:tblGrid>
              <w:gridCol w:w="2085"/>
              <w:gridCol w:w="1800"/>
              <w:gridCol w:w="1170"/>
              <w:gridCol w:w="1080"/>
              <w:gridCol w:w="1260"/>
              <w:gridCol w:w="1260"/>
            </w:tblGrid>
            <w:tr w:rsidR="00B24B51" w:rsidRPr="004D7208" w14:paraId="07EC94AC" w14:textId="77777777" w:rsidTr="00B24B51">
              <w:trPr>
                <w:cantSplit/>
                <w:trHeight w:val="522"/>
                <w:jc w:val="center"/>
              </w:trPr>
              <w:tc>
                <w:tcPr>
                  <w:tcW w:w="2085" w:type="dxa"/>
                  <w:vMerge w:val="restart"/>
                  <w:tcBorders>
                    <w:top w:val="double" w:sz="6" w:space="0" w:color="auto"/>
                    <w:left w:val="nil"/>
                    <w:bottom w:val="nil"/>
                    <w:right w:val="single" w:sz="4" w:space="0" w:color="auto"/>
                  </w:tcBorders>
                  <w:vAlign w:val="bottom"/>
                </w:tcPr>
                <w:p w14:paraId="76B16030" w14:textId="77777777" w:rsidR="00B24B51" w:rsidRPr="004850C9" w:rsidRDefault="00B24B51" w:rsidP="007019BD">
                  <w:pPr>
                    <w:pStyle w:val="Table1"/>
                    <w:rPr>
                      <w:sz w:val="16"/>
                      <w:szCs w:val="16"/>
                    </w:rPr>
                  </w:pPr>
                  <w:r w:rsidRPr="004850C9">
                    <w:rPr>
                      <w:sz w:val="16"/>
                      <w:szCs w:val="16"/>
                    </w:rPr>
                    <w:t xml:space="preserve">Type of Deposit </w:t>
                  </w:r>
                </w:p>
              </w:tc>
              <w:tc>
                <w:tcPr>
                  <w:tcW w:w="1800" w:type="dxa"/>
                  <w:vMerge w:val="restart"/>
                  <w:tcBorders>
                    <w:top w:val="double" w:sz="6" w:space="0" w:color="auto"/>
                    <w:left w:val="single" w:sz="4" w:space="0" w:color="auto"/>
                    <w:bottom w:val="nil"/>
                    <w:right w:val="single" w:sz="4" w:space="0" w:color="auto"/>
                  </w:tcBorders>
                  <w:vAlign w:val="bottom"/>
                </w:tcPr>
                <w:p w14:paraId="0DC41863" w14:textId="77777777" w:rsidR="00B24B51" w:rsidRPr="004850C9" w:rsidRDefault="00B24B51" w:rsidP="007019BD">
                  <w:pPr>
                    <w:pStyle w:val="Table1"/>
                    <w:rPr>
                      <w:sz w:val="16"/>
                      <w:szCs w:val="16"/>
                    </w:rPr>
                  </w:pPr>
                  <w:r w:rsidRPr="004850C9">
                    <w:rPr>
                      <w:sz w:val="16"/>
                      <w:szCs w:val="16"/>
                    </w:rPr>
                    <w:t xml:space="preserve">General Distribution of </w:t>
                  </w:r>
                  <w:proofErr w:type="spellStart"/>
                  <w:r w:rsidRPr="004850C9">
                    <w:rPr>
                      <w:sz w:val="16"/>
                      <w:szCs w:val="16"/>
                    </w:rPr>
                    <w:t>Cohesionless</w:t>
                  </w:r>
                  <w:proofErr w:type="spellEnd"/>
                  <w:r w:rsidRPr="004850C9">
                    <w:rPr>
                      <w:sz w:val="16"/>
                      <w:szCs w:val="16"/>
                    </w:rPr>
                    <w:t xml:space="preserve"> sediments in deposits</w:t>
                  </w:r>
                </w:p>
              </w:tc>
              <w:tc>
                <w:tcPr>
                  <w:tcW w:w="4770" w:type="dxa"/>
                  <w:gridSpan w:val="4"/>
                  <w:tcBorders>
                    <w:top w:val="double" w:sz="6" w:space="0" w:color="auto"/>
                    <w:left w:val="nil"/>
                    <w:bottom w:val="single" w:sz="4" w:space="0" w:color="auto"/>
                    <w:right w:val="nil"/>
                  </w:tcBorders>
                  <w:vAlign w:val="bottom"/>
                </w:tcPr>
                <w:p w14:paraId="36E846B0" w14:textId="77777777" w:rsidR="00B24B51" w:rsidRPr="004850C9" w:rsidRDefault="00B24B51" w:rsidP="007019BD">
                  <w:pPr>
                    <w:pStyle w:val="Table1"/>
                    <w:rPr>
                      <w:sz w:val="16"/>
                      <w:szCs w:val="16"/>
                    </w:rPr>
                  </w:pPr>
                  <w:r w:rsidRPr="004850C9">
                    <w:rPr>
                      <w:sz w:val="16"/>
                      <w:szCs w:val="16"/>
                    </w:rPr>
                    <w:t xml:space="preserve">Likelihood that </w:t>
                  </w:r>
                  <w:proofErr w:type="spellStart"/>
                  <w:r w:rsidRPr="004850C9">
                    <w:rPr>
                      <w:sz w:val="16"/>
                      <w:szCs w:val="16"/>
                    </w:rPr>
                    <w:t>Cohesionless</w:t>
                  </w:r>
                  <w:proofErr w:type="spellEnd"/>
                  <w:r w:rsidRPr="004850C9">
                    <w:rPr>
                      <w:sz w:val="16"/>
                      <w:szCs w:val="16"/>
                    </w:rPr>
                    <w:t xml:space="preserve"> Sediments, When Saturated, Would be Susceptible to Liquefaction (by Age of Deposit)</w:t>
                  </w:r>
                </w:p>
              </w:tc>
            </w:tr>
            <w:tr w:rsidR="00B24B51" w:rsidRPr="004D7208" w14:paraId="094F6A9F" w14:textId="77777777" w:rsidTr="00B24B51">
              <w:trPr>
                <w:cantSplit/>
                <w:trHeight w:val="510"/>
                <w:jc w:val="center"/>
              </w:trPr>
              <w:tc>
                <w:tcPr>
                  <w:tcW w:w="2085" w:type="dxa"/>
                  <w:vMerge/>
                  <w:tcBorders>
                    <w:top w:val="single" w:sz="4" w:space="0" w:color="auto"/>
                    <w:left w:val="nil"/>
                    <w:bottom w:val="nil"/>
                    <w:right w:val="single" w:sz="4" w:space="0" w:color="auto"/>
                  </w:tcBorders>
                  <w:vAlign w:val="center"/>
                </w:tcPr>
                <w:p w14:paraId="1A104FF2" w14:textId="77777777" w:rsidR="00B24B51" w:rsidRPr="004850C9" w:rsidRDefault="00B24B51" w:rsidP="007019BD">
                  <w:pPr>
                    <w:pStyle w:val="Table1"/>
                    <w:rPr>
                      <w:sz w:val="16"/>
                      <w:szCs w:val="16"/>
                    </w:rPr>
                  </w:pPr>
                </w:p>
              </w:tc>
              <w:tc>
                <w:tcPr>
                  <w:tcW w:w="1800" w:type="dxa"/>
                  <w:vMerge/>
                  <w:tcBorders>
                    <w:top w:val="single" w:sz="4" w:space="0" w:color="auto"/>
                    <w:left w:val="single" w:sz="4" w:space="0" w:color="auto"/>
                    <w:bottom w:val="nil"/>
                    <w:right w:val="single" w:sz="4" w:space="0" w:color="auto"/>
                  </w:tcBorders>
                  <w:vAlign w:val="center"/>
                </w:tcPr>
                <w:p w14:paraId="7ED7B8FF" w14:textId="77777777" w:rsidR="00B24B51" w:rsidRPr="004850C9" w:rsidRDefault="00B24B51" w:rsidP="007019BD">
                  <w:pPr>
                    <w:pStyle w:val="Table1"/>
                    <w:rPr>
                      <w:sz w:val="16"/>
                      <w:szCs w:val="16"/>
                    </w:rPr>
                  </w:pPr>
                </w:p>
              </w:tc>
              <w:tc>
                <w:tcPr>
                  <w:tcW w:w="1170" w:type="dxa"/>
                  <w:tcBorders>
                    <w:top w:val="nil"/>
                    <w:left w:val="nil"/>
                    <w:bottom w:val="nil"/>
                    <w:right w:val="single" w:sz="4" w:space="0" w:color="auto"/>
                  </w:tcBorders>
                  <w:vAlign w:val="bottom"/>
                </w:tcPr>
                <w:p w14:paraId="34E116C8" w14:textId="77777777" w:rsidR="00B24B51" w:rsidRPr="004850C9" w:rsidRDefault="00B24B51" w:rsidP="007019BD">
                  <w:pPr>
                    <w:pStyle w:val="Table1"/>
                    <w:rPr>
                      <w:sz w:val="16"/>
                      <w:szCs w:val="16"/>
                    </w:rPr>
                  </w:pPr>
                  <w:r w:rsidRPr="004850C9">
                    <w:rPr>
                      <w:sz w:val="16"/>
                      <w:szCs w:val="16"/>
                    </w:rPr>
                    <w:t xml:space="preserve">&lt;500 </w:t>
                  </w:r>
                  <w:proofErr w:type="spellStart"/>
                  <w:r w:rsidRPr="004850C9">
                    <w:rPr>
                      <w:sz w:val="16"/>
                      <w:szCs w:val="16"/>
                    </w:rPr>
                    <w:t>yr</w:t>
                  </w:r>
                  <w:proofErr w:type="spellEnd"/>
                </w:p>
              </w:tc>
              <w:tc>
                <w:tcPr>
                  <w:tcW w:w="1080" w:type="dxa"/>
                  <w:tcBorders>
                    <w:top w:val="nil"/>
                    <w:left w:val="nil"/>
                    <w:bottom w:val="nil"/>
                    <w:right w:val="single" w:sz="4" w:space="0" w:color="auto"/>
                  </w:tcBorders>
                  <w:vAlign w:val="bottom"/>
                </w:tcPr>
                <w:p w14:paraId="3A33D225" w14:textId="77777777" w:rsidR="00B24B51" w:rsidRPr="004850C9" w:rsidRDefault="00B24B51" w:rsidP="007019BD">
                  <w:pPr>
                    <w:pStyle w:val="Table1"/>
                    <w:rPr>
                      <w:sz w:val="16"/>
                      <w:szCs w:val="16"/>
                    </w:rPr>
                  </w:pPr>
                  <w:r w:rsidRPr="004850C9">
                    <w:rPr>
                      <w:sz w:val="16"/>
                      <w:szCs w:val="16"/>
                    </w:rPr>
                    <w:t>Holocene</w:t>
                  </w:r>
                </w:p>
              </w:tc>
              <w:tc>
                <w:tcPr>
                  <w:tcW w:w="1260" w:type="dxa"/>
                  <w:tcBorders>
                    <w:top w:val="nil"/>
                    <w:left w:val="nil"/>
                    <w:bottom w:val="nil"/>
                    <w:right w:val="single" w:sz="4" w:space="0" w:color="auto"/>
                  </w:tcBorders>
                  <w:vAlign w:val="bottom"/>
                </w:tcPr>
                <w:p w14:paraId="7111A6F6" w14:textId="77777777" w:rsidR="00B24B51" w:rsidRPr="004850C9" w:rsidRDefault="00B24B51" w:rsidP="007019BD">
                  <w:pPr>
                    <w:pStyle w:val="Table1"/>
                    <w:rPr>
                      <w:sz w:val="16"/>
                      <w:szCs w:val="16"/>
                    </w:rPr>
                  </w:pPr>
                  <w:r w:rsidRPr="004850C9">
                    <w:rPr>
                      <w:sz w:val="16"/>
                      <w:szCs w:val="16"/>
                    </w:rPr>
                    <w:t>Pleistocene</w:t>
                  </w:r>
                </w:p>
              </w:tc>
              <w:tc>
                <w:tcPr>
                  <w:tcW w:w="1260" w:type="dxa"/>
                  <w:tcBorders>
                    <w:top w:val="nil"/>
                    <w:left w:val="nil"/>
                    <w:bottom w:val="nil"/>
                    <w:right w:val="nil"/>
                  </w:tcBorders>
                  <w:vAlign w:val="bottom"/>
                </w:tcPr>
                <w:p w14:paraId="4D3F1D2F" w14:textId="77777777" w:rsidR="00B24B51" w:rsidRPr="004850C9" w:rsidRDefault="00B24B51" w:rsidP="007019BD">
                  <w:pPr>
                    <w:pStyle w:val="Table1"/>
                    <w:rPr>
                      <w:sz w:val="16"/>
                      <w:szCs w:val="16"/>
                    </w:rPr>
                  </w:pPr>
                  <w:r w:rsidRPr="004850C9">
                    <w:rPr>
                      <w:sz w:val="16"/>
                      <w:szCs w:val="16"/>
                    </w:rPr>
                    <w:t>Pre-Pleistocene</w:t>
                  </w:r>
                </w:p>
              </w:tc>
            </w:tr>
            <w:tr w:rsidR="00B24B51" w:rsidRPr="004D7208" w14:paraId="28ADAF10" w14:textId="77777777" w:rsidTr="00B24B51">
              <w:trPr>
                <w:trHeight w:val="255"/>
                <w:jc w:val="center"/>
              </w:trPr>
              <w:tc>
                <w:tcPr>
                  <w:tcW w:w="2085" w:type="dxa"/>
                  <w:tcBorders>
                    <w:top w:val="nil"/>
                    <w:left w:val="nil"/>
                    <w:bottom w:val="single" w:sz="4" w:space="0" w:color="auto"/>
                    <w:right w:val="single" w:sz="4" w:space="0" w:color="auto"/>
                  </w:tcBorders>
                  <w:noWrap/>
                  <w:vAlign w:val="bottom"/>
                </w:tcPr>
                <w:p w14:paraId="46BA015F" w14:textId="77777777" w:rsidR="00B24B51" w:rsidRPr="004850C9" w:rsidRDefault="00B24B51" w:rsidP="007019BD">
                  <w:pPr>
                    <w:pStyle w:val="Table1"/>
                    <w:rPr>
                      <w:sz w:val="16"/>
                      <w:szCs w:val="16"/>
                    </w:rPr>
                  </w:pPr>
                  <w:r w:rsidRPr="004850C9">
                    <w:rPr>
                      <w:sz w:val="16"/>
                      <w:szCs w:val="16"/>
                    </w:rPr>
                    <w:t>(1)</w:t>
                  </w:r>
                </w:p>
              </w:tc>
              <w:tc>
                <w:tcPr>
                  <w:tcW w:w="1800" w:type="dxa"/>
                  <w:tcBorders>
                    <w:top w:val="nil"/>
                    <w:left w:val="nil"/>
                    <w:bottom w:val="single" w:sz="4" w:space="0" w:color="auto"/>
                    <w:right w:val="single" w:sz="4" w:space="0" w:color="auto"/>
                  </w:tcBorders>
                  <w:noWrap/>
                  <w:vAlign w:val="bottom"/>
                </w:tcPr>
                <w:p w14:paraId="68D36869" w14:textId="77777777" w:rsidR="00B24B51" w:rsidRPr="004850C9" w:rsidRDefault="00B24B51" w:rsidP="007019BD">
                  <w:pPr>
                    <w:pStyle w:val="Table1"/>
                    <w:rPr>
                      <w:sz w:val="16"/>
                      <w:szCs w:val="16"/>
                    </w:rPr>
                  </w:pPr>
                  <w:r w:rsidRPr="004850C9">
                    <w:rPr>
                      <w:sz w:val="16"/>
                      <w:szCs w:val="16"/>
                    </w:rPr>
                    <w:t>(2)</w:t>
                  </w:r>
                </w:p>
              </w:tc>
              <w:tc>
                <w:tcPr>
                  <w:tcW w:w="1170" w:type="dxa"/>
                  <w:tcBorders>
                    <w:top w:val="nil"/>
                    <w:left w:val="nil"/>
                    <w:bottom w:val="single" w:sz="4" w:space="0" w:color="auto"/>
                    <w:right w:val="single" w:sz="4" w:space="0" w:color="auto"/>
                  </w:tcBorders>
                  <w:noWrap/>
                  <w:vAlign w:val="bottom"/>
                </w:tcPr>
                <w:p w14:paraId="11596840" w14:textId="77777777" w:rsidR="00B24B51" w:rsidRPr="004850C9" w:rsidRDefault="00B24B51" w:rsidP="007019BD">
                  <w:pPr>
                    <w:pStyle w:val="Table1"/>
                    <w:rPr>
                      <w:sz w:val="16"/>
                      <w:szCs w:val="16"/>
                    </w:rPr>
                  </w:pPr>
                  <w:r w:rsidRPr="004850C9">
                    <w:rPr>
                      <w:sz w:val="16"/>
                      <w:szCs w:val="16"/>
                    </w:rPr>
                    <w:t>(3)</w:t>
                  </w:r>
                </w:p>
              </w:tc>
              <w:tc>
                <w:tcPr>
                  <w:tcW w:w="1080" w:type="dxa"/>
                  <w:tcBorders>
                    <w:top w:val="nil"/>
                    <w:left w:val="nil"/>
                    <w:bottom w:val="single" w:sz="4" w:space="0" w:color="auto"/>
                    <w:right w:val="single" w:sz="4" w:space="0" w:color="auto"/>
                  </w:tcBorders>
                  <w:noWrap/>
                  <w:vAlign w:val="bottom"/>
                </w:tcPr>
                <w:p w14:paraId="2E012C81" w14:textId="77777777" w:rsidR="00B24B51" w:rsidRPr="004850C9" w:rsidRDefault="00B24B51" w:rsidP="007019BD">
                  <w:pPr>
                    <w:pStyle w:val="Table1"/>
                    <w:rPr>
                      <w:sz w:val="16"/>
                      <w:szCs w:val="16"/>
                    </w:rPr>
                  </w:pPr>
                  <w:r w:rsidRPr="004850C9">
                    <w:rPr>
                      <w:sz w:val="16"/>
                      <w:szCs w:val="16"/>
                    </w:rPr>
                    <w:t>(4)</w:t>
                  </w:r>
                </w:p>
              </w:tc>
              <w:tc>
                <w:tcPr>
                  <w:tcW w:w="1260" w:type="dxa"/>
                  <w:tcBorders>
                    <w:top w:val="nil"/>
                    <w:left w:val="nil"/>
                    <w:bottom w:val="single" w:sz="4" w:space="0" w:color="auto"/>
                    <w:right w:val="single" w:sz="4" w:space="0" w:color="auto"/>
                  </w:tcBorders>
                  <w:noWrap/>
                  <w:vAlign w:val="bottom"/>
                </w:tcPr>
                <w:p w14:paraId="7E150EC0" w14:textId="77777777" w:rsidR="00B24B51" w:rsidRPr="004850C9" w:rsidRDefault="00B24B51" w:rsidP="007019BD">
                  <w:pPr>
                    <w:pStyle w:val="Table1"/>
                    <w:rPr>
                      <w:sz w:val="16"/>
                      <w:szCs w:val="16"/>
                    </w:rPr>
                  </w:pPr>
                  <w:r w:rsidRPr="004850C9">
                    <w:rPr>
                      <w:sz w:val="16"/>
                      <w:szCs w:val="16"/>
                    </w:rPr>
                    <w:t>(5)</w:t>
                  </w:r>
                </w:p>
              </w:tc>
              <w:tc>
                <w:tcPr>
                  <w:tcW w:w="1260" w:type="dxa"/>
                  <w:tcBorders>
                    <w:top w:val="nil"/>
                    <w:left w:val="nil"/>
                    <w:bottom w:val="single" w:sz="4" w:space="0" w:color="auto"/>
                    <w:right w:val="nil"/>
                  </w:tcBorders>
                  <w:noWrap/>
                  <w:vAlign w:val="bottom"/>
                </w:tcPr>
                <w:p w14:paraId="08E3DD4E" w14:textId="77777777" w:rsidR="00B24B51" w:rsidRPr="004850C9" w:rsidRDefault="00B24B51" w:rsidP="007019BD">
                  <w:pPr>
                    <w:pStyle w:val="Table1"/>
                    <w:rPr>
                      <w:sz w:val="16"/>
                      <w:szCs w:val="16"/>
                    </w:rPr>
                  </w:pPr>
                  <w:r w:rsidRPr="004850C9">
                    <w:rPr>
                      <w:sz w:val="16"/>
                      <w:szCs w:val="16"/>
                    </w:rPr>
                    <w:t>(6)</w:t>
                  </w:r>
                </w:p>
              </w:tc>
            </w:tr>
            <w:tr w:rsidR="00B24B51" w:rsidRPr="004D7208" w14:paraId="6A3734E7" w14:textId="77777777" w:rsidTr="00B24B51">
              <w:trPr>
                <w:trHeight w:val="300"/>
                <w:jc w:val="center"/>
              </w:trPr>
              <w:tc>
                <w:tcPr>
                  <w:tcW w:w="8655" w:type="dxa"/>
                  <w:gridSpan w:val="6"/>
                  <w:tcBorders>
                    <w:top w:val="single" w:sz="4" w:space="0" w:color="auto"/>
                    <w:left w:val="nil"/>
                    <w:bottom w:val="single" w:sz="4" w:space="0" w:color="auto"/>
                    <w:right w:val="nil"/>
                  </w:tcBorders>
                  <w:noWrap/>
                  <w:vAlign w:val="bottom"/>
                </w:tcPr>
                <w:p w14:paraId="2A21B55B" w14:textId="77777777" w:rsidR="00B24B51" w:rsidRPr="004850C9" w:rsidRDefault="00B24B51" w:rsidP="007019BD">
                  <w:pPr>
                    <w:pStyle w:val="Table1"/>
                    <w:rPr>
                      <w:sz w:val="16"/>
                      <w:szCs w:val="16"/>
                    </w:rPr>
                  </w:pPr>
                  <w:r w:rsidRPr="004850C9">
                    <w:rPr>
                      <w:sz w:val="16"/>
                      <w:szCs w:val="16"/>
                    </w:rPr>
                    <w:t>(a) Continental Deposits</w:t>
                  </w:r>
                </w:p>
              </w:tc>
            </w:tr>
            <w:tr w:rsidR="00B24B51" w:rsidRPr="004D7208" w14:paraId="36392C80" w14:textId="77777777" w:rsidTr="00B24B51">
              <w:trPr>
                <w:trHeight w:val="269"/>
                <w:jc w:val="center"/>
              </w:trPr>
              <w:tc>
                <w:tcPr>
                  <w:tcW w:w="2085" w:type="dxa"/>
                  <w:tcBorders>
                    <w:top w:val="nil"/>
                    <w:left w:val="nil"/>
                    <w:bottom w:val="nil"/>
                    <w:right w:val="single" w:sz="4" w:space="0" w:color="auto"/>
                  </w:tcBorders>
                  <w:vAlign w:val="bottom"/>
                </w:tcPr>
                <w:p w14:paraId="62F581BE" w14:textId="77777777" w:rsidR="00B24B51" w:rsidRPr="004850C9" w:rsidRDefault="00B24B51" w:rsidP="007019BD">
                  <w:pPr>
                    <w:pStyle w:val="Table1"/>
                    <w:jc w:val="left"/>
                    <w:rPr>
                      <w:sz w:val="16"/>
                      <w:szCs w:val="16"/>
                    </w:rPr>
                  </w:pPr>
                  <w:r w:rsidRPr="004850C9">
                    <w:rPr>
                      <w:sz w:val="16"/>
                      <w:szCs w:val="16"/>
                    </w:rPr>
                    <w:t>River Channel</w:t>
                  </w:r>
                </w:p>
              </w:tc>
              <w:tc>
                <w:tcPr>
                  <w:tcW w:w="1800" w:type="dxa"/>
                  <w:tcBorders>
                    <w:top w:val="nil"/>
                    <w:left w:val="nil"/>
                    <w:bottom w:val="nil"/>
                    <w:right w:val="single" w:sz="4" w:space="0" w:color="auto"/>
                  </w:tcBorders>
                  <w:vAlign w:val="bottom"/>
                </w:tcPr>
                <w:p w14:paraId="7F7F5194" w14:textId="77777777" w:rsidR="00B24B51" w:rsidRPr="004850C9" w:rsidRDefault="00B24B51" w:rsidP="007019BD">
                  <w:pPr>
                    <w:pStyle w:val="Table1"/>
                    <w:jc w:val="left"/>
                    <w:rPr>
                      <w:sz w:val="16"/>
                      <w:szCs w:val="16"/>
                    </w:rPr>
                  </w:pPr>
                  <w:r w:rsidRPr="004850C9">
                    <w:rPr>
                      <w:sz w:val="16"/>
                      <w:szCs w:val="16"/>
                    </w:rPr>
                    <w:t>Locally Variable</w:t>
                  </w:r>
                </w:p>
              </w:tc>
              <w:tc>
                <w:tcPr>
                  <w:tcW w:w="1170" w:type="dxa"/>
                  <w:tcBorders>
                    <w:top w:val="nil"/>
                    <w:left w:val="nil"/>
                    <w:bottom w:val="nil"/>
                    <w:right w:val="single" w:sz="4" w:space="0" w:color="auto"/>
                  </w:tcBorders>
                  <w:vAlign w:val="bottom"/>
                </w:tcPr>
                <w:p w14:paraId="526988C2" w14:textId="77777777" w:rsidR="00B24B51" w:rsidRPr="004850C9" w:rsidRDefault="00B24B51" w:rsidP="007019BD">
                  <w:pPr>
                    <w:pStyle w:val="Table1"/>
                    <w:rPr>
                      <w:sz w:val="16"/>
                      <w:szCs w:val="16"/>
                    </w:rPr>
                  </w:pPr>
                  <w:r w:rsidRPr="004850C9">
                    <w:rPr>
                      <w:sz w:val="16"/>
                      <w:szCs w:val="16"/>
                    </w:rPr>
                    <w:t>Very High</w:t>
                  </w:r>
                </w:p>
              </w:tc>
              <w:tc>
                <w:tcPr>
                  <w:tcW w:w="1080" w:type="dxa"/>
                  <w:tcBorders>
                    <w:top w:val="nil"/>
                    <w:left w:val="nil"/>
                    <w:bottom w:val="nil"/>
                    <w:right w:val="single" w:sz="4" w:space="0" w:color="auto"/>
                  </w:tcBorders>
                  <w:vAlign w:val="bottom"/>
                </w:tcPr>
                <w:p w14:paraId="35B06D31" w14:textId="77777777" w:rsidR="00B24B51" w:rsidRPr="004850C9" w:rsidRDefault="00B24B51" w:rsidP="007019BD">
                  <w:pPr>
                    <w:pStyle w:val="Table1"/>
                    <w:rPr>
                      <w:sz w:val="16"/>
                      <w:szCs w:val="16"/>
                    </w:rPr>
                  </w:pPr>
                  <w:r w:rsidRPr="004850C9">
                    <w:rPr>
                      <w:sz w:val="16"/>
                      <w:szCs w:val="16"/>
                    </w:rPr>
                    <w:t>High</w:t>
                  </w:r>
                </w:p>
              </w:tc>
              <w:tc>
                <w:tcPr>
                  <w:tcW w:w="1260" w:type="dxa"/>
                  <w:tcBorders>
                    <w:top w:val="nil"/>
                    <w:left w:val="nil"/>
                    <w:bottom w:val="nil"/>
                    <w:right w:val="single" w:sz="4" w:space="0" w:color="auto"/>
                  </w:tcBorders>
                  <w:vAlign w:val="bottom"/>
                </w:tcPr>
                <w:p w14:paraId="4C59CE29" w14:textId="77777777" w:rsidR="00B24B51" w:rsidRPr="004850C9" w:rsidRDefault="00B24B51" w:rsidP="007019BD">
                  <w:pPr>
                    <w:pStyle w:val="Table1"/>
                    <w:rPr>
                      <w:sz w:val="16"/>
                      <w:szCs w:val="16"/>
                    </w:rPr>
                  </w:pPr>
                  <w:r w:rsidRPr="004850C9">
                    <w:rPr>
                      <w:sz w:val="16"/>
                      <w:szCs w:val="16"/>
                    </w:rPr>
                    <w:t>Low</w:t>
                  </w:r>
                </w:p>
              </w:tc>
              <w:tc>
                <w:tcPr>
                  <w:tcW w:w="1260" w:type="dxa"/>
                  <w:tcBorders>
                    <w:top w:val="nil"/>
                    <w:left w:val="nil"/>
                    <w:bottom w:val="nil"/>
                    <w:right w:val="nil"/>
                  </w:tcBorders>
                  <w:vAlign w:val="bottom"/>
                </w:tcPr>
                <w:p w14:paraId="2C46E12C" w14:textId="77777777" w:rsidR="00B24B51" w:rsidRPr="004850C9" w:rsidRDefault="00B24B51" w:rsidP="007019BD">
                  <w:pPr>
                    <w:pStyle w:val="Table1"/>
                    <w:rPr>
                      <w:sz w:val="16"/>
                      <w:szCs w:val="16"/>
                    </w:rPr>
                  </w:pPr>
                  <w:r w:rsidRPr="004850C9">
                    <w:rPr>
                      <w:sz w:val="16"/>
                      <w:szCs w:val="16"/>
                    </w:rPr>
                    <w:t>Very Low</w:t>
                  </w:r>
                </w:p>
              </w:tc>
            </w:tr>
            <w:tr w:rsidR="00B24B51" w:rsidRPr="004D7208" w14:paraId="0FAE311A" w14:textId="77777777" w:rsidTr="00B24B51">
              <w:trPr>
                <w:trHeight w:val="333"/>
                <w:jc w:val="center"/>
              </w:trPr>
              <w:tc>
                <w:tcPr>
                  <w:tcW w:w="2085" w:type="dxa"/>
                  <w:tcBorders>
                    <w:top w:val="nil"/>
                    <w:left w:val="nil"/>
                    <w:bottom w:val="nil"/>
                    <w:right w:val="single" w:sz="4" w:space="0" w:color="auto"/>
                  </w:tcBorders>
                  <w:vAlign w:val="bottom"/>
                </w:tcPr>
                <w:p w14:paraId="4A6D0A55" w14:textId="77777777" w:rsidR="00B24B51" w:rsidRPr="004850C9" w:rsidRDefault="00B24B51" w:rsidP="007019BD">
                  <w:pPr>
                    <w:pStyle w:val="Table1"/>
                    <w:jc w:val="left"/>
                    <w:rPr>
                      <w:sz w:val="16"/>
                      <w:szCs w:val="16"/>
                    </w:rPr>
                  </w:pPr>
                  <w:r w:rsidRPr="004850C9">
                    <w:rPr>
                      <w:sz w:val="16"/>
                      <w:szCs w:val="16"/>
                    </w:rPr>
                    <w:t>Floodplain</w:t>
                  </w:r>
                </w:p>
              </w:tc>
              <w:tc>
                <w:tcPr>
                  <w:tcW w:w="1800" w:type="dxa"/>
                  <w:tcBorders>
                    <w:top w:val="nil"/>
                    <w:left w:val="nil"/>
                    <w:bottom w:val="nil"/>
                    <w:right w:val="single" w:sz="4" w:space="0" w:color="auto"/>
                  </w:tcBorders>
                  <w:vAlign w:val="bottom"/>
                </w:tcPr>
                <w:p w14:paraId="543244EE" w14:textId="77777777" w:rsidR="00B24B51" w:rsidRPr="004850C9" w:rsidRDefault="00B24B51" w:rsidP="007019BD">
                  <w:pPr>
                    <w:pStyle w:val="Table1"/>
                    <w:jc w:val="left"/>
                    <w:rPr>
                      <w:sz w:val="16"/>
                      <w:szCs w:val="16"/>
                    </w:rPr>
                  </w:pPr>
                  <w:r w:rsidRPr="004850C9">
                    <w:rPr>
                      <w:sz w:val="16"/>
                      <w:szCs w:val="16"/>
                    </w:rPr>
                    <w:t>Locally Variable</w:t>
                  </w:r>
                </w:p>
              </w:tc>
              <w:tc>
                <w:tcPr>
                  <w:tcW w:w="1170" w:type="dxa"/>
                  <w:tcBorders>
                    <w:top w:val="nil"/>
                    <w:left w:val="nil"/>
                    <w:bottom w:val="nil"/>
                    <w:right w:val="single" w:sz="4" w:space="0" w:color="auto"/>
                  </w:tcBorders>
                  <w:vAlign w:val="bottom"/>
                </w:tcPr>
                <w:p w14:paraId="278B4770" w14:textId="77777777" w:rsidR="00B24B51" w:rsidRPr="004850C9" w:rsidRDefault="00B24B51" w:rsidP="007019BD">
                  <w:pPr>
                    <w:pStyle w:val="Table1"/>
                    <w:rPr>
                      <w:sz w:val="16"/>
                      <w:szCs w:val="16"/>
                    </w:rPr>
                  </w:pPr>
                  <w:r w:rsidRPr="004850C9">
                    <w:rPr>
                      <w:sz w:val="16"/>
                      <w:szCs w:val="16"/>
                    </w:rPr>
                    <w:t>High</w:t>
                  </w:r>
                </w:p>
              </w:tc>
              <w:tc>
                <w:tcPr>
                  <w:tcW w:w="1080" w:type="dxa"/>
                  <w:tcBorders>
                    <w:top w:val="nil"/>
                    <w:left w:val="nil"/>
                    <w:bottom w:val="nil"/>
                    <w:right w:val="single" w:sz="4" w:space="0" w:color="auto"/>
                  </w:tcBorders>
                  <w:vAlign w:val="bottom"/>
                </w:tcPr>
                <w:p w14:paraId="25405986" w14:textId="77777777" w:rsidR="00B24B51" w:rsidRPr="004850C9" w:rsidRDefault="00B24B51" w:rsidP="007019BD">
                  <w:pPr>
                    <w:pStyle w:val="Table1"/>
                    <w:rPr>
                      <w:sz w:val="16"/>
                      <w:szCs w:val="16"/>
                    </w:rPr>
                  </w:pPr>
                  <w:r w:rsidRPr="004850C9">
                    <w:rPr>
                      <w:sz w:val="16"/>
                      <w:szCs w:val="16"/>
                    </w:rPr>
                    <w:t>Moderate</w:t>
                  </w:r>
                </w:p>
              </w:tc>
              <w:tc>
                <w:tcPr>
                  <w:tcW w:w="1260" w:type="dxa"/>
                  <w:tcBorders>
                    <w:top w:val="nil"/>
                    <w:left w:val="nil"/>
                    <w:bottom w:val="nil"/>
                    <w:right w:val="single" w:sz="4" w:space="0" w:color="auto"/>
                  </w:tcBorders>
                  <w:vAlign w:val="bottom"/>
                </w:tcPr>
                <w:p w14:paraId="30B7283F" w14:textId="77777777" w:rsidR="00B24B51" w:rsidRPr="004850C9" w:rsidRDefault="00B24B51" w:rsidP="007019BD">
                  <w:pPr>
                    <w:pStyle w:val="Table1"/>
                    <w:rPr>
                      <w:sz w:val="16"/>
                      <w:szCs w:val="16"/>
                    </w:rPr>
                  </w:pPr>
                  <w:r w:rsidRPr="004850C9">
                    <w:rPr>
                      <w:sz w:val="16"/>
                      <w:szCs w:val="16"/>
                    </w:rPr>
                    <w:t>Low</w:t>
                  </w:r>
                </w:p>
              </w:tc>
              <w:tc>
                <w:tcPr>
                  <w:tcW w:w="1260" w:type="dxa"/>
                  <w:tcBorders>
                    <w:top w:val="nil"/>
                    <w:left w:val="nil"/>
                    <w:bottom w:val="nil"/>
                    <w:right w:val="nil"/>
                  </w:tcBorders>
                  <w:vAlign w:val="bottom"/>
                </w:tcPr>
                <w:p w14:paraId="7D8FC60F" w14:textId="77777777" w:rsidR="00B24B51" w:rsidRPr="004850C9" w:rsidRDefault="00B24B51" w:rsidP="007019BD">
                  <w:pPr>
                    <w:pStyle w:val="Table1"/>
                    <w:rPr>
                      <w:sz w:val="16"/>
                      <w:szCs w:val="16"/>
                    </w:rPr>
                  </w:pPr>
                  <w:r w:rsidRPr="004850C9">
                    <w:rPr>
                      <w:sz w:val="16"/>
                      <w:szCs w:val="16"/>
                    </w:rPr>
                    <w:t>Very Low</w:t>
                  </w:r>
                </w:p>
              </w:tc>
            </w:tr>
            <w:tr w:rsidR="00B24B51" w:rsidRPr="004D7208" w14:paraId="6DB647B8" w14:textId="77777777" w:rsidTr="00B24B51">
              <w:trPr>
                <w:trHeight w:val="405"/>
                <w:jc w:val="center"/>
              </w:trPr>
              <w:tc>
                <w:tcPr>
                  <w:tcW w:w="2085" w:type="dxa"/>
                  <w:tcBorders>
                    <w:top w:val="nil"/>
                    <w:left w:val="nil"/>
                    <w:bottom w:val="nil"/>
                    <w:right w:val="single" w:sz="4" w:space="0" w:color="auto"/>
                  </w:tcBorders>
                  <w:vAlign w:val="bottom"/>
                </w:tcPr>
                <w:p w14:paraId="289E6B78" w14:textId="77777777" w:rsidR="00B24B51" w:rsidRPr="004850C9" w:rsidRDefault="00B24B51" w:rsidP="007019BD">
                  <w:pPr>
                    <w:pStyle w:val="Table1"/>
                    <w:jc w:val="left"/>
                    <w:rPr>
                      <w:sz w:val="16"/>
                      <w:szCs w:val="16"/>
                    </w:rPr>
                  </w:pPr>
                  <w:r w:rsidRPr="004850C9">
                    <w:rPr>
                      <w:sz w:val="16"/>
                      <w:szCs w:val="16"/>
                    </w:rPr>
                    <w:t>Alluvial Fan and Plain</w:t>
                  </w:r>
                </w:p>
              </w:tc>
              <w:tc>
                <w:tcPr>
                  <w:tcW w:w="1800" w:type="dxa"/>
                  <w:tcBorders>
                    <w:top w:val="nil"/>
                    <w:left w:val="nil"/>
                    <w:bottom w:val="nil"/>
                    <w:right w:val="single" w:sz="4" w:space="0" w:color="auto"/>
                  </w:tcBorders>
                  <w:vAlign w:val="bottom"/>
                </w:tcPr>
                <w:p w14:paraId="608D96D6" w14:textId="77777777" w:rsidR="00B24B51" w:rsidRPr="004850C9" w:rsidRDefault="00B24B51" w:rsidP="007019BD">
                  <w:pPr>
                    <w:pStyle w:val="Table1"/>
                    <w:jc w:val="left"/>
                    <w:rPr>
                      <w:sz w:val="16"/>
                      <w:szCs w:val="16"/>
                    </w:rPr>
                  </w:pPr>
                  <w:r w:rsidRPr="004850C9">
                    <w:rPr>
                      <w:sz w:val="16"/>
                      <w:szCs w:val="16"/>
                    </w:rPr>
                    <w:t>Widespread</w:t>
                  </w:r>
                </w:p>
              </w:tc>
              <w:tc>
                <w:tcPr>
                  <w:tcW w:w="1170" w:type="dxa"/>
                  <w:tcBorders>
                    <w:top w:val="nil"/>
                    <w:left w:val="nil"/>
                    <w:bottom w:val="nil"/>
                    <w:right w:val="single" w:sz="4" w:space="0" w:color="auto"/>
                  </w:tcBorders>
                  <w:vAlign w:val="bottom"/>
                </w:tcPr>
                <w:p w14:paraId="32E06B15" w14:textId="77777777" w:rsidR="00B24B51" w:rsidRPr="004850C9" w:rsidRDefault="00B24B51" w:rsidP="007019BD">
                  <w:pPr>
                    <w:pStyle w:val="Table1"/>
                    <w:rPr>
                      <w:sz w:val="16"/>
                      <w:szCs w:val="16"/>
                    </w:rPr>
                  </w:pPr>
                  <w:r w:rsidRPr="004850C9">
                    <w:rPr>
                      <w:sz w:val="16"/>
                      <w:szCs w:val="16"/>
                    </w:rPr>
                    <w:t>Moderate</w:t>
                  </w:r>
                </w:p>
              </w:tc>
              <w:tc>
                <w:tcPr>
                  <w:tcW w:w="1080" w:type="dxa"/>
                  <w:tcBorders>
                    <w:top w:val="nil"/>
                    <w:left w:val="nil"/>
                    <w:bottom w:val="nil"/>
                    <w:right w:val="single" w:sz="4" w:space="0" w:color="auto"/>
                  </w:tcBorders>
                  <w:vAlign w:val="bottom"/>
                </w:tcPr>
                <w:p w14:paraId="6678C836" w14:textId="77777777" w:rsidR="00B24B51" w:rsidRPr="004850C9" w:rsidRDefault="00B24B51" w:rsidP="007019BD">
                  <w:pPr>
                    <w:pStyle w:val="Table1"/>
                    <w:rPr>
                      <w:sz w:val="16"/>
                      <w:szCs w:val="16"/>
                    </w:rPr>
                  </w:pPr>
                  <w:r w:rsidRPr="004850C9">
                    <w:rPr>
                      <w:sz w:val="16"/>
                      <w:szCs w:val="16"/>
                    </w:rPr>
                    <w:t>Low</w:t>
                  </w:r>
                </w:p>
              </w:tc>
              <w:tc>
                <w:tcPr>
                  <w:tcW w:w="1260" w:type="dxa"/>
                  <w:tcBorders>
                    <w:top w:val="nil"/>
                    <w:left w:val="nil"/>
                    <w:bottom w:val="nil"/>
                    <w:right w:val="single" w:sz="4" w:space="0" w:color="auto"/>
                  </w:tcBorders>
                  <w:vAlign w:val="bottom"/>
                </w:tcPr>
                <w:p w14:paraId="42A5B9AD" w14:textId="77777777" w:rsidR="00B24B51" w:rsidRPr="004850C9" w:rsidRDefault="00B24B51" w:rsidP="007019BD">
                  <w:pPr>
                    <w:pStyle w:val="Table1"/>
                    <w:rPr>
                      <w:sz w:val="16"/>
                      <w:szCs w:val="16"/>
                    </w:rPr>
                  </w:pPr>
                  <w:r w:rsidRPr="004850C9">
                    <w:rPr>
                      <w:sz w:val="16"/>
                      <w:szCs w:val="16"/>
                    </w:rPr>
                    <w:t>Low</w:t>
                  </w:r>
                </w:p>
              </w:tc>
              <w:tc>
                <w:tcPr>
                  <w:tcW w:w="1260" w:type="dxa"/>
                  <w:tcBorders>
                    <w:top w:val="nil"/>
                    <w:left w:val="nil"/>
                    <w:bottom w:val="nil"/>
                    <w:right w:val="nil"/>
                  </w:tcBorders>
                  <w:vAlign w:val="bottom"/>
                </w:tcPr>
                <w:p w14:paraId="6AD0F790" w14:textId="77777777" w:rsidR="00B24B51" w:rsidRPr="004850C9" w:rsidRDefault="00B24B51" w:rsidP="007019BD">
                  <w:pPr>
                    <w:pStyle w:val="Table1"/>
                    <w:rPr>
                      <w:sz w:val="16"/>
                      <w:szCs w:val="16"/>
                    </w:rPr>
                  </w:pPr>
                  <w:r w:rsidRPr="004850C9">
                    <w:rPr>
                      <w:sz w:val="16"/>
                      <w:szCs w:val="16"/>
                    </w:rPr>
                    <w:t>Very Low</w:t>
                  </w:r>
                </w:p>
              </w:tc>
            </w:tr>
            <w:tr w:rsidR="00B24B51" w:rsidRPr="004D7208" w14:paraId="478B324B" w14:textId="77777777" w:rsidTr="00B24B51">
              <w:trPr>
                <w:trHeight w:val="255"/>
                <w:jc w:val="center"/>
              </w:trPr>
              <w:tc>
                <w:tcPr>
                  <w:tcW w:w="2085" w:type="dxa"/>
                  <w:tcBorders>
                    <w:top w:val="nil"/>
                    <w:left w:val="nil"/>
                    <w:bottom w:val="nil"/>
                    <w:right w:val="single" w:sz="4" w:space="0" w:color="auto"/>
                  </w:tcBorders>
                  <w:vAlign w:val="bottom"/>
                </w:tcPr>
                <w:p w14:paraId="04EA5A27" w14:textId="77777777" w:rsidR="00B24B51" w:rsidRPr="004850C9" w:rsidRDefault="00B24B51" w:rsidP="007019BD">
                  <w:pPr>
                    <w:pStyle w:val="Table1"/>
                    <w:jc w:val="left"/>
                    <w:rPr>
                      <w:sz w:val="16"/>
                      <w:szCs w:val="16"/>
                    </w:rPr>
                  </w:pPr>
                  <w:proofErr w:type="spellStart"/>
                  <w:r w:rsidRPr="004850C9">
                    <w:rPr>
                      <w:sz w:val="16"/>
                      <w:szCs w:val="16"/>
                    </w:rPr>
                    <w:t>MarineTerraces</w:t>
                  </w:r>
                  <w:proofErr w:type="spellEnd"/>
                  <w:r w:rsidRPr="004850C9">
                    <w:rPr>
                      <w:sz w:val="16"/>
                      <w:szCs w:val="16"/>
                    </w:rPr>
                    <w:t>/ Plains</w:t>
                  </w:r>
                </w:p>
              </w:tc>
              <w:tc>
                <w:tcPr>
                  <w:tcW w:w="1800" w:type="dxa"/>
                  <w:tcBorders>
                    <w:top w:val="nil"/>
                    <w:left w:val="nil"/>
                    <w:bottom w:val="nil"/>
                    <w:right w:val="single" w:sz="4" w:space="0" w:color="auto"/>
                  </w:tcBorders>
                  <w:vAlign w:val="bottom"/>
                </w:tcPr>
                <w:p w14:paraId="2D914AD5" w14:textId="77777777" w:rsidR="00B24B51" w:rsidRPr="004850C9" w:rsidRDefault="00B24B51" w:rsidP="007019BD">
                  <w:pPr>
                    <w:pStyle w:val="Table1"/>
                    <w:jc w:val="left"/>
                    <w:rPr>
                      <w:sz w:val="16"/>
                      <w:szCs w:val="16"/>
                    </w:rPr>
                  </w:pPr>
                  <w:r w:rsidRPr="004850C9">
                    <w:rPr>
                      <w:sz w:val="16"/>
                      <w:szCs w:val="16"/>
                    </w:rPr>
                    <w:t>Widespread</w:t>
                  </w:r>
                </w:p>
              </w:tc>
              <w:tc>
                <w:tcPr>
                  <w:tcW w:w="1170" w:type="dxa"/>
                  <w:tcBorders>
                    <w:top w:val="nil"/>
                    <w:left w:val="nil"/>
                    <w:bottom w:val="nil"/>
                    <w:right w:val="single" w:sz="4" w:space="0" w:color="auto"/>
                  </w:tcBorders>
                  <w:vAlign w:val="bottom"/>
                </w:tcPr>
                <w:p w14:paraId="39F09DDA" w14:textId="77777777" w:rsidR="00B24B51" w:rsidRPr="004850C9" w:rsidRDefault="00B24B51" w:rsidP="007019BD">
                  <w:pPr>
                    <w:pStyle w:val="Table1"/>
                    <w:rPr>
                      <w:sz w:val="16"/>
                      <w:szCs w:val="16"/>
                    </w:rPr>
                  </w:pPr>
                  <w:r w:rsidRPr="004850C9">
                    <w:rPr>
                      <w:sz w:val="16"/>
                      <w:szCs w:val="16"/>
                    </w:rPr>
                    <w:t>-----</w:t>
                  </w:r>
                </w:p>
              </w:tc>
              <w:tc>
                <w:tcPr>
                  <w:tcW w:w="1080" w:type="dxa"/>
                  <w:tcBorders>
                    <w:top w:val="nil"/>
                    <w:left w:val="nil"/>
                    <w:bottom w:val="nil"/>
                    <w:right w:val="single" w:sz="4" w:space="0" w:color="auto"/>
                  </w:tcBorders>
                  <w:vAlign w:val="bottom"/>
                </w:tcPr>
                <w:p w14:paraId="5EE4912E" w14:textId="77777777" w:rsidR="00B24B51" w:rsidRPr="004850C9" w:rsidRDefault="00B24B51" w:rsidP="007019BD">
                  <w:pPr>
                    <w:pStyle w:val="Table1"/>
                    <w:rPr>
                      <w:sz w:val="16"/>
                      <w:szCs w:val="16"/>
                    </w:rPr>
                  </w:pPr>
                  <w:r w:rsidRPr="004850C9">
                    <w:rPr>
                      <w:sz w:val="16"/>
                      <w:szCs w:val="16"/>
                    </w:rPr>
                    <w:t>Low</w:t>
                  </w:r>
                </w:p>
              </w:tc>
              <w:tc>
                <w:tcPr>
                  <w:tcW w:w="1260" w:type="dxa"/>
                  <w:tcBorders>
                    <w:top w:val="nil"/>
                    <w:left w:val="nil"/>
                    <w:bottom w:val="nil"/>
                    <w:right w:val="single" w:sz="4" w:space="0" w:color="auto"/>
                  </w:tcBorders>
                  <w:vAlign w:val="bottom"/>
                </w:tcPr>
                <w:p w14:paraId="01A27B84" w14:textId="77777777" w:rsidR="00B24B51" w:rsidRPr="004850C9" w:rsidRDefault="00B24B51" w:rsidP="007019BD">
                  <w:pPr>
                    <w:pStyle w:val="Table1"/>
                    <w:rPr>
                      <w:sz w:val="16"/>
                      <w:szCs w:val="16"/>
                    </w:rPr>
                  </w:pPr>
                  <w:r w:rsidRPr="004850C9">
                    <w:rPr>
                      <w:sz w:val="16"/>
                      <w:szCs w:val="16"/>
                    </w:rPr>
                    <w:t>Very Low</w:t>
                  </w:r>
                </w:p>
              </w:tc>
              <w:tc>
                <w:tcPr>
                  <w:tcW w:w="1260" w:type="dxa"/>
                  <w:tcBorders>
                    <w:top w:val="nil"/>
                    <w:left w:val="nil"/>
                    <w:bottom w:val="nil"/>
                    <w:right w:val="nil"/>
                  </w:tcBorders>
                  <w:vAlign w:val="bottom"/>
                </w:tcPr>
                <w:p w14:paraId="51691659" w14:textId="77777777" w:rsidR="00B24B51" w:rsidRPr="004850C9" w:rsidRDefault="00B24B51" w:rsidP="007019BD">
                  <w:pPr>
                    <w:pStyle w:val="Table1"/>
                    <w:rPr>
                      <w:sz w:val="16"/>
                      <w:szCs w:val="16"/>
                    </w:rPr>
                  </w:pPr>
                  <w:r w:rsidRPr="004850C9">
                    <w:rPr>
                      <w:sz w:val="16"/>
                      <w:szCs w:val="16"/>
                    </w:rPr>
                    <w:t>Very Low</w:t>
                  </w:r>
                </w:p>
              </w:tc>
            </w:tr>
            <w:tr w:rsidR="00B24B51" w:rsidRPr="004D7208" w14:paraId="7D5F896A" w14:textId="77777777" w:rsidTr="00B24B51">
              <w:trPr>
                <w:trHeight w:val="255"/>
                <w:jc w:val="center"/>
              </w:trPr>
              <w:tc>
                <w:tcPr>
                  <w:tcW w:w="2085" w:type="dxa"/>
                  <w:tcBorders>
                    <w:top w:val="nil"/>
                    <w:left w:val="nil"/>
                    <w:bottom w:val="nil"/>
                    <w:right w:val="single" w:sz="4" w:space="0" w:color="auto"/>
                  </w:tcBorders>
                  <w:vAlign w:val="bottom"/>
                </w:tcPr>
                <w:p w14:paraId="42154402" w14:textId="77777777" w:rsidR="00B24B51" w:rsidRPr="004850C9" w:rsidRDefault="00B24B51" w:rsidP="007019BD">
                  <w:pPr>
                    <w:pStyle w:val="Table1"/>
                    <w:jc w:val="left"/>
                    <w:rPr>
                      <w:sz w:val="16"/>
                      <w:szCs w:val="16"/>
                    </w:rPr>
                  </w:pPr>
                  <w:r w:rsidRPr="004850C9">
                    <w:rPr>
                      <w:sz w:val="16"/>
                      <w:szCs w:val="16"/>
                    </w:rPr>
                    <w:t>Delta and Fan-delta</w:t>
                  </w:r>
                </w:p>
              </w:tc>
              <w:tc>
                <w:tcPr>
                  <w:tcW w:w="1800" w:type="dxa"/>
                  <w:tcBorders>
                    <w:top w:val="nil"/>
                    <w:left w:val="nil"/>
                    <w:bottom w:val="nil"/>
                    <w:right w:val="single" w:sz="4" w:space="0" w:color="auto"/>
                  </w:tcBorders>
                  <w:vAlign w:val="bottom"/>
                </w:tcPr>
                <w:p w14:paraId="44DED59F" w14:textId="77777777" w:rsidR="00B24B51" w:rsidRPr="004850C9" w:rsidRDefault="00B24B51" w:rsidP="007019BD">
                  <w:pPr>
                    <w:pStyle w:val="Table1"/>
                    <w:jc w:val="left"/>
                    <w:rPr>
                      <w:sz w:val="16"/>
                      <w:szCs w:val="16"/>
                    </w:rPr>
                  </w:pPr>
                  <w:r w:rsidRPr="004850C9">
                    <w:rPr>
                      <w:sz w:val="16"/>
                      <w:szCs w:val="16"/>
                    </w:rPr>
                    <w:t>Widespread</w:t>
                  </w:r>
                </w:p>
              </w:tc>
              <w:tc>
                <w:tcPr>
                  <w:tcW w:w="1170" w:type="dxa"/>
                  <w:tcBorders>
                    <w:top w:val="nil"/>
                    <w:left w:val="nil"/>
                    <w:bottom w:val="nil"/>
                    <w:right w:val="single" w:sz="4" w:space="0" w:color="auto"/>
                  </w:tcBorders>
                  <w:vAlign w:val="bottom"/>
                </w:tcPr>
                <w:p w14:paraId="33B606E2" w14:textId="77777777" w:rsidR="00B24B51" w:rsidRPr="004850C9" w:rsidRDefault="00B24B51" w:rsidP="007019BD">
                  <w:pPr>
                    <w:pStyle w:val="Table1"/>
                    <w:rPr>
                      <w:sz w:val="16"/>
                      <w:szCs w:val="16"/>
                    </w:rPr>
                  </w:pPr>
                  <w:r w:rsidRPr="004850C9">
                    <w:rPr>
                      <w:sz w:val="16"/>
                      <w:szCs w:val="16"/>
                    </w:rPr>
                    <w:t>High</w:t>
                  </w:r>
                </w:p>
              </w:tc>
              <w:tc>
                <w:tcPr>
                  <w:tcW w:w="1080" w:type="dxa"/>
                  <w:tcBorders>
                    <w:top w:val="nil"/>
                    <w:left w:val="nil"/>
                    <w:bottom w:val="nil"/>
                    <w:right w:val="single" w:sz="4" w:space="0" w:color="auto"/>
                  </w:tcBorders>
                  <w:vAlign w:val="bottom"/>
                </w:tcPr>
                <w:p w14:paraId="6932E8EF" w14:textId="77777777" w:rsidR="00B24B51" w:rsidRPr="004850C9" w:rsidRDefault="00B24B51" w:rsidP="007019BD">
                  <w:pPr>
                    <w:pStyle w:val="Table1"/>
                    <w:rPr>
                      <w:sz w:val="16"/>
                      <w:szCs w:val="16"/>
                    </w:rPr>
                  </w:pPr>
                  <w:r w:rsidRPr="004850C9">
                    <w:rPr>
                      <w:sz w:val="16"/>
                      <w:szCs w:val="16"/>
                    </w:rPr>
                    <w:t>Moderate</w:t>
                  </w:r>
                </w:p>
              </w:tc>
              <w:tc>
                <w:tcPr>
                  <w:tcW w:w="1260" w:type="dxa"/>
                  <w:tcBorders>
                    <w:top w:val="nil"/>
                    <w:left w:val="nil"/>
                    <w:bottom w:val="nil"/>
                    <w:right w:val="single" w:sz="4" w:space="0" w:color="auto"/>
                  </w:tcBorders>
                  <w:vAlign w:val="bottom"/>
                </w:tcPr>
                <w:p w14:paraId="611F1B0C" w14:textId="77777777" w:rsidR="00B24B51" w:rsidRPr="004850C9" w:rsidRDefault="00B24B51" w:rsidP="007019BD">
                  <w:pPr>
                    <w:pStyle w:val="Table1"/>
                    <w:rPr>
                      <w:sz w:val="16"/>
                      <w:szCs w:val="16"/>
                    </w:rPr>
                  </w:pPr>
                  <w:r w:rsidRPr="004850C9">
                    <w:rPr>
                      <w:sz w:val="16"/>
                      <w:szCs w:val="16"/>
                    </w:rPr>
                    <w:t>Low</w:t>
                  </w:r>
                </w:p>
              </w:tc>
              <w:tc>
                <w:tcPr>
                  <w:tcW w:w="1260" w:type="dxa"/>
                  <w:tcBorders>
                    <w:top w:val="nil"/>
                    <w:left w:val="nil"/>
                    <w:bottom w:val="nil"/>
                    <w:right w:val="nil"/>
                  </w:tcBorders>
                  <w:vAlign w:val="bottom"/>
                </w:tcPr>
                <w:p w14:paraId="015D8FBA" w14:textId="77777777" w:rsidR="00B24B51" w:rsidRPr="004850C9" w:rsidRDefault="00B24B51" w:rsidP="007019BD">
                  <w:pPr>
                    <w:pStyle w:val="Table1"/>
                    <w:rPr>
                      <w:sz w:val="16"/>
                      <w:szCs w:val="16"/>
                    </w:rPr>
                  </w:pPr>
                  <w:r w:rsidRPr="004850C9">
                    <w:rPr>
                      <w:sz w:val="16"/>
                      <w:szCs w:val="16"/>
                    </w:rPr>
                    <w:t>Very Low</w:t>
                  </w:r>
                </w:p>
              </w:tc>
            </w:tr>
            <w:tr w:rsidR="00B24B51" w:rsidRPr="004D7208" w14:paraId="060342B2" w14:textId="77777777" w:rsidTr="00B24B51">
              <w:trPr>
                <w:trHeight w:val="255"/>
                <w:jc w:val="center"/>
              </w:trPr>
              <w:tc>
                <w:tcPr>
                  <w:tcW w:w="2085" w:type="dxa"/>
                  <w:tcBorders>
                    <w:top w:val="nil"/>
                    <w:left w:val="nil"/>
                    <w:bottom w:val="nil"/>
                    <w:right w:val="single" w:sz="4" w:space="0" w:color="auto"/>
                  </w:tcBorders>
                  <w:vAlign w:val="bottom"/>
                </w:tcPr>
                <w:p w14:paraId="5527A636" w14:textId="77777777" w:rsidR="00B24B51" w:rsidRPr="004850C9" w:rsidRDefault="00B24B51" w:rsidP="007019BD">
                  <w:pPr>
                    <w:pStyle w:val="Table1"/>
                    <w:jc w:val="left"/>
                    <w:rPr>
                      <w:sz w:val="16"/>
                      <w:szCs w:val="16"/>
                    </w:rPr>
                  </w:pPr>
                  <w:r w:rsidRPr="004850C9">
                    <w:rPr>
                      <w:sz w:val="16"/>
                      <w:szCs w:val="16"/>
                    </w:rPr>
                    <w:t>Lacustrine and Playa</w:t>
                  </w:r>
                </w:p>
              </w:tc>
              <w:tc>
                <w:tcPr>
                  <w:tcW w:w="1800" w:type="dxa"/>
                  <w:tcBorders>
                    <w:top w:val="nil"/>
                    <w:left w:val="nil"/>
                    <w:bottom w:val="nil"/>
                    <w:right w:val="single" w:sz="4" w:space="0" w:color="auto"/>
                  </w:tcBorders>
                  <w:vAlign w:val="bottom"/>
                </w:tcPr>
                <w:p w14:paraId="6D2050D6" w14:textId="77777777" w:rsidR="00B24B51" w:rsidRPr="004850C9" w:rsidRDefault="00B24B51" w:rsidP="007019BD">
                  <w:pPr>
                    <w:pStyle w:val="Table1"/>
                    <w:jc w:val="left"/>
                    <w:rPr>
                      <w:sz w:val="16"/>
                      <w:szCs w:val="16"/>
                    </w:rPr>
                  </w:pPr>
                  <w:r w:rsidRPr="004850C9">
                    <w:rPr>
                      <w:sz w:val="16"/>
                      <w:szCs w:val="16"/>
                    </w:rPr>
                    <w:t>Variable</w:t>
                  </w:r>
                </w:p>
              </w:tc>
              <w:tc>
                <w:tcPr>
                  <w:tcW w:w="1170" w:type="dxa"/>
                  <w:tcBorders>
                    <w:top w:val="nil"/>
                    <w:left w:val="nil"/>
                    <w:bottom w:val="nil"/>
                    <w:right w:val="single" w:sz="4" w:space="0" w:color="auto"/>
                  </w:tcBorders>
                  <w:vAlign w:val="bottom"/>
                </w:tcPr>
                <w:p w14:paraId="0BCA1F2D" w14:textId="77777777" w:rsidR="00B24B51" w:rsidRPr="004850C9" w:rsidRDefault="00B24B51" w:rsidP="007019BD">
                  <w:pPr>
                    <w:pStyle w:val="Table1"/>
                    <w:rPr>
                      <w:sz w:val="16"/>
                      <w:szCs w:val="16"/>
                    </w:rPr>
                  </w:pPr>
                  <w:r w:rsidRPr="004850C9">
                    <w:rPr>
                      <w:sz w:val="16"/>
                      <w:szCs w:val="16"/>
                    </w:rPr>
                    <w:t>High</w:t>
                  </w:r>
                </w:p>
              </w:tc>
              <w:tc>
                <w:tcPr>
                  <w:tcW w:w="1080" w:type="dxa"/>
                  <w:tcBorders>
                    <w:top w:val="nil"/>
                    <w:left w:val="nil"/>
                    <w:bottom w:val="nil"/>
                    <w:right w:val="single" w:sz="4" w:space="0" w:color="auto"/>
                  </w:tcBorders>
                  <w:vAlign w:val="bottom"/>
                </w:tcPr>
                <w:p w14:paraId="641AB75E" w14:textId="77777777" w:rsidR="00B24B51" w:rsidRPr="004850C9" w:rsidRDefault="00B24B51" w:rsidP="007019BD">
                  <w:pPr>
                    <w:pStyle w:val="Table1"/>
                    <w:rPr>
                      <w:sz w:val="16"/>
                      <w:szCs w:val="16"/>
                    </w:rPr>
                  </w:pPr>
                  <w:r w:rsidRPr="004850C9">
                    <w:rPr>
                      <w:sz w:val="16"/>
                      <w:szCs w:val="16"/>
                    </w:rPr>
                    <w:t>Moderate</w:t>
                  </w:r>
                </w:p>
              </w:tc>
              <w:tc>
                <w:tcPr>
                  <w:tcW w:w="1260" w:type="dxa"/>
                  <w:tcBorders>
                    <w:top w:val="nil"/>
                    <w:left w:val="nil"/>
                    <w:bottom w:val="nil"/>
                    <w:right w:val="single" w:sz="4" w:space="0" w:color="auto"/>
                  </w:tcBorders>
                  <w:vAlign w:val="bottom"/>
                </w:tcPr>
                <w:p w14:paraId="6FF98FED" w14:textId="77777777" w:rsidR="00B24B51" w:rsidRPr="004850C9" w:rsidRDefault="00B24B51" w:rsidP="007019BD">
                  <w:pPr>
                    <w:pStyle w:val="Table1"/>
                    <w:rPr>
                      <w:sz w:val="16"/>
                      <w:szCs w:val="16"/>
                    </w:rPr>
                  </w:pPr>
                  <w:r w:rsidRPr="004850C9">
                    <w:rPr>
                      <w:sz w:val="16"/>
                      <w:szCs w:val="16"/>
                    </w:rPr>
                    <w:t>Low</w:t>
                  </w:r>
                </w:p>
              </w:tc>
              <w:tc>
                <w:tcPr>
                  <w:tcW w:w="1260" w:type="dxa"/>
                  <w:tcBorders>
                    <w:top w:val="nil"/>
                    <w:left w:val="nil"/>
                    <w:bottom w:val="nil"/>
                    <w:right w:val="nil"/>
                  </w:tcBorders>
                  <w:vAlign w:val="bottom"/>
                </w:tcPr>
                <w:p w14:paraId="54135DD3" w14:textId="77777777" w:rsidR="00B24B51" w:rsidRPr="004850C9" w:rsidRDefault="00B24B51" w:rsidP="007019BD">
                  <w:pPr>
                    <w:pStyle w:val="Table1"/>
                    <w:rPr>
                      <w:sz w:val="16"/>
                      <w:szCs w:val="16"/>
                    </w:rPr>
                  </w:pPr>
                  <w:r w:rsidRPr="004850C9">
                    <w:rPr>
                      <w:sz w:val="16"/>
                      <w:szCs w:val="16"/>
                    </w:rPr>
                    <w:t>Very Low</w:t>
                  </w:r>
                </w:p>
              </w:tc>
            </w:tr>
            <w:tr w:rsidR="00B24B51" w:rsidRPr="004D7208" w14:paraId="776548F9" w14:textId="77777777" w:rsidTr="00B24B51">
              <w:trPr>
                <w:trHeight w:val="255"/>
                <w:jc w:val="center"/>
              </w:trPr>
              <w:tc>
                <w:tcPr>
                  <w:tcW w:w="2085" w:type="dxa"/>
                  <w:tcBorders>
                    <w:top w:val="nil"/>
                    <w:left w:val="nil"/>
                    <w:bottom w:val="nil"/>
                    <w:right w:val="single" w:sz="4" w:space="0" w:color="auto"/>
                  </w:tcBorders>
                  <w:vAlign w:val="bottom"/>
                </w:tcPr>
                <w:p w14:paraId="46224E60" w14:textId="77777777" w:rsidR="00B24B51" w:rsidRPr="004850C9" w:rsidRDefault="00B24B51" w:rsidP="007019BD">
                  <w:pPr>
                    <w:pStyle w:val="Table1"/>
                    <w:jc w:val="left"/>
                    <w:rPr>
                      <w:sz w:val="16"/>
                      <w:szCs w:val="16"/>
                    </w:rPr>
                  </w:pPr>
                  <w:r w:rsidRPr="004850C9">
                    <w:rPr>
                      <w:sz w:val="16"/>
                      <w:szCs w:val="16"/>
                    </w:rPr>
                    <w:t>Colluvium</w:t>
                  </w:r>
                </w:p>
              </w:tc>
              <w:tc>
                <w:tcPr>
                  <w:tcW w:w="1800" w:type="dxa"/>
                  <w:tcBorders>
                    <w:top w:val="nil"/>
                    <w:left w:val="nil"/>
                    <w:bottom w:val="nil"/>
                    <w:right w:val="single" w:sz="4" w:space="0" w:color="auto"/>
                  </w:tcBorders>
                  <w:vAlign w:val="bottom"/>
                </w:tcPr>
                <w:p w14:paraId="2D259D0E" w14:textId="77777777" w:rsidR="00B24B51" w:rsidRPr="004850C9" w:rsidRDefault="00B24B51" w:rsidP="007019BD">
                  <w:pPr>
                    <w:pStyle w:val="Table1"/>
                    <w:jc w:val="left"/>
                    <w:rPr>
                      <w:sz w:val="16"/>
                      <w:szCs w:val="16"/>
                    </w:rPr>
                  </w:pPr>
                  <w:r w:rsidRPr="004850C9">
                    <w:rPr>
                      <w:sz w:val="16"/>
                      <w:szCs w:val="16"/>
                    </w:rPr>
                    <w:t>Variable</w:t>
                  </w:r>
                </w:p>
              </w:tc>
              <w:tc>
                <w:tcPr>
                  <w:tcW w:w="1170" w:type="dxa"/>
                  <w:tcBorders>
                    <w:top w:val="nil"/>
                    <w:left w:val="nil"/>
                    <w:bottom w:val="nil"/>
                    <w:right w:val="single" w:sz="4" w:space="0" w:color="auto"/>
                  </w:tcBorders>
                  <w:vAlign w:val="bottom"/>
                </w:tcPr>
                <w:p w14:paraId="1706F64F" w14:textId="77777777" w:rsidR="00B24B51" w:rsidRPr="004850C9" w:rsidRDefault="00B24B51" w:rsidP="007019BD">
                  <w:pPr>
                    <w:pStyle w:val="Table1"/>
                    <w:rPr>
                      <w:sz w:val="16"/>
                      <w:szCs w:val="16"/>
                    </w:rPr>
                  </w:pPr>
                  <w:r w:rsidRPr="004850C9">
                    <w:rPr>
                      <w:sz w:val="16"/>
                      <w:szCs w:val="16"/>
                    </w:rPr>
                    <w:t>High</w:t>
                  </w:r>
                </w:p>
              </w:tc>
              <w:tc>
                <w:tcPr>
                  <w:tcW w:w="1080" w:type="dxa"/>
                  <w:tcBorders>
                    <w:top w:val="nil"/>
                    <w:left w:val="nil"/>
                    <w:bottom w:val="nil"/>
                    <w:right w:val="single" w:sz="4" w:space="0" w:color="auto"/>
                  </w:tcBorders>
                  <w:vAlign w:val="bottom"/>
                </w:tcPr>
                <w:p w14:paraId="0123EE79" w14:textId="77777777" w:rsidR="00B24B51" w:rsidRPr="004850C9" w:rsidRDefault="00B24B51" w:rsidP="007019BD">
                  <w:pPr>
                    <w:pStyle w:val="Table1"/>
                    <w:rPr>
                      <w:sz w:val="16"/>
                      <w:szCs w:val="16"/>
                    </w:rPr>
                  </w:pPr>
                  <w:r w:rsidRPr="004850C9">
                    <w:rPr>
                      <w:sz w:val="16"/>
                      <w:szCs w:val="16"/>
                    </w:rPr>
                    <w:t>Moderate</w:t>
                  </w:r>
                </w:p>
              </w:tc>
              <w:tc>
                <w:tcPr>
                  <w:tcW w:w="1260" w:type="dxa"/>
                  <w:tcBorders>
                    <w:top w:val="nil"/>
                    <w:left w:val="nil"/>
                    <w:bottom w:val="nil"/>
                    <w:right w:val="single" w:sz="4" w:space="0" w:color="auto"/>
                  </w:tcBorders>
                  <w:vAlign w:val="bottom"/>
                </w:tcPr>
                <w:p w14:paraId="5A804D28" w14:textId="77777777" w:rsidR="00B24B51" w:rsidRPr="004850C9" w:rsidRDefault="00B24B51" w:rsidP="007019BD">
                  <w:pPr>
                    <w:pStyle w:val="Table1"/>
                    <w:rPr>
                      <w:sz w:val="16"/>
                      <w:szCs w:val="16"/>
                    </w:rPr>
                  </w:pPr>
                  <w:r w:rsidRPr="004850C9">
                    <w:rPr>
                      <w:sz w:val="16"/>
                      <w:szCs w:val="16"/>
                    </w:rPr>
                    <w:t>Low</w:t>
                  </w:r>
                </w:p>
              </w:tc>
              <w:tc>
                <w:tcPr>
                  <w:tcW w:w="1260" w:type="dxa"/>
                  <w:tcBorders>
                    <w:top w:val="nil"/>
                    <w:left w:val="nil"/>
                    <w:bottom w:val="nil"/>
                    <w:right w:val="nil"/>
                  </w:tcBorders>
                  <w:vAlign w:val="bottom"/>
                </w:tcPr>
                <w:p w14:paraId="071CD007" w14:textId="77777777" w:rsidR="00B24B51" w:rsidRPr="004850C9" w:rsidRDefault="00B24B51" w:rsidP="007019BD">
                  <w:pPr>
                    <w:pStyle w:val="Table1"/>
                    <w:rPr>
                      <w:sz w:val="16"/>
                      <w:szCs w:val="16"/>
                    </w:rPr>
                  </w:pPr>
                  <w:r w:rsidRPr="004850C9">
                    <w:rPr>
                      <w:sz w:val="16"/>
                      <w:szCs w:val="16"/>
                    </w:rPr>
                    <w:t>Very Low</w:t>
                  </w:r>
                </w:p>
              </w:tc>
            </w:tr>
            <w:tr w:rsidR="00B24B51" w:rsidRPr="004D7208" w14:paraId="28AFCA0C" w14:textId="77777777" w:rsidTr="00B24B51">
              <w:trPr>
                <w:trHeight w:val="255"/>
                <w:jc w:val="center"/>
              </w:trPr>
              <w:tc>
                <w:tcPr>
                  <w:tcW w:w="2085" w:type="dxa"/>
                  <w:tcBorders>
                    <w:top w:val="nil"/>
                    <w:left w:val="nil"/>
                    <w:bottom w:val="nil"/>
                    <w:right w:val="single" w:sz="4" w:space="0" w:color="auto"/>
                  </w:tcBorders>
                  <w:vAlign w:val="bottom"/>
                </w:tcPr>
                <w:p w14:paraId="03AD6DA6" w14:textId="77777777" w:rsidR="00B24B51" w:rsidRPr="004850C9" w:rsidRDefault="00B24B51" w:rsidP="007019BD">
                  <w:pPr>
                    <w:pStyle w:val="Table1"/>
                    <w:jc w:val="left"/>
                    <w:rPr>
                      <w:sz w:val="16"/>
                      <w:szCs w:val="16"/>
                    </w:rPr>
                  </w:pPr>
                  <w:r w:rsidRPr="004850C9">
                    <w:rPr>
                      <w:sz w:val="16"/>
                      <w:szCs w:val="16"/>
                    </w:rPr>
                    <w:t>Talus</w:t>
                  </w:r>
                </w:p>
              </w:tc>
              <w:tc>
                <w:tcPr>
                  <w:tcW w:w="1800" w:type="dxa"/>
                  <w:tcBorders>
                    <w:top w:val="nil"/>
                    <w:left w:val="nil"/>
                    <w:bottom w:val="nil"/>
                    <w:right w:val="single" w:sz="4" w:space="0" w:color="auto"/>
                  </w:tcBorders>
                  <w:vAlign w:val="bottom"/>
                </w:tcPr>
                <w:p w14:paraId="2F543014" w14:textId="77777777" w:rsidR="00B24B51" w:rsidRPr="004850C9" w:rsidRDefault="00B24B51" w:rsidP="007019BD">
                  <w:pPr>
                    <w:pStyle w:val="Table1"/>
                    <w:jc w:val="left"/>
                    <w:rPr>
                      <w:sz w:val="16"/>
                      <w:szCs w:val="16"/>
                    </w:rPr>
                  </w:pPr>
                  <w:r w:rsidRPr="004850C9">
                    <w:rPr>
                      <w:sz w:val="16"/>
                      <w:szCs w:val="16"/>
                    </w:rPr>
                    <w:t>Widespread</w:t>
                  </w:r>
                </w:p>
              </w:tc>
              <w:tc>
                <w:tcPr>
                  <w:tcW w:w="1170" w:type="dxa"/>
                  <w:tcBorders>
                    <w:top w:val="nil"/>
                    <w:left w:val="nil"/>
                    <w:bottom w:val="nil"/>
                    <w:right w:val="single" w:sz="4" w:space="0" w:color="auto"/>
                  </w:tcBorders>
                  <w:vAlign w:val="bottom"/>
                </w:tcPr>
                <w:p w14:paraId="4BC540A3" w14:textId="77777777" w:rsidR="00B24B51" w:rsidRPr="004850C9" w:rsidRDefault="00B24B51" w:rsidP="007019BD">
                  <w:pPr>
                    <w:pStyle w:val="Table1"/>
                    <w:rPr>
                      <w:sz w:val="16"/>
                      <w:szCs w:val="16"/>
                    </w:rPr>
                  </w:pPr>
                  <w:r w:rsidRPr="004850C9">
                    <w:rPr>
                      <w:sz w:val="16"/>
                      <w:szCs w:val="16"/>
                    </w:rPr>
                    <w:t>Low</w:t>
                  </w:r>
                </w:p>
              </w:tc>
              <w:tc>
                <w:tcPr>
                  <w:tcW w:w="1080" w:type="dxa"/>
                  <w:tcBorders>
                    <w:top w:val="nil"/>
                    <w:left w:val="nil"/>
                    <w:bottom w:val="nil"/>
                    <w:right w:val="single" w:sz="4" w:space="0" w:color="auto"/>
                  </w:tcBorders>
                  <w:vAlign w:val="bottom"/>
                </w:tcPr>
                <w:p w14:paraId="694D9118" w14:textId="77777777" w:rsidR="00B24B51" w:rsidRPr="004850C9" w:rsidRDefault="00B24B51" w:rsidP="007019BD">
                  <w:pPr>
                    <w:pStyle w:val="Table1"/>
                    <w:rPr>
                      <w:sz w:val="16"/>
                      <w:szCs w:val="16"/>
                    </w:rPr>
                  </w:pPr>
                  <w:r w:rsidRPr="004850C9">
                    <w:rPr>
                      <w:sz w:val="16"/>
                      <w:szCs w:val="16"/>
                    </w:rPr>
                    <w:t>Low</w:t>
                  </w:r>
                </w:p>
              </w:tc>
              <w:tc>
                <w:tcPr>
                  <w:tcW w:w="1260" w:type="dxa"/>
                  <w:tcBorders>
                    <w:top w:val="nil"/>
                    <w:left w:val="nil"/>
                    <w:bottom w:val="nil"/>
                    <w:right w:val="single" w:sz="4" w:space="0" w:color="auto"/>
                  </w:tcBorders>
                  <w:vAlign w:val="bottom"/>
                </w:tcPr>
                <w:p w14:paraId="5FC4246D" w14:textId="77777777" w:rsidR="00B24B51" w:rsidRPr="004850C9" w:rsidRDefault="00B24B51" w:rsidP="007019BD">
                  <w:pPr>
                    <w:pStyle w:val="Table1"/>
                    <w:rPr>
                      <w:sz w:val="16"/>
                      <w:szCs w:val="16"/>
                    </w:rPr>
                  </w:pPr>
                  <w:r w:rsidRPr="004850C9">
                    <w:rPr>
                      <w:sz w:val="16"/>
                      <w:szCs w:val="16"/>
                    </w:rPr>
                    <w:t>Very Low</w:t>
                  </w:r>
                </w:p>
              </w:tc>
              <w:tc>
                <w:tcPr>
                  <w:tcW w:w="1260" w:type="dxa"/>
                  <w:tcBorders>
                    <w:top w:val="nil"/>
                    <w:left w:val="nil"/>
                    <w:bottom w:val="nil"/>
                    <w:right w:val="nil"/>
                  </w:tcBorders>
                  <w:vAlign w:val="bottom"/>
                </w:tcPr>
                <w:p w14:paraId="02B65A38" w14:textId="77777777" w:rsidR="00B24B51" w:rsidRPr="004850C9" w:rsidRDefault="00B24B51" w:rsidP="007019BD">
                  <w:pPr>
                    <w:pStyle w:val="Table1"/>
                    <w:rPr>
                      <w:sz w:val="16"/>
                      <w:szCs w:val="16"/>
                    </w:rPr>
                  </w:pPr>
                  <w:r w:rsidRPr="004850C9">
                    <w:rPr>
                      <w:sz w:val="16"/>
                      <w:szCs w:val="16"/>
                    </w:rPr>
                    <w:t>Very Low</w:t>
                  </w:r>
                </w:p>
              </w:tc>
            </w:tr>
            <w:tr w:rsidR="00B24B51" w:rsidRPr="004D7208" w14:paraId="3515A40D" w14:textId="77777777" w:rsidTr="00B24B51">
              <w:trPr>
                <w:trHeight w:val="255"/>
                <w:jc w:val="center"/>
              </w:trPr>
              <w:tc>
                <w:tcPr>
                  <w:tcW w:w="2085" w:type="dxa"/>
                  <w:tcBorders>
                    <w:top w:val="nil"/>
                    <w:left w:val="nil"/>
                    <w:bottom w:val="nil"/>
                    <w:right w:val="single" w:sz="4" w:space="0" w:color="auto"/>
                  </w:tcBorders>
                  <w:vAlign w:val="bottom"/>
                </w:tcPr>
                <w:p w14:paraId="7AE6EE92" w14:textId="77777777" w:rsidR="00B24B51" w:rsidRPr="004850C9" w:rsidRDefault="00B24B51" w:rsidP="007019BD">
                  <w:pPr>
                    <w:pStyle w:val="Table1"/>
                    <w:jc w:val="left"/>
                    <w:rPr>
                      <w:sz w:val="16"/>
                      <w:szCs w:val="16"/>
                    </w:rPr>
                  </w:pPr>
                  <w:r w:rsidRPr="004850C9">
                    <w:rPr>
                      <w:sz w:val="16"/>
                      <w:szCs w:val="16"/>
                    </w:rPr>
                    <w:t>Dunes</w:t>
                  </w:r>
                </w:p>
              </w:tc>
              <w:tc>
                <w:tcPr>
                  <w:tcW w:w="1800" w:type="dxa"/>
                  <w:tcBorders>
                    <w:top w:val="nil"/>
                    <w:left w:val="nil"/>
                    <w:bottom w:val="nil"/>
                    <w:right w:val="single" w:sz="4" w:space="0" w:color="auto"/>
                  </w:tcBorders>
                  <w:vAlign w:val="bottom"/>
                </w:tcPr>
                <w:p w14:paraId="085B616F" w14:textId="77777777" w:rsidR="00B24B51" w:rsidRPr="004850C9" w:rsidRDefault="00B24B51" w:rsidP="007019BD">
                  <w:pPr>
                    <w:pStyle w:val="Table1"/>
                    <w:jc w:val="left"/>
                    <w:rPr>
                      <w:sz w:val="16"/>
                      <w:szCs w:val="16"/>
                    </w:rPr>
                  </w:pPr>
                  <w:r w:rsidRPr="004850C9">
                    <w:rPr>
                      <w:sz w:val="16"/>
                      <w:szCs w:val="16"/>
                    </w:rPr>
                    <w:t>Widespread</w:t>
                  </w:r>
                </w:p>
              </w:tc>
              <w:tc>
                <w:tcPr>
                  <w:tcW w:w="1170" w:type="dxa"/>
                  <w:tcBorders>
                    <w:top w:val="nil"/>
                    <w:left w:val="nil"/>
                    <w:bottom w:val="nil"/>
                    <w:right w:val="single" w:sz="4" w:space="0" w:color="auto"/>
                  </w:tcBorders>
                  <w:vAlign w:val="bottom"/>
                </w:tcPr>
                <w:p w14:paraId="34B5A5AF" w14:textId="77777777" w:rsidR="00B24B51" w:rsidRPr="004850C9" w:rsidRDefault="00B24B51" w:rsidP="007019BD">
                  <w:pPr>
                    <w:pStyle w:val="Table1"/>
                    <w:rPr>
                      <w:sz w:val="16"/>
                      <w:szCs w:val="16"/>
                    </w:rPr>
                  </w:pPr>
                  <w:r w:rsidRPr="004850C9">
                    <w:rPr>
                      <w:sz w:val="16"/>
                      <w:szCs w:val="16"/>
                    </w:rPr>
                    <w:t>High</w:t>
                  </w:r>
                </w:p>
              </w:tc>
              <w:tc>
                <w:tcPr>
                  <w:tcW w:w="1080" w:type="dxa"/>
                  <w:tcBorders>
                    <w:top w:val="nil"/>
                    <w:left w:val="nil"/>
                    <w:bottom w:val="nil"/>
                    <w:right w:val="single" w:sz="4" w:space="0" w:color="auto"/>
                  </w:tcBorders>
                  <w:vAlign w:val="bottom"/>
                </w:tcPr>
                <w:p w14:paraId="37A1F38E" w14:textId="77777777" w:rsidR="00B24B51" w:rsidRPr="004850C9" w:rsidRDefault="00B24B51" w:rsidP="007019BD">
                  <w:pPr>
                    <w:pStyle w:val="Table1"/>
                    <w:rPr>
                      <w:sz w:val="16"/>
                      <w:szCs w:val="16"/>
                    </w:rPr>
                  </w:pPr>
                  <w:r w:rsidRPr="004850C9">
                    <w:rPr>
                      <w:sz w:val="16"/>
                      <w:szCs w:val="16"/>
                    </w:rPr>
                    <w:t>Moderate</w:t>
                  </w:r>
                </w:p>
              </w:tc>
              <w:tc>
                <w:tcPr>
                  <w:tcW w:w="1260" w:type="dxa"/>
                  <w:tcBorders>
                    <w:top w:val="nil"/>
                    <w:left w:val="nil"/>
                    <w:bottom w:val="nil"/>
                    <w:right w:val="single" w:sz="4" w:space="0" w:color="auto"/>
                  </w:tcBorders>
                  <w:vAlign w:val="bottom"/>
                </w:tcPr>
                <w:p w14:paraId="5B096547" w14:textId="77777777" w:rsidR="00B24B51" w:rsidRPr="004850C9" w:rsidRDefault="00B24B51" w:rsidP="007019BD">
                  <w:pPr>
                    <w:pStyle w:val="Table1"/>
                    <w:rPr>
                      <w:sz w:val="16"/>
                      <w:szCs w:val="16"/>
                    </w:rPr>
                  </w:pPr>
                  <w:r w:rsidRPr="004850C9">
                    <w:rPr>
                      <w:sz w:val="16"/>
                      <w:szCs w:val="16"/>
                    </w:rPr>
                    <w:t>Low</w:t>
                  </w:r>
                </w:p>
              </w:tc>
              <w:tc>
                <w:tcPr>
                  <w:tcW w:w="1260" w:type="dxa"/>
                  <w:tcBorders>
                    <w:top w:val="nil"/>
                    <w:left w:val="nil"/>
                    <w:bottom w:val="nil"/>
                    <w:right w:val="nil"/>
                  </w:tcBorders>
                  <w:vAlign w:val="bottom"/>
                </w:tcPr>
                <w:p w14:paraId="127F34B4" w14:textId="77777777" w:rsidR="00B24B51" w:rsidRPr="004850C9" w:rsidRDefault="00B24B51" w:rsidP="007019BD">
                  <w:pPr>
                    <w:pStyle w:val="Table1"/>
                    <w:rPr>
                      <w:sz w:val="16"/>
                      <w:szCs w:val="16"/>
                    </w:rPr>
                  </w:pPr>
                  <w:r w:rsidRPr="004850C9">
                    <w:rPr>
                      <w:sz w:val="16"/>
                      <w:szCs w:val="16"/>
                    </w:rPr>
                    <w:t>Very Low</w:t>
                  </w:r>
                </w:p>
              </w:tc>
            </w:tr>
            <w:tr w:rsidR="00B24B51" w:rsidRPr="004D7208" w14:paraId="69167DEE" w14:textId="77777777" w:rsidTr="00B24B51">
              <w:trPr>
                <w:trHeight w:val="255"/>
                <w:jc w:val="center"/>
              </w:trPr>
              <w:tc>
                <w:tcPr>
                  <w:tcW w:w="2085" w:type="dxa"/>
                  <w:tcBorders>
                    <w:top w:val="nil"/>
                    <w:left w:val="nil"/>
                    <w:bottom w:val="nil"/>
                    <w:right w:val="single" w:sz="4" w:space="0" w:color="auto"/>
                  </w:tcBorders>
                  <w:vAlign w:val="bottom"/>
                </w:tcPr>
                <w:p w14:paraId="1A434537" w14:textId="77777777" w:rsidR="00B24B51" w:rsidRPr="004850C9" w:rsidRDefault="00B24B51" w:rsidP="007019BD">
                  <w:pPr>
                    <w:pStyle w:val="Table1"/>
                    <w:jc w:val="left"/>
                    <w:rPr>
                      <w:sz w:val="16"/>
                      <w:szCs w:val="16"/>
                    </w:rPr>
                  </w:pPr>
                  <w:r w:rsidRPr="004850C9">
                    <w:rPr>
                      <w:sz w:val="16"/>
                      <w:szCs w:val="16"/>
                    </w:rPr>
                    <w:t>Loess</w:t>
                  </w:r>
                </w:p>
              </w:tc>
              <w:tc>
                <w:tcPr>
                  <w:tcW w:w="1800" w:type="dxa"/>
                  <w:tcBorders>
                    <w:top w:val="nil"/>
                    <w:left w:val="nil"/>
                    <w:bottom w:val="nil"/>
                    <w:right w:val="single" w:sz="4" w:space="0" w:color="auto"/>
                  </w:tcBorders>
                  <w:vAlign w:val="bottom"/>
                </w:tcPr>
                <w:p w14:paraId="21C31531" w14:textId="77777777" w:rsidR="00B24B51" w:rsidRPr="004850C9" w:rsidRDefault="00B24B51" w:rsidP="007019BD">
                  <w:pPr>
                    <w:pStyle w:val="Table1"/>
                    <w:jc w:val="left"/>
                    <w:rPr>
                      <w:sz w:val="16"/>
                      <w:szCs w:val="16"/>
                    </w:rPr>
                  </w:pPr>
                  <w:r w:rsidRPr="004850C9">
                    <w:rPr>
                      <w:sz w:val="16"/>
                      <w:szCs w:val="16"/>
                    </w:rPr>
                    <w:t>Variable</w:t>
                  </w:r>
                </w:p>
              </w:tc>
              <w:tc>
                <w:tcPr>
                  <w:tcW w:w="1170" w:type="dxa"/>
                  <w:tcBorders>
                    <w:top w:val="nil"/>
                    <w:left w:val="nil"/>
                    <w:bottom w:val="nil"/>
                    <w:right w:val="single" w:sz="4" w:space="0" w:color="auto"/>
                  </w:tcBorders>
                  <w:vAlign w:val="bottom"/>
                </w:tcPr>
                <w:p w14:paraId="5410B3D8" w14:textId="77777777" w:rsidR="00B24B51" w:rsidRPr="004850C9" w:rsidRDefault="00B24B51" w:rsidP="007019BD">
                  <w:pPr>
                    <w:pStyle w:val="Table1"/>
                    <w:rPr>
                      <w:sz w:val="16"/>
                      <w:szCs w:val="16"/>
                    </w:rPr>
                  </w:pPr>
                  <w:r w:rsidRPr="004850C9">
                    <w:rPr>
                      <w:sz w:val="16"/>
                      <w:szCs w:val="16"/>
                    </w:rPr>
                    <w:t>High</w:t>
                  </w:r>
                </w:p>
              </w:tc>
              <w:tc>
                <w:tcPr>
                  <w:tcW w:w="1080" w:type="dxa"/>
                  <w:tcBorders>
                    <w:top w:val="nil"/>
                    <w:left w:val="nil"/>
                    <w:bottom w:val="nil"/>
                    <w:right w:val="single" w:sz="4" w:space="0" w:color="auto"/>
                  </w:tcBorders>
                  <w:vAlign w:val="bottom"/>
                </w:tcPr>
                <w:p w14:paraId="1FD04468" w14:textId="77777777" w:rsidR="00B24B51" w:rsidRPr="004850C9" w:rsidRDefault="00B24B51" w:rsidP="007019BD">
                  <w:pPr>
                    <w:pStyle w:val="Table1"/>
                    <w:rPr>
                      <w:sz w:val="16"/>
                      <w:szCs w:val="16"/>
                    </w:rPr>
                  </w:pPr>
                  <w:r w:rsidRPr="004850C9">
                    <w:rPr>
                      <w:sz w:val="16"/>
                      <w:szCs w:val="16"/>
                    </w:rPr>
                    <w:t>High</w:t>
                  </w:r>
                </w:p>
              </w:tc>
              <w:tc>
                <w:tcPr>
                  <w:tcW w:w="1260" w:type="dxa"/>
                  <w:tcBorders>
                    <w:top w:val="nil"/>
                    <w:left w:val="nil"/>
                    <w:bottom w:val="nil"/>
                    <w:right w:val="single" w:sz="4" w:space="0" w:color="auto"/>
                  </w:tcBorders>
                  <w:vAlign w:val="bottom"/>
                </w:tcPr>
                <w:p w14:paraId="13DD0294" w14:textId="77777777" w:rsidR="00B24B51" w:rsidRPr="004850C9" w:rsidRDefault="00B24B51" w:rsidP="007019BD">
                  <w:pPr>
                    <w:pStyle w:val="Table1"/>
                    <w:rPr>
                      <w:sz w:val="16"/>
                      <w:szCs w:val="16"/>
                    </w:rPr>
                  </w:pPr>
                  <w:r w:rsidRPr="004850C9">
                    <w:rPr>
                      <w:sz w:val="16"/>
                      <w:szCs w:val="16"/>
                    </w:rPr>
                    <w:t>High</w:t>
                  </w:r>
                </w:p>
              </w:tc>
              <w:tc>
                <w:tcPr>
                  <w:tcW w:w="1260" w:type="dxa"/>
                  <w:tcBorders>
                    <w:top w:val="nil"/>
                    <w:left w:val="nil"/>
                    <w:bottom w:val="nil"/>
                    <w:right w:val="nil"/>
                  </w:tcBorders>
                  <w:vAlign w:val="bottom"/>
                </w:tcPr>
                <w:p w14:paraId="20B8B578" w14:textId="77777777" w:rsidR="00B24B51" w:rsidRPr="004850C9" w:rsidRDefault="00B24B51" w:rsidP="007019BD">
                  <w:pPr>
                    <w:pStyle w:val="Table1"/>
                    <w:rPr>
                      <w:sz w:val="16"/>
                      <w:szCs w:val="16"/>
                    </w:rPr>
                  </w:pPr>
                  <w:r w:rsidRPr="004850C9">
                    <w:rPr>
                      <w:sz w:val="16"/>
                      <w:szCs w:val="16"/>
                    </w:rPr>
                    <w:t>Unknown</w:t>
                  </w:r>
                </w:p>
              </w:tc>
            </w:tr>
            <w:tr w:rsidR="00B24B51" w:rsidRPr="004D7208" w14:paraId="0EB3C388" w14:textId="77777777" w:rsidTr="00B24B51">
              <w:trPr>
                <w:trHeight w:val="255"/>
                <w:jc w:val="center"/>
              </w:trPr>
              <w:tc>
                <w:tcPr>
                  <w:tcW w:w="2085" w:type="dxa"/>
                  <w:tcBorders>
                    <w:top w:val="nil"/>
                    <w:left w:val="nil"/>
                    <w:bottom w:val="nil"/>
                    <w:right w:val="single" w:sz="4" w:space="0" w:color="auto"/>
                  </w:tcBorders>
                  <w:vAlign w:val="bottom"/>
                </w:tcPr>
                <w:p w14:paraId="1EE9FC4A" w14:textId="77777777" w:rsidR="00B24B51" w:rsidRPr="004850C9" w:rsidRDefault="00B24B51" w:rsidP="007019BD">
                  <w:pPr>
                    <w:pStyle w:val="Table1"/>
                    <w:jc w:val="left"/>
                    <w:rPr>
                      <w:sz w:val="16"/>
                      <w:szCs w:val="16"/>
                    </w:rPr>
                  </w:pPr>
                  <w:r w:rsidRPr="004850C9">
                    <w:rPr>
                      <w:sz w:val="16"/>
                      <w:szCs w:val="16"/>
                    </w:rPr>
                    <w:t>Glacial Till</w:t>
                  </w:r>
                </w:p>
              </w:tc>
              <w:tc>
                <w:tcPr>
                  <w:tcW w:w="1800" w:type="dxa"/>
                  <w:tcBorders>
                    <w:top w:val="nil"/>
                    <w:left w:val="nil"/>
                    <w:bottom w:val="nil"/>
                    <w:right w:val="single" w:sz="4" w:space="0" w:color="auto"/>
                  </w:tcBorders>
                  <w:vAlign w:val="bottom"/>
                </w:tcPr>
                <w:p w14:paraId="11805AC8" w14:textId="77777777" w:rsidR="00B24B51" w:rsidRPr="004850C9" w:rsidRDefault="00B24B51" w:rsidP="007019BD">
                  <w:pPr>
                    <w:pStyle w:val="Table1"/>
                    <w:jc w:val="left"/>
                    <w:rPr>
                      <w:sz w:val="16"/>
                      <w:szCs w:val="16"/>
                    </w:rPr>
                  </w:pPr>
                  <w:r w:rsidRPr="004850C9">
                    <w:rPr>
                      <w:sz w:val="16"/>
                      <w:szCs w:val="16"/>
                    </w:rPr>
                    <w:t>Variable</w:t>
                  </w:r>
                </w:p>
              </w:tc>
              <w:tc>
                <w:tcPr>
                  <w:tcW w:w="1170" w:type="dxa"/>
                  <w:tcBorders>
                    <w:top w:val="nil"/>
                    <w:left w:val="nil"/>
                    <w:bottom w:val="nil"/>
                    <w:right w:val="single" w:sz="4" w:space="0" w:color="auto"/>
                  </w:tcBorders>
                  <w:vAlign w:val="bottom"/>
                </w:tcPr>
                <w:p w14:paraId="04277178" w14:textId="77777777" w:rsidR="00B24B51" w:rsidRPr="004850C9" w:rsidRDefault="00B24B51" w:rsidP="007019BD">
                  <w:pPr>
                    <w:pStyle w:val="Table1"/>
                    <w:rPr>
                      <w:sz w:val="16"/>
                      <w:szCs w:val="16"/>
                    </w:rPr>
                  </w:pPr>
                  <w:r w:rsidRPr="004850C9">
                    <w:rPr>
                      <w:sz w:val="16"/>
                      <w:szCs w:val="16"/>
                    </w:rPr>
                    <w:t>Low</w:t>
                  </w:r>
                </w:p>
              </w:tc>
              <w:tc>
                <w:tcPr>
                  <w:tcW w:w="1080" w:type="dxa"/>
                  <w:tcBorders>
                    <w:top w:val="nil"/>
                    <w:left w:val="nil"/>
                    <w:bottom w:val="nil"/>
                    <w:right w:val="single" w:sz="4" w:space="0" w:color="auto"/>
                  </w:tcBorders>
                  <w:vAlign w:val="bottom"/>
                </w:tcPr>
                <w:p w14:paraId="7838AEA7" w14:textId="77777777" w:rsidR="00B24B51" w:rsidRPr="004850C9" w:rsidRDefault="00B24B51" w:rsidP="007019BD">
                  <w:pPr>
                    <w:pStyle w:val="Table1"/>
                    <w:rPr>
                      <w:sz w:val="16"/>
                      <w:szCs w:val="16"/>
                    </w:rPr>
                  </w:pPr>
                  <w:r w:rsidRPr="004850C9">
                    <w:rPr>
                      <w:sz w:val="16"/>
                      <w:szCs w:val="16"/>
                    </w:rPr>
                    <w:t>Low</w:t>
                  </w:r>
                </w:p>
              </w:tc>
              <w:tc>
                <w:tcPr>
                  <w:tcW w:w="1260" w:type="dxa"/>
                  <w:tcBorders>
                    <w:top w:val="nil"/>
                    <w:left w:val="nil"/>
                    <w:bottom w:val="nil"/>
                    <w:right w:val="single" w:sz="4" w:space="0" w:color="auto"/>
                  </w:tcBorders>
                  <w:vAlign w:val="bottom"/>
                </w:tcPr>
                <w:p w14:paraId="3191475D" w14:textId="77777777" w:rsidR="00B24B51" w:rsidRPr="004850C9" w:rsidRDefault="00B24B51" w:rsidP="007019BD">
                  <w:pPr>
                    <w:pStyle w:val="Table1"/>
                    <w:rPr>
                      <w:sz w:val="16"/>
                      <w:szCs w:val="16"/>
                    </w:rPr>
                  </w:pPr>
                  <w:r w:rsidRPr="004850C9">
                    <w:rPr>
                      <w:sz w:val="16"/>
                      <w:szCs w:val="16"/>
                    </w:rPr>
                    <w:t>Very Low</w:t>
                  </w:r>
                </w:p>
              </w:tc>
              <w:tc>
                <w:tcPr>
                  <w:tcW w:w="1260" w:type="dxa"/>
                  <w:tcBorders>
                    <w:top w:val="nil"/>
                    <w:left w:val="nil"/>
                    <w:bottom w:val="nil"/>
                    <w:right w:val="nil"/>
                  </w:tcBorders>
                  <w:vAlign w:val="bottom"/>
                </w:tcPr>
                <w:p w14:paraId="2D6B76A8" w14:textId="77777777" w:rsidR="00B24B51" w:rsidRPr="004850C9" w:rsidRDefault="00B24B51" w:rsidP="007019BD">
                  <w:pPr>
                    <w:pStyle w:val="Table1"/>
                    <w:rPr>
                      <w:sz w:val="16"/>
                      <w:szCs w:val="16"/>
                    </w:rPr>
                  </w:pPr>
                  <w:r w:rsidRPr="004850C9">
                    <w:rPr>
                      <w:sz w:val="16"/>
                      <w:szCs w:val="16"/>
                    </w:rPr>
                    <w:t>Very Low</w:t>
                  </w:r>
                </w:p>
              </w:tc>
            </w:tr>
            <w:tr w:rsidR="00B24B51" w:rsidRPr="004D7208" w14:paraId="3E960DDD" w14:textId="77777777" w:rsidTr="00B24B51">
              <w:trPr>
                <w:trHeight w:val="255"/>
                <w:jc w:val="center"/>
              </w:trPr>
              <w:tc>
                <w:tcPr>
                  <w:tcW w:w="2085" w:type="dxa"/>
                  <w:tcBorders>
                    <w:top w:val="nil"/>
                    <w:left w:val="nil"/>
                    <w:bottom w:val="nil"/>
                    <w:right w:val="single" w:sz="4" w:space="0" w:color="auto"/>
                  </w:tcBorders>
                  <w:vAlign w:val="bottom"/>
                </w:tcPr>
                <w:p w14:paraId="2160EA3C" w14:textId="77777777" w:rsidR="00B24B51" w:rsidRPr="004850C9" w:rsidRDefault="00B24B51" w:rsidP="007019BD">
                  <w:pPr>
                    <w:pStyle w:val="Table1"/>
                    <w:jc w:val="left"/>
                    <w:rPr>
                      <w:sz w:val="16"/>
                      <w:szCs w:val="16"/>
                    </w:rPr>
                  </w:pPr>
                  <w:r w:rsidRPr="004850C9">
                    <w:rPr>
                      <w:sz w:val="16"/>
                      <w:szCs w:val="16"/>
                    </w:rPr>
                    <w:t>Tuft</w:t>
                  </w:r>
                </w:p>
              </w:tc>
              <w:tc>
                <w:tcPr>
                  <w:tcW w:w="1800" w:type="dxa"/>
                  <w:tcBorders>
                    <w:top w:val="nil"/>
                    <w:left w:val="nil"/>
                    <w:bottom w:val="nil"/>
                    <w:right w:val="single" w:sz="4" w:space="0" w:color="auto"/>
                  </w:tcBorders>
                  <w:vAlign w:val="bottom"/>
                </w:tcPr>
                <w:p w14:paraId="1E06D19F" w14:textId="77777777" w:rsidR="00B24B51" w:rsidRPr="004850C9" w:rsidRDefault="00B24B51" w:rsidP="007019BD">
                  <w:pPr>
                    <w:pStyle w:val="Table1"/>
                    <w:jc w:val="left"/>
                    <w:rPr>
                      <w:sz w:val="16"/>
                      <w:szCs w:val="16"/>
                    </w:rPr>
                  </w:pPr>
                  <w:r w:rsidRPr="004850C9">
                    <w:rPr>
                      <w:sz w:val="16"/>
                      <w:szCs w:val="16"/>
                    </w:rPr>
                    <w:t>Rare</w:t>
                  </w:r>
                </w:p>
              </w:tc>
              <w:tc>
                <w:tcPr>
                  <w:tcW w:w="1170" w:type="dxa"/>
                  <w:tcBorders>
                    <w:top w:val="nil"/>
                    <w:left w:val="nil"/>
                    <w:bottom w:val="nil"/>
                    <w:right w:val="single" w:sz="4" w:space="0" w:color="auto"/>
                  </w:tcBorders>
                  <w:vAlign w:val="bottom"/>
                </w:tcPr>
                <w:p w14:paraId="06A481BA" w14:textId="77777777" w:rsidR="00B24B51" w:rsidRPr="004850C9" w:rsidRDefault="00B24B51" w:rsidP="007019BD">
                  <w:pPr>
                    <w:pStyle w:val="Table1"/>
                    <w:rPr>
                      <w:sz w:val="16"/>
                      <w:szCs w:val="16"/>
                    </w:rPr>
                  </w:pPr>
                  <w:r w:rsidRPr="004850C9">
                    <w:rPr>
                      <w:sz w:val="16"/>
                      <w:szCs w:val="16"/>
                    </w:rPr>
                    <w:t>Low</w:t>
                  </w:r>
                </w:p>
              </w:tc>
              <w:tc>
                <w:tcPr>
                  <w:tcW w:w="1080" w:type="dxa"/>
                  <w:tcBorders>
                    <w:top w:val="nil"/>
                    <w:left w:val="nil"/>
                    <w:bottom w:val="nil"/>
                    <w:right w:val="single" w:sz="4" w:space="0" w:color="auto"/>
                  </w:tcBorders>
                  <w:vAlign w:val="bottom"/>
                </w:tcPr>
                <w:p w14:paraId="7011828D" w14:textId="77777777" w:rsidR="00B24B51" w:rsidRPr="004850C9" w:rsidRDefault="00B24B51" w:rsidP="007019BD">
                  <w:pPr>
                    <w:pStyle w:val="Table1"/>
                    <w:rPr>
                      <w:sz w:val="16"/>
                      <w:szCs w:val="16"/>
                    </w:rPr>
                  </w:pPr>
                  <w:r w:rsidRPr="004850C9">
                    <w:rPr>
                      <w:sz w:val="16"/>
                      <w:szCs w:val="16"/>
                    </w:rPr>
                    <w:t>Low</w:t>
                  </w:r>
                </w:p>
              </w:tc>
              <w:tc>
                <w:tcPr>
                  <w:tcW w:w="1260" w:type="dxa"/>
                  <w:tcBorders>
                    <w:top w:val="nil"/>
                    <w:left w:val="nil"/>
                    <w:bottom w:val="nil"/>
                    <w:right w:val="single" w:sz="4" w:space="0" w:color="auto"/>
                  </w:tcBorders>
                  <w:vAlign w:val="bottom"/>
                </w:tcPr>
                <w:p w14:paraId="6ACA4E16" w14:textId="77777777" w:rsidR="00B24B51" w:rsidRPr="004850C9" w:rsidRDefault="00B24B51" w:rsidP="007019BD">
                  <w:pPr>
                    <w:pStyle w:val="Table1"/>
                    <w:rPr>
                      <w:sz w:val="16"/>
                      <w:szCs w:val="16"/>
                    </w:rPr>
                  </w:pPr>
                  <w:r w:rsidRPr="004850C9">
                    <w:rPr>
                      <w:sz w:val="16"/>
                      <w:szCs w:val="16"/>
                    </w:rPr>
                    <w:t>Very Low</w:t>
                  </w:r>
                </w:p>
              </w:tc>
              <w:tc>
                <w:tcPr>
                  <w:tcW w:w="1260" w:type="dxa"/>
                  <w:tcBorders>
                    <w:top w:val="nil"/>
                    <w:left w:val="nil"/>
                    <w:bottom w:val="nil"/>
                    <w:right w:val="nil"/>
                  </w:tcBorders>
                  <w:vAlign w:val="bottom"/>
                </w:tcPr>
                <w:p w14:paraId="6E228D5D" w14:textId="77777777" w:rsidR="00B24B51" w:rsidRPr="004850C9" w:rsidRDefault="00B24B51" w:rsidP="007019BD">
                  <w:pPr>
                    <w:pStyle w:val="Table1"/>
                    <w:rPr>
                      <w:sz w:val="16"/>
                      <w:szCs w:val="16"/>
                    </w:rPr>
                  </w:pPr>
                  <w:r w:rsidRPr="004850C9">
                    <w:rPr>
                      <w:sz w:val="16"/>
                      <w:szCs w:val="16"/>
                    </w:rPr>
                    <w:t>Very Low</w:t>
                  </w:r>
                </w:p>
              </w:tc>
            </w:tr>
            <w:tr w:rsidR="00B24B51" w:rsidRPr="004D7208" w14:paraId="309E275B" w14:textId="77777777" w:rsidTr="00B24B51">
              <w:trPr>
                <w:trHeight w:val="255"/>
                <w:jc w:val="center"/>
              </w:trPr>
              <w:tc>
                <w:tcPr>
                  <w:tcW w:w="2085" w:type="dxa"/>
                  <w:tcBorders>
                    <w:top w:val="nil"/>
                    <w:left w:val="nil"/>
                    <w:bottom w:val="nil"/>
                    <w:right w:val="single" w:sz="4" w:space="0" w:color="auto"/>
                  </w:tcBorders>
                  <w:vAlign w:val="bottom"/>
                </w:tcPr>
                <w:p w14:paraId="1D9EB27A" w14:textId="77777777" w:rsidR="00B24B51" w:rsidRPr="004850C9" w:rsidRDefault="00B24B51" w:rsidP="007019BD">
                  <w:pPr>
                    <w:pStyle w:val="Table1"/>
                    <w:jc w:val="left"/>
                    <w:rPr>
                      <w:sz w:val="16"/>
                      <w:szCs w:val="16"/>
                    </w:rPr>
                  </w:pPr>
                  <w:r w:rsidRPr="004850C9">
                    <w:rPr>
                      <w:sz w:val="16"/>
                      <w:szCs w:val="16"/>
                    </w:rPr>
                    <w:t>Tephra</w:t>
                  </w:r>
                </w:p>
              </w:tc>
              <w:tc>
                <w:tcPr>
                  <w:tcW w:w="1800" w:type="dxa"/>
                  <w:tcBorders>
                    <w:top w:val="nil"/>
                    <w:left w:val="nil"/>
                    <w:bottom w:val="nil"/>
                    <w:right w:val="single" w:sz="4" w:space="0" w:color="auto"/>
                  </w:tcBorders>
                  <w:vAlign w:val="bottom"/>
                </w:tcPr>
                <w:p w14:paraId="6C31A7F7" w14:textId="77777777" w:rsidR="00B24B51" w:rsidRPr="004850C9" w:rsidRDefault="00B24B51" w:rsidP="007019BD">
                  <w:pPr>
                    <w:pStyle w:val="Table1"/>
                    <w:jc w:val="left"/>
                    <w:rPr>
                      <w:sz w:val="16"/>
                      <w:szCs w:val="16"/>
                    </w:rPr>
                  </w:pPr>
                  <w:r w:rsidRPr="004850C9">
                    <w:rPr>
                      <w:sz w:val="16"/>
                      <w:szCs w:val="16"/>
                    </w:rPr>
                    <w:t>Widespread</w:t>
                  </w:r>
                </w:p>
              </w:tc>
              <w:tc>
                <w:tcPr>
                  <w:tcW w:w="1170" w:type="dxa"/>
                  <w:tcBorders>
                    <w:top w:val="nil"/>
                    <w:left w:val="nil"/>
                    <w:bottom w:val="nil"/>
                    <w:right w:val="single" w:sz="4" w:space="0" w:color="auto"/>
                  </w:tcBorders>
                  <w:vAlign w:val="bottom"/>
                </w:tcPr>
                <w:p w14:paraId="4805B108" w14:textId="77777777" w:rsidR="00B24B51" w:rsidRPr="004850C9" w:rsidRDefault="00B24B51" w:rsidP="007019BD">
                  <w:pPr>
                    <w:pStyle w:val="Table1"/>
                    <w:rPr>
                      <w:sz w:val="16"/>
                      <w:szCs w:val="16"/>
                    </w:rPr>
                  </w:pPr>
                  <w:r w:rsidRPr="004850C9">
                    <w:rPr>
                      <w:sz w:val="16"/>
                      <w:szCs w:val="16"/>
                    </w:rPr>
                    <w:t>High</w:t>
                  </w:r>
                </w:p>
              </w:tc>
              <w:tc>
                <w:tcPr>
                  <w:tcW w:w="1080" w:type="dxa"/>
                  <w:tcBorders>
                    <w:top w:val="nil"/>
                    <w:left w:val="nil"/>
                    <w:bottom w:val="nil"/>
                    <w:right w:val="single" w:sz="4" w:space="0" w:color="auto"/>
                  </w:tcBorders>
                  <w:vAlign w:val="bottom"/>
                </w:tcPr>
                <w:p w14:paraId="1D6554F4" w14:textId="77777777" w:rsidR="00B24B51" w:rsidRPr="004850C9" w:rsidRDefault="00B24B51" w:rsidP="007019BD">
                  <w:pPr>
                    <w:pStyle w:val="Table1"/>
                    <w:rPr>
                      <w:sz w:val="16"/>
                      <w:szCs w:val="16"/>
                    </w:rPr>
                  </w:pPr>
                  <w:r w:rsidRPr="004850C9">
                    <w:rPr>
                      <w:sz w:val="16"/>
                      <w:szCs w:val="16"/>
                    </w:rPr>
                    <w:t>High</w:t>
                  </w:r>
                </w:p>
              </w:tc>
              <w:tc>
                <w:tcPr>
                  <w:tcW w:w="1260" w:type="dxa"/>
                  <w:tcBorders>
                    <w:top w:val="nil"/>
                    <w:left w:val="nil"/>
                    <w:bottom w:val="nil"/>
                    <w:right w:val="single" w:sz="4" w:space="0" w:color="auto"/>
                  </w:tcBorders>
                  <w:vAlign w:val="bottom"/>
                </w:tcPr>
                <w:p w14:paraId="5378CE56" w14:textId="77777777" w:rsidR="00B24B51" w:rsidRPr="004850C9" w:rsidRDefault="00B24B51" w:rsidP="007019BD">
                  <w:pPr>
                    <w:pStyle w:val="Table1"/>
                    <w:rPr>
                      <w:sz w:val="16"/>
                      <w:szCs w:val="16"/>
                    </w:rPr>
                  </w:pPr>
                  <w:r w:rsidRPr="004850C9">
                    <w:rPr>
                      <w:sz w:val="16"/>
                      <w:szCs w:val="16"/>
                    </w:rPr>
                    <w:t>?</w:t>
                  </w:r>
                </w:p>
              </w:tc>
              <w:tc>
                <w:tcPr>
                  <w:tcW w:w="1260" w:type="dxa"/>
                  <w:tcBorders>
                    <w:top w:val="nil"/>
                    <w:left w:val="nil"/>
                    <w:bottom w:val="nil"/>
                    <w:right w:val="nil"/>
                  </w:tcBorders>
                  <w:vAlign w:val="bottom"/>
                </w:tcPr>
                <w:p w14:paraId="5C908DD6" w14:textId="77777777" w:rsidR="00B24B51" w:rsidRPr="004850C9" w:rsidRDefault="00B24B51" w:rsidP="007019BD">
                  <w:pPr>
                    <w:pStyle w:val="Table1"/>
                    <w:rPr>
                      <w:sz w:val="16"/>
                      <w:szCs w:val="16"/>
                    </w:rPr>
                  </w:pPr>
                  <w:r w:rsidRPr="004850C9">
                    <w:rPr>
                      <w:sz w:val="16"/>
                      <w:szCs w:val="16"/>
                    </w:rPr>
                    <w:t>?</w:t>
                  </w:r>
                </w:p>
              </w:tc>
            </w:tr>
            <w:tr w:rsidR="00B24B51" w:rsidRPr="004D7208" w14:paraId="24F726C9" w14:textId="77777777" w:rsidTr="00B24B51">
              <w:trPr>
                <w:trHeight w:val="240"/>
                <w:jc w:val="center"/>
              </w:trPr>
              <w:tc>
                <w:tcPr>
                  <w:tcW w:w="2085" w:type="dxa"/>
                  <w:tcBorders>
                    <w:top w:val="nil"/>
                    <w:left w:val="nil"/>
                    <w:bottom w:val="nil"/>
                    <w:right w:val="single" w:sz="4" w:space="0" w:color="auto"/>
                  </w:tcBorders>
                  <w:vAlign w:val="bottom"/>
                </w:tcPr>
                <w:p w14:paraId="3E589504" w14:textId="77777777" w:rsidR="00B24B51" w:rsidRPr="004850C9" w:rsidRDefault="00B24B51" w:rsidP="007019BD">
                  <w:pPr>
                    <w:pStyle w:val="Table1"/>
                    <w:jc w:val="left"/>
                    <w:rPr>
                      <w:sz w:val="16"/>
                      <w:szCs w:val="16"/>
                    </w:rPr>
                  </w:pPr>
                  <w:r w:rsidRPr="004850C9">
                    <w:rPr>
                      <w:sz w:val="16"/>
                      <w:szCs w:val="16"/>
                    </w:rPr>
                    <w:t>Residual Soils</w:t>
                  </w:r>
                </w:p>
              </w:tc>
              <w:tc>
                <w:tcPr>
                  <w:tcW w:w="1800" w:type="dxa"/>
                  <w:tcBorders>
                    <w:top w:val="nil"/>
                    <w:left w:val="nil"/>
                    <w:bottom w:val="nil"/>
                    <w:right w:val="single" w:sz="4" w:space="0" w:color="auto"/>
                  </w:tcBorders>
                  <w:vAlign w:val="bottom"/>
                </w:tcPr>
                <w:p w14:paraId="675994D1" w14:textId="77777777" w:rsidR="00B24B51" w:rsidRPr="004850C9" w:rsidRDefault="00B24B51" w:rsidP="007019BD">
                  <w:pPr>
                    <w:pStyle w:val="Table1"/>
                    <w:jc w:val="left"/>
                    <w:rPr>
                      <w:sz w:val="16"/>
                      <w:szCs w:val="16"/>
                    </w:rPr>
                  </w:pPr>
                  <w:r w:rsidRPr="004850C9">
                    <w:rPr>
                      <w:sz w:val="16"/>
                      <w:szCs w:val="16"/>
                    </w:rPr>
                    <w:t>Rare</w:t>
                  </w:r>
                </w:p>
              </w:tc>
              <w:tc>
                <w:tcPr>
                  <w:tcW w:w="1170" w:type="dxa"/>
                  <w:tcBorders>
                    <w:top w:val="nil"/>
                    <w:left w:val="nil"/>
                    <w:bottom w:val="nil"/>
                    <w:right w:val="single" w:sz="4" w:space="0" w:color="auto"/>
                  </w:tcBorders>
                  <w:vAlign w:val="bottom"/>
                </w:tcPr>
                <w:p w14:paraId="72AEF203" w14:textId="77777777" w:rsidR="00B24B51" w:rsidRPr="004850C9" w:rsidRDefault="00B24B51" w:rsidP="007019BD">
                  <w:pPr>
                    <w:pStyle w:val="Table1"/>
                    <w:rPr>
                      <w:sz w:val="16"/>
                      <w:szCs w:val="16"/>
                    </w:rPr>
                  </w:pPr>
                  <w:r w:rsidRPr="004850C9">
                    <w:rPr>
                      <w:sz w:val="16"/>
                      <w:szCs w:val="16"/>
                    </w:rPr>
                    <w:t>Low</w:t>
                  </w:r>
                </w:p>
              </w:tc>
              <w:tc>
                <w:tcPr>
                  <w:tcW w:w="1080" w:type="dxa"/>
                  <w:tcBorders>
                    <w:top w:val="nil"/>
                    <w:left w:val="nil"/>
                    <w:bottom w:val="nil"/>
                    <w:right w:val="single" w:sz="4" w:space="0" w:color="auto"/>
                  </w:tcBorders>
                  <w:vAlign w:val="bottom"/>
                </w:tcPr>
                <w:p w14:paraId="3C873FFF" w14:textId="77777777" w:rsidR="00B24B51" w:rsidRPr="004850C9" w:rsidRDefault="00B24B51" w:rsidP="007019BD">
                  <w:pPr>
                    <w:pStyle w:val="Table1"/>
                    <w:rPr>
                      <w:sz w:val="16"/>
                      <w:szCs w:val="16"/>
                    </w:rPr>
                  </w:pPr>
                  <w:r w:rsidRPr="004850C9">
                    <w:rPr>
                      <w:sz w:val="16"/>
                      <w:szCs w:val="16"/>
                    </w:rPr>
                    <w:t>Low</w:t>
                  </w:r>
                </w:p>
              </w:tc>
              <w:tc>
                <w:tcPr>
                  <w:tcW w:w="1260" w:type="dxa"/>
                  <w:tcBorders>
                    <w:top w:val="nil"/>
                    <w:left w:val="nil"/>
                    <w:bottom w:val="nil"/>
                    <w:right w:val="single" w:sz="4" w:space="0" w:color="auto"/>
                  </w:tcBorders>
                  <w:vAlign w:val="bottom"/>
                </w:tcPr>
                <w:p w14:paraId="2BAEEA7C" w14:textId="77777777" w:rsidR="00B24B51" w:rsidRPr="004850C9" w:rsidRDefault="00B24B51" w:rsidP="007019BD">
                  <w:pPr>
                    <w:pStyle w:val="Table1"/>
                    <w:rPr>
                      <w:sz w:val="16"/>
                      <w:szCs w:val="16"/>
                    </w:rPr>
                  </w:pPr>
                  <w:r w:rsidRPr="004850C9">
                    <w:rPr>
                      <w:sz w:val="16"/>
                      <w:szCs w:val="16"/>
                    </w:rPr>
                    <w:t>Very Low</w:t>
                  </w:r>
                </w:p>
              </w:tc>
              <w:tc>
                <w:tcPr>
                  <w:tcW w:w="1260" w:type="dxa"/>
                  <w:tcBorders>
                    <w:top w:val="nil"/>
                    <w:left w:val="nil"/>
                    <w:bottom w:val="nil"/>
                    <w:right w:val="nil"/>
                  </w:tcBorders>
                  <w:vAlign w:val="bottom"/>
                </w:tcPr>
                <w:p w14:paraId="70667082" w14:textId="77777777" w:rsidR="00B24B51" w:rsidRPr="004850C9" w:rsidRDefault="00B24B51" w:rsidP="007019BD">
                  <w:pPr>
                    <w:pStyle w:val="Table1"/>
                    <w:rPr>
                      <w:sz w:val="16"/>
                      <w:szCs w:val="16"/>
                    </w:rPr>
                  </w:pPr>
                  <w:r w:rsidRPr="004850C9">
                    <w:rPr>
                      <w:sz w:val="16"/>
                      <w:szCs w:val="16"/>
                    </w:rPr>
                    <w:t>Very Low</w:t>
                  </w:r>
                </w:p>
              </w:tc>
            </w:tr>
            <w:tr w:rsidR="00B24B51" w:rsidRPr="004D7208" w14:paraId="4AE68E5A" w14:textId="77777777" w:rsidTr="00B24B51">
              <w:trPr>
                <w:trHeight w:val="255"/>
                <w:jc w:val="center"/>
              </w:trPr>
              <w:tc>
                <w:tcPr>
                  <w:tcW w:w="2085" w:type="dxa"/>
                  <w:tcBorders>
                    <w:top w:val="nil"/>
                    <w:left w:val="nil"/>
                    <w:bottom w:val="single" w:sz="4" w:space="0" w:color="auto"/>
                    <w:right w:val="single" w:sz="4" w:space="0" w:color="auto"/>
                  </w:tcBorders>
                  <w:vAlign w:val="bottom"/>
                </w:tcPr>
                <w:p w14:paraId="3897B4BA" w14:textId="77777777" w:rsidR="00B24B51" w:rsidRPr="004850C9" w:rsidRDefault="00B24B51" w:rsidP="007019BD">
                  <w:pPr>
                    <w:pStyle w:val="Table1"/>
                    <w:jc w:val="left"/>
                    <w:rPr>
                      <w:sz w:val="16"/>
                      <w:szCs w:val="16"/>
                    </w:rPr>
                  </w:pPr>
                  <w:proofErr w:type="spellStart"/>
                  <w:r w:rsidRPr="004850C9">
                    <w:rPr>
                      <w:sz w:val="16"/>
                      <w:szCs w:val="16"/>
                    </w:rPr>
                    <w:lastRenderedPageBreak/>
                    <w:t>Sebkha</w:t>
                  </w:r>
                  <w:proofErr w:type="spellEnd"/>
                </w:p>
              </w:tc>
              <w:tc>
                <w:tcPr>
                  <w:tcW w:w="1800" w:type="dxa"/>
                  <w:tcBorders>
                    <w:top w:val="nil"/>
                    <w:left w:val="nil"/>
                    <w:bottom w:val="single" w:sz="4" w:space="0" w:color="auto"/>
                    <w:right w:val="single" w:sz="4" w:space="0" w:color="auto"/>
                  </w:tcBorders>
                  <w:vAlign w:val="bottom"/>
                </w:tcPr>
                <w:p w14:paraId="2EFD16E4" w14:textId="77777777" w:rsidR="00B24B51" w:rsidRPr="004850C9" w:rsidRDefault="00B24B51" w:rsidP="007019BD">
                  <w:pPr>
                    <w:pStyle w:val="Table1"/>
                    <w:jc w:val="left"/>
                    <w:rPr>
                      <w:sz w:val="16"/>
                      <w:szCs w:val="16"/>
                    </w:rPr>
                  </w:pPr>
                  <w:r w:rsidRPr="004850C9">
                    <w:rPr>
                      <w:sz w:val="16"/>
                      <w:szCs w:val="16"/>
                    </w:rPr>
                    <w:t>Locally Variable</w:t>
                  </w:r>
                </w:p>
              </w:tc>
              <w:tc>
                <w:tcPr>
                  <w:tcW w:w="1170" w:type="dxa"/>
                  <w:tcBorders>
                    <w:top w:val="nil"/>
                    <w:left w:val="nil"/>
                    <w:bottom w:val="single" w:sz="4" w:space="0" w:color="auto"/>
                    <w:right w:val="single" w:sz="4" w:space="0" w:color="auto"/>
                  </w:tcBorders>
                  <w:vAlign w:val="bottom"/>
                </w:tcPr>
                <w:p w14:paraId="3E640211" w14:textId="77777777" w:rsidR="00B24B51" w:rsidRPr="004850C9" w:rsidRDefault="00B24B51" w:rsidP="007019BD">
                  <w:pPr>
                    <w:pStyle w:val="Table1"/>
                    <w:rPr>
                      <w:sz w:val="16"/>
                      <w:szCs w:val="16"/>
                    </w:rPr>
                  </w:pPr>
                  <w:r w:rsidRPr="004850C9">
                    <w:rPr>
                      <w:sz w:val="16"/>
                      <w:szCs w:val="16"/>
                    </w:rPr>
                    <w:t>High</w:t>
                  </w:r>
                </w:p>
              </w:tc>
              <w:tc>
                <w:tcPr>
                  <w:tcW w:w="1080" w:type="dxa"/>
                  <w:tcBorders>
                    <w:top w:val="nil"/>
                    <w:left w:val="nil"/>
                    <w:bottom w:val="single" w:sz="4" w:space="0" w:color="auto"/>
                    <w:right w:val="single" w:sz="4" w:space="0" w:color="auto"/>
                  </w:tcBorders>
                  <w:vAlign w:val="bottom"/>
                </w:tcPr>
                <w:p w14:paraId="1DB02CD4" w14:textId="77777777" w:rsidR="00B24B51" w:rsidRPr="004850C9" w:rsidRDefault="00B24B51" w:rsidP="007019BD">
                  <w:pPr>
                    <w:pStyle w:val="Table1"/>
                    <w:rPr>
                      <w:sz w:val="16"/>
                      <w:szCs w:val="16"/>
                    </w:rPr>
                  </w:pPr>
                  <w:r w:rsidRPr="004850C9">
                    <w:rPr>
                      <w:sz w:val="16"/>
                      <w:szCs w:val="16"/>
                    </w:rPr>
                    <w:t>Moderate</w:t>
                  </w:r>
                </w:p>
              </w:tc>
              <w:tc>
                <w:tcPr>
                  <w:tcW w:w="1260" w:type="dxa"/>
                  <w:tcBorders>
                    <w:top w:val="nil"/>
                    <w:left w:val="nil"/>
                    <w:bottom w:val="single" w:sz="4" w:space="0" w:color="auto"/>
                    <w:right w:val="single" w:sz="4" w:space="0" w:color="auto"/>
                  </w:tcBorders>
                  <w:vAlign w:val="bottom"/>
                </w:tcPr>
                <w:p w14:paraId="0AB49504" w14:textId="77777777" w:rsidR="00B24B51" w:rsidRPr="004850C9" w:rsidRDefault="00B24B51" w:rsidP="007019BD">
                  <w:pPr>
                    <w:pStyle w:val="Table1"/>
                    <w:rPr>
                      <w:sz w:val="16"/>
                      <w:szCs w:val="16"/>
                    </w:rPr>
                  </w:pPr>
                  <w:r w:rsidRPr="004850C9">
                    <w:rPr>
                      <w:sz w:val="16"/>
                      <w:szCs w:val="16"/>
                    </w:rPr>
                    <w:t>Low</w:t>
                  </w:r>
                </w:p>
              </w:tc>
              <w:tc>
                <w:tcPr>
                  <w:tcW w:w="1260" w:type="dxa"/>
                  <w:tcBorders>
                    <w:top w:val="nil"/>
                    <w:left w:val="nil"/>
                    <w:bottom w:val="single" w:sz="4" w:space="0" w:color="auto"/>
                    <w:right w:val="nil"/>
                  </w:tcBorders>
                  <w:vAlign w:val="bottom"/>
                </w:tcPr>
                <w:p w14:paraId="4CC55F51" w14:textId="77777777" w:rsidR="00B24B51" w:rsidRPr="004850C9" w:rsidRDefault="00B24B51" w:rsidP="007019BD">
                  <w:pPr>
                    <w:pStyle w:val="Table1"/>
                    <w:rPr>
                      <w:sz w:val="16"/>
                      <w:szCs w:val="16"/>
                    </w:rPr>
                  </w:pPr>
                  <w:r w:rsidRPr="004850C9">
                    <w:rPr>
                      <w:sz w:val="16"/>
                      <w:szCs w:val="16"/>
                    </w:rPr>
                    <w:t>Very Low</w:t>
                  </w:r>
                </w:p>
              </w:tc>
            </w:tr>
            <w:tr w:rsidR="00B24B51" w:rsidRPr="004D7208" w14:paraId="53F339B5" w14:textId="77777777" w:rsidTr="00B24B51">
              <w:trPr>
                <w:trHeight w:val="300"/>
                <w:jc w:val="center"/>
              </w:trPr>
              <w:tc>
                <w:tcPr>
                  <w:tcW w:w="8655" w:type="dxa"/>
                  <w:gridSpan w:val="6"/>
                  <w:tcBorders>
                    <w:top w:val="single" w:sz="4" w:space="0" w:color="auto"/>
                    <w:left w:val="nil"/>
                    <w:bottom w:val="single" w:sz="4" w:space="0" w:color="auto"/>
                    <w:right w:val="nil"/>
                  </w:tcBorders>
                  <w:vAlign w:val="bottom"/>
                </w:tcPr>
                <w:p w14:paraId="09EFEA11" w14:textId="77777777" w:rsidR="00B24B51" w:rsidRPr="004850C9" w:rsidRDefault="00B24B51" w:rsidP="007019BD">
                  <w:pPr>
                    <w:pStyle w:val="Table1"/>
                    <w:jc w:val="left"/>
                    <w:rPr>
                      <w:sz w:val="16"/>
                      <w:szCs w:val="16"/>
                    </w:rPr>
                  </w:pPr>
                  <w:r w:rsidRPr="004850C9">
                    <w:rPr>
                      <w:sz w:val="16"/>
                      <w:szCs w:val="16"/>
                    </w:rPr>
                    <w:t>(b) Coastal Zone</w:t>
                  </w:r>
                </w:p>
              </w:tc>
            </w:tr>
            <w:tr w:rsidR="00B24B51" w:rsidRPr="004D7208" w14:paraId="4C297F41" w14:textId="77777777" w:rsidTr="00B24B51">
              <w:trPr>
                <w:trHeight w:val="255"/>
                <w:jc w:val="center"/>
              </w:trPr>
              <w:tc>
                <w:tcPr>
                  <w:tcW w:w="2085" w:type="dxa"/>
                  <w:tcBorders>
                    <w:top w:val="nil"/>
                    <w:left w:val="nil"/>
                    <w:bottom w:val="nil"/>
                    <w:right w:val="single" w:sz="4" w:space="0" w:color="auto"/>
                  </w:tcBorders>
                  <w:vAlign w:val="bottom"/>
                </w:tcPr>
                <w:p w14:paraId="34F9C30D" w14:textId="77777777" w:rsidR="00B24B51" w:rsidRPr="004850C9" w:rsidRDefault="00B24B51" w:rsidP="007019BD">
                  <w:pPr>
                    <w:pStyle w:val="Table1"/>
                    <w:jc w:val="left"/>
                    <w:rPr>
                      <w:sz w:val="16"/>
                      <w:szCs w:val="16"/>
                    </w:rPr>
                  </w:pPr>
                  <w:r w:rsidRPr="004850C9">
                    <w:rPr>
                      <w:sz w:val="16"/>
                      <w:szCs w:val="16"/>
                    </w:rPr>
                    <w:t>Delta</w:t>
                  </w:r>
                </w:p>
              </w:tc>
              <w:tc>
                <w:tcPr>
                  <w:tcW w:w="1800" w:type="dxa"/>
                  <w:tcBorders>
                    <w:top w:val="nil"/>
                    <w:left w:val="nil"/>
                    <w:bottom w:val="nil"/>
                    <w:right w:val="single" w:sz="4" w:space="0" w:color="auto"/>
                  </w:tcBorders>
                  <w:vAlign w:val="bottom"/>
                </w:tcPr>
                <w:p w14:paraId="6CBC8B95" w14:textId="77777777" w:rsidR="00B24B51" w:rsidRPr="004850C9" w:rsidRDefault="00B24B51" w:rsidP="007019BD">
                  <w:pPr>
                    <w:pStyle w:val="Table1"/>
                    <w:jc w:val="left"/>
                    <w:rPr>
                      <w:sz w:val="16"/>
                      <w:szCs w:val="16"/>
                    </w:rPr>
                  </w:pPr>
                  <w:r w:rsidRPr="004850C9">
                    <w:rPr>
                      <w:sz w:val="16"/>
                      <w:szCs w:val="16"/>
                    </w:rPr>
                    <w:t>Widespread</w:t>
                  </w:r>
                </w:p>
              </w:tc>
              <w:tc>
                <w:tcPr>
                  <w:tcW w:w="1170" w:type="dxa"/>
                  <w:tcBorders>
                    <w:top w:val="nil"/>
                    <w:left w:val="nil"/>
                    <w:bottom w:val="nil"/>
                    <w:right w:val="single" w:sz="4" w:space="0" w:color="auto"/>
                  </w:tcBorders>
                  <w:vAlign w:val="bottom"/>
                </w:tcPr>
                <w:p w14:paraId="1843C65F" w14:textId="77777777" w:rsidR="00B24B51" w:rsidRPr="004850C9" w:rsidRDefault="00B24B51" w:rsidP="007019BD">
                  <w:pPr>
                    <w:pStyle w:val="Table1"/>
                    <w:rPr>
                      <w:sz w:val="16"/>
                      <w:szCs w:val="16"/>
                    </w:rPr>
                  </w:pPr>
                  <w:r w:rsidRPr="004850C9">
                    <w:rPr>
                      <w:sz w:val="16"/>
                      <w:szCs w:val="16"/>
                    </w:rPr>
                    <w:t>Very High</w:t>
                  </w:r>
                </w:p>
              </w:tc>
              <w:tc>
                <w:tcPr>
                  <w:tcW w:w="1080" w:type="dxa"/>
                  <w:tcBorders>
                    <w:top w:val="nil"/>
                    <w:left w:val="nil"/>
                    <w:bottom w:val="nil"/>
                    <w:right w:val="single" w:sz="4" w:space="0" w:color="auto"/>
                  </w:tcBorders>
                  <w:vAlign w:val="bottom"/>
                </w:tcPr>
                <w:p w14:paraId="7B1DEBEC" w14:textId="77777777" w:rsidR="00B24B51" w:rsidRPr="004850C9" w:rsidRDefault="00B24B51" w:rsidP="007019BD">
                  <w:pPr>
                    <w:pStyle w:val="Table1"/>
                    <w:rPr>
                      <w:sz w:val="16"/>
                      <w:szCs w:val="16"/>
                    </w:rPr>
                  </w:pPr>
                  <w:r w:rsidRPr="004850C9">
                    <w:rPr>
                      <w:sz w:val="16"/>
                      <w:szCs w:val="16"/>
                    </w:rPr>
                    <w:t>High</w:t>
                  </w:r>
                </w:p>
              </w:tc>
              <w:tc>
                <w:tcPr>
                  <w:tcW w:w="1260" w:type="dxa"/>
                  <w:tcBorders>
                    <w:top w:val="nil"/>
                    <w:left w:val="nil"/>
                    <w:bottom w:val="nil"/>
                    <w:right w:val="single" w:sz="4" w:space="0" w:color="auto"/>
                  </w:tcBorders>
                  <w:vAlign w:val="bottom"/>
                </w:tcPr>
                <w:p w14:paraId="45F0AC87" w14:textId="77777777" w:rsidR="00B24B51" w:rsidRPr="004850C9" w:rsidRDefault="00B24B51" w:rsidP="007019BD">
                  <w:pPr>
                    <w:pStyle w:val="Table1"/>
                    <w:rPr>
                      <w:sz w:val="16"/>
                      <w:szCs w:val="16"/>
                    </w:rPr>
                  </w:pPr>
                  <w:r w:rsidRPr="004850C9">
                    <w:rPr>
                      <w:sz w:val="16"/>
                      <w:szCs w:val="16"/>
                    </w:rPr>
                    <w:t>Low</w:t>
                  </w:r>
                </w:p>
              </w:tc>
              <w:tc>
                <w:tcPr>
                  <w:tcW w:w="1260" w:type="dxa"/>
                  <w:tcBorders>
                    <w:top w:val="nil"/>
                    <w:left w:val="nil"/>
                    <w:bottom w:val="nil"/>
                    <w:right w:val="nil"/>
                  </w:tcBorders>
                  <w:vAlign w:val="bottom"/>
                </w:tcPr>
                <w:p w14:paraId="3D17912F" w14:textId="77777777" w:rsidR="00B24B51" w:rsidRPr="004850C9" w:rsidRDefault="00B24B51" w:rsidP="007019BD">
                  <w:pPr>
                    <w:pStyle w:val="Table1"/>
                    <w:rPr>
                      <w:sz w:val="16"/>
                      <w:szCs w:val="16"/>
                    </w:rPr>
                  </w:pPr>
                  <w:r w:rsidRPr="004850C9">
                    <w:rPr>
                      <w:sz w:val="16"/>
                      <w:szCs w:val="16"/>
                    </w:rPr>
                    <w:t>Very Low</w:t>
                  </w:r>
                </w:p>
              </w:tc>
            </w:tr>
            <w:tr w:rsidR="00B24B51" w:rsidRPr="004D7208" w14:paraId="0EF094C2" w14:textId="77777777" w:rsidTr="00B24B51">
              <w:trPr>
                <w:trHeight w:val="255"/>
                <w:jc w:val="center"/>
              </w:trPr>
              <w:tc>
                <w:tcPr>
                  <w:tcW w:w="2085" w:type="dxa"/>
                  <w:tcBorders>
                    <w:top w:val="nil"/>
                    <w:left w:val="nil"/>
                    <w:bottom w:val="nil"/>
                    <w:right w:val="single" w:sz="4" w:space="0" w:color="auto"/>
                  </w:tcBorders>
                  <w:vAlign w:val="bottom"/>
                </w:tcPr>
                <w:p w14:paraId="6F03CFE1" w14:textId="77777777" w:rsidR="00B24B51" w:rsidRPr="004850C9" w:rsidRDefault="00B24B51" w:rsidP="007019BD">
                  <w:pPr>
                    <w:pStyle w:val="Table1"/>
                    <w:jc w:val="left"/>
                    <w:rPr>
                      <w:sz w:val="16"/>
                      <w:szCs w:val="16"/>
                    </w:rPr>
                  </w:pPr>
                  <w:proofErr w:type="spellStart"/>
                  <w:r w:rsidRPr="004850C9">
                    <w:rPr>
                      <w:sz w:val="16"/>
                      <w:szCs w:val="16"/>
                    </w:rPr>
                    <w:t>Esturine</w:t>
                  </w:r>
                  <w:proofErr w:type="spellEnd"/>
                </w:p>
              </w:tc>
              <w:tc>
                <w:tcPr>
                  <w:tcW w:w="1800" w:type="dxa"/>
                  <w:tcBorders>
                    <w:top w:val="nil"/>
                    <w:left w:val="nil"/>
                    <w:bottom w:val="nil"/>
                    <w:right w:val="single" w:sz="4" w:space="0" w:color="auto"/>
                  </w:tcBorders>
                  <w:vAlign w:val="bottom"/>
                </w:tcPr>
                <w:p w14:paraId="004AE0D4" w14:textId="77777777" w:rsidR="00B24B51" w:rsidRPr="004850C9" w:rsidRDefault="00B24B51" w:rsidP="007019BD">
                  <w:pPr>
                    <w:pStyle w:val="Table1"/>
                    <w:jc w:val="left"/>
                    <w:rPr>
                      <w:sz w:val="16"/>
                      <w:szCs w:val="16"/>
                    </w:rPr>
                  </w:pPr>
                  <w:r w:rsidRPr="004850C9">
                    <w:rPr>
                      <w:sz w:val="16"/>
                      <w:szCs w:val="16"/>
                    </w:rPr>
                    <w:t>Locally Variable</w:t>
                  </w:r>
                </w:p>
              </w:tc>
              <w:tc>
                <w:tcPr>
                  <w:tcW w:w="1170" w:type="dxa"/>
                  <w:tcBorders>
                    <w:top w:val="nil"/>
                    <w:left w:val="nil"/>
                    <w:bottom w:val="nil"/>
                    <w:right w:val="single" w:sz="4" w:space="0" w:color="auto"/>
                  </w:tcBorders>
                  <w:vAlign w:val="bottom"/>
                </w:tcPr>
                <w:p w14:paraId="539FE2AE" w14:textId="77777777" w:rsidR="00B24B51" w:rsidRPr="004850C9" w:rsidRDefault="00B24B51" w:rsidP="007019BD">
                  <w:pPr>
                    <w:pStyle w:val="Table1"/>
                    <w:rPr>
                      <w:sz w:val="16"/>
                      <w:szCs w:val="16"/>
                    </w:rPr>
                  </w:pPr>
                  <w:r w:rsidRPr="004850C9">
                    <w:rPr>
                      <w:sz w:val="16"/>
                      <w:szCs w:val="16"/>
                    </w:rPr>
                    <w:t>High</w:t>
                  </w:r>
                </w:p>
              </w:tc>
              <w:tc>
                <w:tcPr>
                  <w:tcW w:w="1080" w:type="dxa"/>
                  <w:tcBorders>
                    <w:top w:val="nil"/>
                    <w:left w:val="nil"/>
                    <w:bottom w:val="nil"/>
                    <w:right w:val="single" w:sz="4" w:space="0" w:color="auto"/>
                  </w:tcBorders>
                  <w:vAlign w:val="bottom"/>
                </w:tcPr>
                <w:p w14:paraId="37C819DC" w14:textId="77777777" w:rsidR="00B24B51" w:rsidRPr="004850C9" w:rsidRDefault="00B24B51" w:rsidP="007019BD">
                  <w:pPr>
                    <w:pStyle w:val="Table1"/>
                    <w:rPr>
                      <w:sz w:val="16"/>
                      <w:szCs w:val="16"/>
                    </w:rPr>
                  </w:pPr>
                  <w:r w:rsidRPr="004850C9">
                    <w:rPr>
                      <w:sz w:val="16"/>
                      <w:szCs w:val="16"/>
                    </w:rPr>
                    <w:t>Moderate</w:t>
                  </w:r>
                </w:p>
              </w:tc>
              <w:tc>
                <w:tcPr>
                  <w:tcW w:w="1260" w:type="dxa"/>
                  <w:tcBorders>
                    <w:top w:val="nil"/>
                    <w:left w:val="nil"/>
                    <w:bottom w:val="nil"/>
                    <w:right w:val="single" w:sz="4" w:space="0" w:color="auto"/>
                  </w:tcBorders>
                  <w:vAlign w:val="bottom"/>
                </w:tcPr>
                <w:p w14:paraId="1294DD53" w14:textId="77777777" w:rsidR="00B24B51" w:rsidRPr="004850C9" w:rsidRDefault="00B24B51" w:rsidP="007019BD">
                  <w:pPr>
                    <w:pStyle w:val="Table1"/>
                    <w:rPr>
                      <w:sz w:val="16"/>
                      <w:szCs w:val="16"/>
                    </w:rPr>
                  </w:pPr>
                  <w:r w:rsidRPr="004850C9">
                    <w:rPr>
                      <w:sz w:val="16"/>
                      <w:szCs w:val="16"/>
                    </w:rPr>
                    <w:t>Low</w:t>
                  </w:r>
                </w:p>
              </w:tc>
              <w:tc>
                <w:tcPr>
                  <w:tcW w:w="1260" w:type="dxa"/>
                  <w:tcBorders>
                    <w:top w:val="nil"/>
                    <w:left w:val="nil"/>
                    <w:bottom w:val="nil"/>
                    <w:right w:val="nil"/>
                  </w:tcBorders>
                  <w:vAlign w:val="bottom"/>
                </w:tcPr>
                <w:p w14:paraId="73FB68CE" w14:textId="77777777" w:rsidR="00B24B51" w:rsidRPr="004850C9" w:rsidRDefault="00B24B51" w:rsidP="007019BD">
                  <w:pPr>
                    <w:pStyle w:val="Table1"/>
                    <w:rPr>
                      <w:sz w:val="16"/>
                      <w:szCs w:val="16"/>
                    </w:rPr>
                  </w:pPr>
                  <w:r w:rsidRPr="004850C9">
                    <w:rPr>
                      <w:sz w:val="16"/>
                      <w:szCs w:val="16"/>
                    </w:rPr>
                    <w:t>Very Low</w:t>
                  </w:r>
                </w:p>
              </w:tc>
            </w:tr>
            <w:tr w:rsidR="00B24B51" w:rsidRPr="004D7208" w14:paraId="69AA3658" w14:textId="77777777" w:rsidTr="00B24B51">
              <w:trPr>
                <w:trHeight w:val="255"/>
                <w:jc w:val="center"/>
              </w:trPr>
              <w:tc>
                <w:tcPr>
                  <w:tcW w:w="2085" w:type="dxa"/>
                  <w:tcBorders>
                    <w:top w:val="nil"/>
                    <w:left w:val="nil"/>
                    <w:bottom w:val="nil"/>
                    <w:right w:val="single" w:sz="4" w:space="0" w:color="auto"/>
                  </w:tcBorders>
                  <w:vAlign w:val="bottom"/>
                </w:tcPr>
                <w:p w14:paraId="3E879BEF" w14:textId="77777777" w:rsidR="00B24B51" w:rsidRPr="004850C9" w:rsidRDefault="00B24B51" w:rsidP="007019BD">
                  <w:pPr>
                    <w:pStyle w:val="Table1"/>
                    <w:jc w:val="left"/>
                    <w:rPr>
                      <w:sz w:val="16"/>
                      <w:szCs w:val="16"/>
                    </w:rPr>
                  </w:pPr>
                  <w:r w:rsidRPr="004850C9">
                    <w:rPr>
                      <w:sz w:val="16"/>
                      <w:szCs w:val="16"/>
                    </w:rPr>
                    <w:t>Beach</w:t>
                  </w:r>
                </w:p>
              </w:tc>
              <w:tc>
                <w:tcPr>
                  <w:tcW w:w="1800" w:type="dxa"/>
                  <w:tcBorders>
                    <w:top w:val="nil"/>
                    <w:left w:val="nil"/>
                    <w:bottom w:val="nil"/>
                    <w:right w:val="single" w:sz="4" w:space="0" w:color="auto"/>
                  </w:tcBorders>
                  <w:vAlign w:val="bottom"/>
                </w:tcPr>
                <w:p w14:paraId="73760845" w14:textId="77777777" w:rsidR="00B24B51" w:rsidRPr="004850C9" w:rsidRDefault="00B24B51" w:rsidP="007019BD">
                  <w:pPr>
                    <w:pStyle w:val="Table1"/>
                    <w:jc w:val="left"/>
                    <w:rPr>
                      <w:sz w:val="16"/>
                      <w:szCs w:val="16"/>
                    </w:rPr>
                  </w:pPr>
                  <w:r w:rsidRPr="004850C9">
                    <w:rPr>
                      <w:sz w:val="16"/>
                      <w:szCs w:val="16"/>
                    </w:rPr>
                    <w:t> </w:t>
                  </w:r>
                </w:p>
              </w:tc>
              <w:tc>
                <w:tcPr>
                  <w:tcW w:w="1170" w:type="dxa"/>
                  <w:tcBorders>
                    <w:top w:val="nil"/>
                    <w:left w:val="nil"/>
                    <w:bottom w:val="nil"/>
                    <w:right w:val="single" w:sz="4" w:space="0" w:color="auto"/>
                  </w:tcBorders>
                  <w:vAlign w:val="bottom"/>
                </w:tcPr>
                <w:p w14:paraId="12284737" w14:textId="77777777" w:rsidR="00B24B51" w:rsidRPr="004850C9" w:rsidRDefault="00B24B51" w:rsidP="007019BD">
                  <w:pPr>
                    <w:pStyle w:val="Table1"/>
                    <w:rPr>
                      <w:sz w:val="16"/>
                      <w:szCs w:val="16"/>
                    </w:rPr>
                  </w:pPr>
                  <w:r w:rsidRPr="004850C9">
                    <w:rPr>
                      <w:sz w:val="16"/>
                      <w:szCs w:val="16"/>
                    </w:rPr>
                    <w:t> </w:t>
                  </w:r>
                </w:p>
              </w:tc>
              <w:tc>
                <w:tcPr>
                  <w:tcW w:w="1080" w:type="dxa"/>
                  <w:tcBorders>
                    <w:top w:val="nil"/>
                    <w:left w:val="nil"/>
                    <w:bottom w:val="nil"/>
                    <w:right w:val="single" w:sz="4" w:space="0" w:color="auto"/>
                  </w:tcBorders>
                  <w:vAlign w:val="bottom"/>
                </w:tcPr>
                <w:p w14:paraId="2E40BE1B" w14:textId="77777777" w:rsidR="00B24B51" w:rsidRPr="004850C9" w:rsidRDefault="00B24B51" w:rsidP="007019BD">
                  <w:pPr>
                    <w:pStyle w:val="Table1"/>
                    <w:rPr>
                      <w:sz w:val="16"/>
                      <w:szCs w:val="16"/>
                    </w:rPr>
                  </w:pPr>
                  <w:r w:rsidRPr="004850C9">
                    <w:rPr>
                      <w:sz w:val="16"/>
                      <w:szCs w:val="16"/>
                    </w:rPr>
                    <w:t> </w:t>
                  </w:r>
                </w:p>
              </w:tc>
              <w:tc>
                <w:tcPr>
                  <w:tcW w:w="1260" w:type="dxa"/>
                  <w:tcBorders>
                    <w:top w:val="nil"/>
                    <w:left w:val="nil"/>
                    <w:bottom w:val="nil"/>
                    <w:right w:val="nil"/>
                  </w:tcBorders>
                  <w:noWrap/>
                  <w:vAlign w:val="bottom"/>
                </w:tcPr>
                <w:p w14:paraId="04C9E356" w14:textId="77777777" w:rsidR="00B24B51" w:rsidRPr="004850C9" w:rsidRDefault="00B24B51" w:rsidP="007019BD">
                  <w:pPr>
                    <w:pStyle w:val="Table1"/>
                    <w:rPr>
                      <w:sz w:val="16"/>
                      <w:szCs w:val="16"/>
                    </w:rPr>
                  </w:pPr>
                </w:p>
              </w:tc>
              <w:tc>
                <w:tcPr>
                  <w:tcW w:w="1260" w:type="dxa"/>
                  <w:tcBorders>
                    <w:top w:val="nil"/>
                    <w:left w:val="nil"/>
                    <w:bottom w:val="nil"/>
                    <w:right w:val="nil"/>
                  </w:tcBorders>
                  <w:noWrap/>
                  <w:vAlign w:val="bottom"/>
                </w:tcPr>
                <w:p w14:paraId="5022FF55" w14:textId="77777777" w:rsidR="00B24B51" w:rsidRPr="004850C9" w:rsidRDefault="00B24B51" w:rsidP="007019BD">
                  <w:pPr>
                    <w:pStyle w:val="Table1"/>
                    <w:rPr>
                      <w:sz w:val="16"/>
                      <w:szCs w:val="16"/>
                    </w:rPr>
                  </w:pPr>
                </w:p>
              </w:tc>
            </w:tr>
            <w:tr w:rsidR="00B24B51" w:rsidRPr="004D7208" w14:paraId="32676852" w14:textId="77777777" w:rsidTr="00B24B51">
              <w:trPr>
                <w:trHeight w:val="255"/>
                <w:jc w:val="center"/>
              </w:trPr>
              <w:tc>
                <w:tcPr>
                  <w:tcW w:w="2085" w:type="dxa"/>
                  <w:tcBorders>
                    <w:top w:val="nil"/>
                    <w:left w:val="nil"/>
                    <w:bottom w:val="nil"/>
                    <w:right w:val="single" w:sz="4" w:space="0" w:color="auto"/>
                  </w:tcBorders>
                  <w:vAlign w:val="bottom"/>
                </w:tcPr>
                <w:p w14:paraId="41F3BF56" w14:textId="77777777" w:rsidR="00B24B51" w:rsidRPr="004850C9" w:rsidRDefault="00B24B51" w:rsidP="007019BD">
                  <w:pPr>
                    <w:pStyle w:val="Table1"/>
                    <w:jc w:val="left"/>
                    <w:rPr>
                      <w:sz w:val="16"/>
                      <w:szCs w:val="16"/>
                    </w:rPr>
                  </w:pPr>
                  <w:r w:rsidRPr="004850C9">
                    <w:rPr>
                      <w:sz w:val="16"/>
                      <w:szCs w:val="16"/>
                    </w:rPr>
                    <w:t>High Wave Energy</w:t>
                  </w:r>
                </w:p>
              </w:tc>
              <w:tc>
                <w:tcPr>
                  <w:tcW w:w="1800" w:type="dxa"/>
                  <w:tcBorders>
                    <w:top w:val="nil"/>
                    <w:left w:val="nil"/>
                    <w:bottom w:val="nil"/>
                    <w:right w:val="single" w:sz="4" w:space="0" w:color="auto"/>
                  </w:tcBorders>
                  <w:vAlign w:val="bottom"/>
                </w:tcPr>
                <w:p w14:paraId="3F001943" w14:textId="77777777" w:rsidR="00B24B51" w:rsidRPr="004850C9" w:rsidRDefault="00B24B51" w:rsidP="007019BD">
                  <w:pPr>
                    <w:pStyle w:val="Table1"/>
                    <w:jc w:val="left"/>
                    <w:rPr>
                      <w:sz w:val="16"/>
                      <w:szCs w:val="16"/>
                    </w:rPr>
                  </w:pPr>
                  <w:r w:rsidRPr="004850C9">
                    <w:rPr>
                      <w:sz w:val="16"/>
                      <w:szCs w:val="16"/>
                    </w:rPr>
                    <w:t>Widespread</w:t>
                  </w:r>
                </w:p>
              </w:tc>
              <w:tc>
                <w:tcPr>
                  <w:tcW w:w="1170" w:type="dxa"/>
                  <w:tcBorders>
                    <w:top w:val="nil"/>
                    <w:left w:val="nil"/>
                    <w:bottom w:val="nil"/>
                    <w:right w:val="single" w:sz="4" w:space="0" w:color="auto"/>
                  </w:tcBorders>
                  <w:vAlign w:val="bottom"/>
                </w:tcPr>
                <w:p w14:paraId="01D60313" w14:textId="77777777" w:rsidR="00B24B51" w:rsidRPr="004850C9" w:rsidRDefault="00B24B51" w:rsidP="007019BD">
                  <w:pPr>
                    <w:pStyle w:val="Table1"/>
                    <w:rPr>
                      <w:sz w:val="16"/>
                      <w:szCs w:val="16"/>
                    </w:rPr>
                  </w:pPr>
                  <w:r w:rsidRPr="004850C9">
                    <w:rPr>
                      <w:sz w:val="16"/>
                      <w:szCs w:val="16"/>
                    </w:rPr>
                    <w:t>Moderate</w:t>
                  </w:r>
                </w:p>
              </w:tc>
              <w:tc>
                <w:tcPr>
                  <w:tcW w:w="1080" w:type="dxa"/>
                  <w:tcBorders>
                    <w:top w:val="nil"/>
                    <w:left w:val="nil"/>
                    <w:bottom w:val="nil"/>
                    <w:right w:val="single" w:sz="4" w:space="0" w:color="auto"/>
                  </w:tcBorders>
                  <w:vAlign w:val="bottom"/>
                </w:tcPr>
                <w:p w14:paraId="0A409A51" w14:textId="77777777" w:rsidR="00B24B51" w:rsidRPr="004850C9" w:rsidRDefault="00B24B51" w:rsidP="007019BD">
                  <w:pPr>
                    <w:pStyle w:val="Table1"/>
                    <w:rPr>
                      <w:sz w:val="16"/>
                      <w:szCs w:val="16"/>
                    </w:rPr>
                  </w:pPr>
                  <w:r w:rsidRPr="004850C9">
                    <w:rPr>
                      <w:sz w:val="16"/>
                      <w:szCs w:val="16"/>
                    </w:rPr>
                    <w:t>Low</w:t>
                  </w:r>
                </w:p>
              </w:tc>
              <w:tc>
                <w:tcPr>
                  <w:tcW w:w="1260" w:type="dxa"/>
                  <w:tcBorders>
                    <w:top w:val="nil"/>
                    <w:left w:val="nil"/>
                    <w:bottom w:val="nil"/>
                    <w:right w:val="single" w:sz="4" w:space="0" w:color="auto"/>
                  </w:tcBorders>
                  <w:vAlign w:val="bottom"/>
                </w:tcPr>
                <w:p w14:paraId="6B6CC18F" w14:textId="77777777" w:rsidR="00B24B51" w:rsidRPr="004850C9" w:rsidRDefault="00B24B51" w:rsidP="007019BD">
                  <w:pPr>
                    <w:pStyle w:val="Table1"/>
                    <w:rPr>
                      <w:sz w:val="16"/>
                      <w:szCs w:val="16"/>
                    </w:rPr>
                  </w:pPr>
                  <w:r w:rsidRPr="004850C9">
                    <w:rPr>
                      <w:sz w:val="16"/>
                      <w:szCs w:val="16"/>
                    </w:rPr>
                    <w:t>Very Low</w:t>
                  </w:r>
                </w:p>
              </w:tc>
              <w:tc>
                <w:tcPr>
                  <w:tcW w:w="1260" w:type="dxa"/>
                  <w:tcBorders>
                    <w:top w:val="nil"/>
                    <w:left w:val="nil"/>
                    <w:bottom w:val="nil"/>
                    <w:right w:val="nil"/>
                  </w:tcBorders>
                  <w:vAlign w:val="bottom"/>
                </w:tcPr>
                <w:p w14:paraId="464A7B42" w14:textId="77777777" w:rsidR="00B24B51" w:rsidRPr="004850C9" w:rsidRDefault="00B24B51" w:rsidP="007019BD">
                  <w:pPr>
                    <w:pStyle w:val="Table1"/>
                    <w:rPr>
                      <w:sz w:val="16"/>
                      <w:szCs w:val="16"/>
                    </w:rPr>
                  </w:pPr>
                  <w:r w:rsidRPr="004850C9">
                    <w:rPr>
                      <w:sz w:val="16"/>
                      <w:szCs w:val="16"/>
                    </w:rPr>
                    <w:t>Very Low</w:t>
                  </w:r>
                </w:p>
              </w:tc>
            </w:tr>
            <w:tr w:rsidR="00B24B51" w:rsidRPr="004D7208" w14:paraId="30D4122A" w14:textId="77777777" w:rsidTr="00B24B51">
              <w:trPr>
                <w:trHeight w:val="255"/>
                <w:jc w:val="center"/>
              </w:trPr>
              <w:tc>
                <w:tcPr>
                  <w:tcW w:w="2085" w:type="dxa"/>
                  <w:tcBorders>
                    <w:top w:val="nil"/>
                    <w:left w:val="nil"/>
                    <w:bottom w:val="nil"/>
                    <w:right w:val="single" w:sz="4" w:space="0" w:color="auto"/>
                  </w:tcBorders>
                  <w:vAlign w:val="bottom"/>
                </w:tcPr>
                <w:p w14:paraId="4419E75B" w14:textId="77777777" w:rsidR="00B24B51" w:rsidRPr="004850C9" w:rsidRDefault="00B24B51" w:rsidP="007019BD">
                  <w:pPr>
                    <w:pStyle w:val="Table1"/>
                    <w:jc w:val="left"/>
                    <w:rPr>
                      <w:sz w:val="16"/>
                      <w:szCs w:val="16"/>
                    </w:rPr>
                  </w:pPr>
                  <w:r w:rsidRPr="004850C9">
                    <w:rPr>
                      <w:sz w:val="16"/>
                      <w:szCs w:val="16"/>
                    </w:rPr>
                    <w:t>Low Wave Energy</w:t>
                  </w:r>
                </w:p>
              </w:tc>
              <w:tc>
                <w:tcPr>
                  <w:tcW w:w="1800" w:type="dxa"/>
                  <w:tcBorders>
                    <w:top w:val="nil"/>
                    <w:left w:val="nil"/>
                    <w:bottom w:val="nil"/>
                    <w:right w:val="single" w:sz="4" w:space="0" w:color="auto"/>
                  </w:tcBorders>
                  <w:vAlign w:val="bottom"/>
                </w:tcPr>
                <w:p w14:paraId="30CD7888" w14:textId="77777777" w:rsidR="00B24B51" w:rsidRPr="004850C9" w:rsidRDefault="00B24B51" w:rsidP="007019BD">
                  <w:pPr>
                    <w:pStyle w:val="Table1"/>
                    <w:jc w:val="left"/>
                    <w:rPr>
                      <w:sz w:val="16"/>
                      <w:szCs w:val="16"/>
                    </w:rPr>
                  </w:pPr>
                  <w:r w:rsidRPr="004850C9">
                    <w:rPr>
                      <w:sz w:val="16"/>
                      <w:szCs w:val="16"/>
                    </w:rPr>
                    <w:t>Widespread</w:t>
                  </w:r>
                </w:p>
              </w:tc>
              <w:tc>
                <w:tcPr>
                  <w:tcW w:w="1170" w:type="dxa"/>
                  <w:tcBorders>
                    <w:top w:val="nil"/>
                    <w:left w:val="nil"/>
                    <w:bottom w:val="nil"/>
                    <w:right w:val="single" w:sz="4" w:space="0" w:color="auto"/>
                  </w:tcBorders>
                  <w:vAlign w:val="bottom"/>
                </w:tcPr>
                <w:p w14:paraId="5595D784" w14:textId="77777777" w:rsidR="00B24B51" w:rsidRPr="004850C9" w:rsidRDefault="00B24B51" w:rsidP="007019BD">
                  <w:pPr>
                    <w:pStyle w:val="Table1"/>
                    <w:rPr>
                      <w:sz w:val="16"/>
                      <w:szCs w:val="16"/>
                    </w:rPr>
                  </w:pPr>
                  <w:r w:rsidRPr="004850C9">
                    <w:rPr>
                      <w:sz w:val="16"/>
                      <w:szCs w:val="16"/>
                    </w:rPr>
                    <w:t>High</w:t>
                  </w:r>
                </w:p>
              </w:tc>
              <w:tc>
                <w:tcPr>
                  <w:tcW w:w="1080" w:type="dxa"/>
                  <w:tcBorders>
                    <w:top w:val="nil"/>
                    <w:left w:val="nil"/>
                    <w:bottom w:val="nil"/>
                    <w:right w:val="single" w:sz="4" w:space="0" w:color="auto"/>
                  </w:tcBorders>
                  <w:vAlign w:val="bottom"/>
                </w:tcPr>
                <w:p w14:paraId="7079C22F" w14:textId="77777777" w:rsidR="00B24B51" w:rsidRPr="004850C9" w:rsidRDefault="00B24B51" w:rsidP="007019BD">
                  <w:pPr>
                    <w:pStyle w:val="Table1"/>
                    <w:rPr>
                      <w:sz w:val="16"/>
                      <w:szCs w:val="16"/>
                    </w:rPr>
                  </w:pPr>
                  <w:r w:rsidRPr="004850C9">
                    <w:rPr>
                      <w:sz w:val="16"/>
                      <w:szCs w:val="16"/>
                    </w:rPr>
                    <w:t>Moderate</w:t>
                  </w:r>
                </w:p>
              </w:tc>
              <w:tc>
                <w:tcPr>
                  <w:tcW w:w="1260" w:type="dxa"/>
                  <w:tcBorders>
                    <w:top w:val="nil"/>
                    <w:left w:val="nil"/>
                    <w:bottom w:val="nil"/>
                    <w:right w:val="single" w:sz="4" w:space="0" w:color="auto"/>
                  </w:tcBorders>
                  <w:vAlign w:val="bottom"/>
                </w:tcPr>
                <w:p w14:paraId="0A1B801C" w14:textId="77777777" w:rsidR="00B24B51" w:rsidRPr="004850C9" w:rsidRDefault="00B24B51" w:rsidP="007019BD">
                  <w:pPr>
                    <w:pStyle w:val="Table1"/>
                    <w:rPr>
                      <w:sz w:val="16"/>
                      <w:szCs w:val="16"/>
                    </w:rPr>
                  </w:pPr>
                  <w:r w:rsidRPr="004850C9">
                    <w:rPr>
                      <w:sz w:val="16"/>
                      <w:szCs w:val="16"/>
                    </w:rPr>
                    <w:t>Low</w:t>
                  </w:r>
                </w:p>
              </w:tc>
              <w:tc>
                <w:tcPr>
                  <w:tcW w:w="1260" w:type="dxa"/>
                  <w:tcBorders>
                    <w:top w:val="nil"/>
                    <w:left w:val="nil"/>
                    <w:bottom w:val="nil"/>
                    <w:right w:val="nil"/>
                  </w:tcBorders>
                  <w:vAlign w:val="bottom"/>
                </w:tcPr>
                <w:p w14:paraId="5C0E6F63" w14:textId="77777777" w:rsidR="00B24B51" w:rsidRPr="004850C9" w:rsidRDefault="00B24B51" w:rsidP="007019BD">
                  <w:pPr>
                    <w:pStyle w:val="Table1"/>
                    <w:rPr>
                      <w:sz w:val="16"/>
                      <w:szCs w:val="16"/>
                    </w:rPr>
                  </w:pPr>
                  <w:r w:rsidRPr="004850C9">
                    <w:rPr>
                      <w:sz w:val="16"/>
                      <w:szCs w:val="16"/>
                    </w:rPr>
                    <w:t>Very Low</w:t>
                  </w:r>
                </w:p>
              </w:tc>
            </w:tr>
            <w:tr w:rsidR="00B24B51" w:rsidRPr="004D7208" w14:paraId="48BF738A" w14:textId="77777777" w:rsidTr="00B24B51">
              <w:trPr>
                <w:trHeight w:val="255"/>
                <w:jc w:val="center"/>
              </w:trPr>
              <w:tc>
                <w:tcPr>
                  <w:tcW w:w="2085" w:type="dxa"/>
                  <w:tcBorders>
                    <w:top w:val="nil"/>
                    <w:left w:val="nil"/>
                    <w:bottom w:val="nil"/>
                    <w:right w:val="single" w:sz="4" w:space="0" w:color="auto"/>
                  </w:tcBorders>
                  <w:vAlign w:val="bottom"/>
                </w:tcPr>
                <w:p w14:paraId="52C9AFFF" w14:textId="77777777" w:rsidR="00B24B51" w:rsidRPr="004850C9" w:rsidRDefault="00B24B51" w:rsidP="007019BD">
                  <w:pPr>
                    <w:pStyle w:val="Table1"/>
                    <w:jc w:val="left"/>
                    <w:rPr>
                      <w:sz w:val="16"/>
                      <w:szCs w:val="16"/>
                    </w:rPr>
                  </w:pPr>
                  <w:proofErr w:type="spellStart"/>
                  <w:r w:rsidRPr="004850C9">
                    <w:rPr>
                      <w:sz w:val="16"/>
                      <w:szCs w:val="16"/>
                    </w:rPr>
                    <w:t>Lagoonal</w:t>
                  </w:r>
                  <w:proofErr w:type="spellEnd"/>
                </w:p>
              </w:tc>
              <w:tc>
                <w:tcPr>
                  <w:tcW w:w="1800" w:type="dxa"/>
                  <w:tcBorders>
                    <w:top w:val="nil"/>
                    <w:left w:val="nil"/>
                    <w:bottom w:val="nil"/>
                    <w:right w:val="single" w:sz="4" w:space="0" w:color="auto"/>
                  </w:tcBorders>
                  <w:vAlign w:val="bottom"/>
                </w:tcPr>
                <w:p w14:paraId="1E71A234" w14:textId="77777777" w:rsidR="00B24B51" w:rsidRPr="004850C9" w:rsidRDefault="00B24B51" w:rsidP="007019BD">
                  <w:pPr>
                    <w:pStyle w:val="Table1"/>
                    <w:jc w:val="left"/>
                    <w:rPr>
                      <w:sz w:val="16"/>
                      <w:szCs w:val="16"/>
                    </w:rPr>
                  </w:pPr>
                  <w:r w:rsidRPr="004850C9">
                    <w:rPr>
                      <w:sz w:val="16"/>
                      <w:szCs w:val="16"/>
                    </w:rPr>
                    <w:t>Locally Variable</w:t>
                  </w:r>
                </w:p>
              </w:tc>
              <w:tc>
                <w:tcPr>
                  <w:tcW w:w="1170" w:type="dxa"/>
                  <w:tcBorders>
                    <w:top w:val="nil"/>
                    <w:left w:val="nil"/>
                    <w:bottom w:val="nil"/>
                    <w:right w:val="single" w:sz="4" w:space="0" w:color="auto"/>
                  </w:tcBorders>
                  <w:vAlign w:val="bottom"/>
                </w:tcPr>
                <w:p w14:paraId="08687332" w14:textId="77777777" w:rsidR="00B24B51" w:rsidRPr="004850C9" w:rsidRDefault="00B24B51" w:rsidP="007019BD">
                  <w:pPr>
                    <w:pStyle w:val="Table1"/>
                    <w:rPr>
                      <w:sz w:val="16"/>
                      <w:szCs w:val="16"/>
                    </w:rPr>
                  </w:pPr>
                  <w:r w:rsidRPr="004850C9">
                    <w:rPr>
                      <w:sz w:val="16"/>
                      <w:szCs w:val="16"/>
                    </w:rPr>
                    <w:t>High</w:t>
                  </w:r>
                </w:p>
              </w:tc>
              <w:tc>
                <w:tcPr>
                  <w:tcW w:w="1080" w:type="dxa"/>
                  <w:tcBorders>
                    <w:top w:val="nil"/>
                    <w:left w:val="nil"/>
                    <w:bottom w:val="nil"/>
                    <w:right w:val="single" w:sz="4" w:space="0" w:color="auto"/>
                  </w:tcBorders>
                  <w:vAlign w:val="bottom"/>
                </w:tcPr>
                <w:p w14:paraId="2A17F186" w14:textId="77777777" w:rsidR="00B24B51" w:rsidRPr="004850C9" w:rsidRDefault="00B24B51" w:rsidP="007019BD">
                  <w:pPr>
                    <w:pStyle w:val="Table1"/>
                    <w:rPr>
                      <w:sz w:val="16"/>
                      <w:szCs w:val="16"/>
                    </w:rPr>
                  </w:pPr>
                  <w:r w:rsidRPr="004850C9">
                    <w:rPr>
                      <w:sz w:val="16"/>
                      <w:szCs w:val="16"/>
                    </w:rPr>
                    <w:t>Moderate</w:t>
                  </w:r>
                </w:p>
              </w:tc>
              <w:tc>
                <w:tcPr>
                  <w:tcW w:w="1260" w:type="dxa"/>
                  <w:tcBorders>
                    <w:top w:val="nil"/>
                    <w:left w:val="nil"/>
                    <w:bottom w:val="nil"/>
                    <w:right w:val="single" w:sz="4" w:space="0" w:color="auto"/>
                  </w:tcBorders>
                  <w:vAlign w:val="bottom"/>
                </w:tcPr>
                <w:p w14:paraId="73996988" w14:textId="77777777" w:rsidR="00B24B51" w:rsidRPr="004850C9" w:rsidRDefault="00B24B51" w:rsidP="007019BD">
                  <w:pPr>
                    <w:pStyle w:val="Table1"/>
                    <w:rPr>
                      <w:sz w:val="16"/>
                      <w:szCs w:val="16"/>
                    </w:rPr>
                  </w:pPr>
                  <w:r w:rsidRPr="004850C9">
                    <w:rPr>
                      <w:sz w:val="16"/>
                      <w:szCs w:val="16"/>
                    </w:rPr>
                    <w:t>Low</w:t>
                  </w:r>
                </w:p>
              </w:tc>
              <w:tc>
                <w:tcPr>
                  <w:tcW w:w="1260" w:type="dxa"/>
                  <w:tcBorders>
                    <w:top w:val="nil"/>
                    <w:left w:val="nil"/>
                    <w:bottom w:val="nil"/>
                    <w:right w:val="nil"/>
                  </w:tcBorders>
                  <w:vAlign w:val="bottom"/>
                </w:tcPr>
                <w:p w14:paraId="5F728E06" w14:textId="77777777" w:rsidR="00B24B51" w:rsidRPr="004850C9" w:rsidRDefault="00B24B51" w:rsidP="007019BD">
                  <w:pPr>
                    <w:pStyle w:val="Table1"/>
                    <w:rPr>
                      <w:sz w:val="16"/>
                      <w:szCs w:val="16"/>
                    </w:rPr>
                  </w:pPr>
                  <w:r w:rsidRPr="004850C9">
                    <w:rPr>
                      <w:sz w:val="16"/>
                      <w:szCs w:val="16"/>
                    </w:rPr>
                    <w:t>Very Low</w:t>
                  </w:r>
                </w:p>
              </w:tc>
            </w:tr>
            <w:tr w:rsidR="00B24B51" w:rsidRPr="004D7208" w14:paraId="3971A1C2" w14:textId="77777777" w:rsidTr="00B24B51">
              <w:trPr>
                <w:trHeight w:val="255"/>
                <w:jc w:val="center"/>
              </w:trPr>
              <w:tc>
                <w:tcPr>
                  <w:tcW w:w="2085" w:type="dxa"/>
                  <w:tcBorders>
                    <w:top w:val="nil"/>
                    <w:left w:val="nil"/>
                    <w:bottom w:val="single" w:sz="4" w:space="0" w:color="auto"/>
                    <w:right w:val="single" w:sz="4" w:space="0" w:color="auto"/>
                  </w:tcBorders>
                  <w:vAlign w:val="bottom"/>
                </w:tcPr>
                <w:p w14:paraId="73C05C88" w14:textId="77777777" w:rsidR="00B24B51" w:rsidRPr="004850C9" w:rsidRDefault="00B24B51" w:rsidP="007019BD">
                  <w:pPr>
                    <w:pStyle w:val="Table1"/>
                    <w:jc w:val="left"/>
                    <w:rPr>
                      <w:sz w:val="16"/>
                      <w:szCs w:val="16"/>
                    </w:rPr>
                  </w:pPr>
                  <w:r w:rsidRPr="004850C9">
                    <w:rPr>
                      <w:sz w:val="16"/>
                      <w:szCs w:val="16"/>
                    </w:rPr>
                    <w:t>Fore Shore</w:t>
                  </w:r>
                </w:p>
              </w:tc>
              <w:tc>
                <w:tcPr>
                  <w:tcW w:w="1800" w:type="dxa"/>
                  <w:tcBorders>
                    <w:top w:val="nil"/>
                    <w:left w:val="nil"/>
                    <w:bottom w:val="single" w:sz="4" w:space="0" w:color="auto"/>
                    <w:right w:val="single" w:sz="4" w:space="0" w:color="auto"/>
                  </w:tcBorders>
                  <w:vAlign w:val="bottom"/>
                </w:tcPr>
                <w:p w14:paraId="35AAC0B9" w14:textId="77777777" w:rsidR="00B24B51" w:rsidRPr="004850C9" w:rsidRDefault="00B24B51" w:rsidP="007019BD">
                  <w:pPr>
                    <w:pStyle w:val="Table1"/>
                    <w:jc w:val="left"/>
                    <w:rPr>
                      <w:sz w:val="16"/>
                      <w:szCs w:val="16"/>
                    </w:rPr>
                  </w:pPr>
                  <w:r w:rsidRPr="004850C9">
                    <w:rPr>
                      <w:sz w:val="16"/>
                      <w:szCs w:val="16"/>
                    </w:rPr>
                    <w:t>Locally Variable</w:t>
                  </w:r>
                </w:p>
              </w:tc>
              <w:tc>
                <w:tcPr>
                  <w:tcW w:w="1170" w:type="dxa"/>
                  <w:tcBorders>
                    <w:top w:val="nil"/>
                    <w:left w:val="nil"/>
                    <w:bottom w:val="single" w:sz="4" w:space="0" w:color="auto"/>
                    <w:right w:val="single" w:sz="4" w:space="0" w:color="auto"/>
                  </w:tcBorders>
                  <w:vAlign w:val="bottom"/>
                </w:tcPr>
                <w:p w14:paraId="72B041A9" w14:textId="77777777" w:rsidR="00B24B51" w:rsidRPr="004850C9" w:rsidRDefault="00B24B51" w:rsidP="007019BD">
                  <w:pPr>
                    <w:pStyle w:val="Table1"/>
                    <w:rPr>
                      <w:sz w:val="16"/>
                      <w:szCs w:val="16"/>
                    </w:rPr>
                  </w:pPr>
                  <w:r w:rsidRPr="004850C9">
                    <w:rPr>
                      <w:sz w:val="16"/>
                      <w:szCs w:val="16"/>
                    </w:rPr>
                    <w:t>High</w:t>
                  </w:r>
                </w:p>
              </w:tc>
              <w:tc>
                <w:tcPr>
                  <w:tcW w:w="1080" w:type="dxa"/>
                  <w:tcBorders>
                    <w:top w:val="nil"/>
                    <w:left w:val="nil"/>
                    <w:bottom w:val="single" w:sz="4" w:space="0" w:color="auto"/>
                    <w:right w:val="single" w:sz="4" w:space="0" w:color="auto"/>
                  </w:tcBorders>
                  <w:vAlign w:val="bottom"/>
                </w:tcPr>
                <w:p w14:paraId="6ED3E308" w14:textId="77777777" w:rsidR="00B24B51" w:rsidRPr="004850C9" w:rsidRDefault="00B24B51" w:rsidP="007019BD">
                  <w:pPr>
                    <w:pStyle w:val="Table1"/>
                    <w:rPr>
                      <w:sz w:val="16"/>
                      <w:szCs w:val="16"/>
                    </w:rPr>
                  </w:pPr>
                  <w:r w:rsidRPr="004850C9">
                    <w:rPr>
                      <w:sz w:val="16"/>
                      <w:szCs w:val="16"/>
                    </w:rPr>
                    <w:t>Moderate</w:t>
                  </w:r>
                </w:p>
              </w:tc>
              <w:tc>
                <w:tcPr>
                  <w:tcW w:w="1260" w:type="dxa"/>
                  <w:tcBorders>
                    <w:top w:val="nil"/>
                    <w:left w:val="nil"/>
                    <w:bottom w:val="single" w:sz="4" w:space="0" w:color="auto"/>
                    <w:right w:val="single" w:sz="4" w:space="0" w:color="auto"/>
                  </w:tcBorders>
                  <w:vAlign w:val="bottom"/>
                </w:tcPr>
                <w:p w14:paraId="51B9A6A9" w14:textId="77777777" w:rsidR="00B24B51" w:rsidRPr="004850C9" w:rsidRDefault="00B24B51" w:rsidP="007019BD">
                  <w:pPr>
                    <w:pStyle w:val="Table1"/>
                    <w:rPr>
                      <w:sz w:val="16"/>
                      <w:szCs w:val="16"/>
                    </w:rPr>
                  </w:pPr>
                  <w:r w:rsidRPr="004850C9">
                    <w:rPr>
                      <w:sz w:val="16"/>
                      <w:szCs w:val="16"/>
                    </w:rPr>
                    <w:t>Low</w:t>
                  </w:r>
                </w:p>
              </w:tc>
              <w:tc>
                <w:tcPr>
                  <w:tcW w:w="1260" w:type="dxa"/>
                  <w:tcBorders>
                    <w:top w:val="nil"/>
                    <w:left w:val="nil"/>
                    <w:bottom w:val="single" w:sz="4" w:space="0" w:color="auto"/>
                    <w:right w:val="nil"/>
                  </w:tcBorders>
                  <w:vAlign w:val="bottom"/>
                </w:tcPr>
                <w:p w14:paraId="5A3B8BDE" w14:textId="77777777" w:rsidR="00B24B51" w:rsidRPr="004850C9" w:rsidRDefault="00B24B51" w:rsidP="007019BD">
                  <w:pPr>
                    <w:pStyle w:val="Table1"/>
                    <w:rPr>
                      <w:sz w:val="16"/>
                      <w:szCs w:val="16"/>
                    </w:rPr>
                  </w:pPr>
                  <w:r w:rsidRPr="004850C9">
                    <w:rPr>
                      <w:sz w:val="16"/>
                      <w:szCs w:val="16"/>
                    </w:rPr>
                    <w:t>Very Low</w:t>
                  </w:r>
                </w:p>
              </w:tc>
            </w:tr>
            <w:tr w:rsidR="00B24B51" w:rsidRPr="004D7208" w14:paraId="503F10C9" w14:textId="77777777" w:rsidTr="00B24B51">
              <w:trPr>
                <w:trHeight w:val="300"/>
                <w:jc w:val="center"/>
              </w:trPr>
              <w:tc>
                <w:tcPr>
                  <w:tcW w:w="8655" w:type="dxa"/>
                  <w:gridSpan w:val="6"/>
                  <w:tcBorders>
                    <w:top w:val="nil"/>
                    <w:left w:val="nil"/>
                    <w:bottom w:val="single" w:sz="4" w:space="0" w:color="auto"/>
                    <w:right w:val="nil"/>
                  </w:tcBorders>
                  <w:vAlign w:val="bottom"/>
                </w:tcPr>
                <w:p w14:paraId="57576EB6" w14:textId="77777777" w:rsidR="00B24B51" w:rsidRPr="004850C9" w:rsidRDefault="00B24B51" w:rsidP="007019BD">
                  <w:pPr>
                    <w:pStyle w:val="Table1"/>
                    <w:jc w:val="left"/>
                    <w:rPr>
                      <w:sz w:val="16"/>
                      <w:szCs w:val="16"/>
                    </w:rPr>
                  </w:pPr>
                  <w:r w:rsidRPr="004850C9">
                    <w:rPr>
                      <w:sz w:val="16"/>
                      <w:szCs w:val="16"/>
                    </w:rPr>
                    <w:t>(c) Artificial</w:t>
                  </w:r>
                </w:p>
              </w:tc>
            </w:tr>
            <w:tr w:rsidR="00B24B51" w:rsidRPr="004D7208" w14:paraId="632CD9AE" w14:textId="77777777" w:rsidTr="00B24B51">
              <w:trPr>
                <w:trHeight w:val="89"/>
                <w:jc w:val="center"/>
              </w:trPr>
              <w:tc>
                <w:tcPr>
                  <w:tcW w:w="2085" w:type="dxa"/>
                  <w:tcBorders>
                    <w:top w:val="nil"/>
                    <w:left w:val="nil"/>
                    <w:bottom w:val="nil"/>
                    <w:right w:val="single" w:sz="4" w:space="0" w:color="auto"/>
                  </w:tcBorders>
                  <w:vAlign w:val="bottom"/>
                </w:tcPr>
                <w:p w14:paraId="1E73D29A" w14:textId="77777777" w:rsidR="00B24B51" w:rsidRPr="004850C9" w:rsidRDefault="00B24B51" w:rsidP="007019BD">
                  <w:pPr>
                    <w:pStyle w:val="Table1"/>
                    <w:jc w:val="left"/>
                    <w:rPr>
                      <w:sz w:val="16"/>
                      <w:szCs w:val="16"/>
                    </w:rPr>
                  </w:pPr>
                  <w:proofErr w:type="spellStart"/>
                  <w:r w:rsidRPr="004850C9">
                    <w:rPr>
                      <w:sz w:val="16"/>
                      <w:szCs w:val="16"/>
                    </w:rPr>
                    <w:t>Uncompacted</w:t>
                  </w:r>
                  <w:proofErr w:type="spellEnd"/>
                  <w:r w:rsidRPr="004850C9">
                    <w:rPr>
                      <w:sz w:val="16"/>
                      <w:szCs w:val="16"/>
                    </w:rPr>
                    <w:t xml:space="preserve"> Fill</w:t>
                  </w:r>
                </w:p>
              </w:tc>
              <w:tc>
                <w:tcPr>
                  <w:tcW w:w="1800" w:type="dxa"/>
                  <w:tcBorders>
                    <w:top w:val="nil"/>
                    <w:left w:val="nil"/>
                    <w:bottom w:val="nil"/>
                    <w:right w:val="single" w:sz="4" w:space="0" w:color="auto"/>
                  </w:tcBorders>
                  <w:vAlign w:val="bottom"/>
                </w:tcPr>
                <w:p w14:paraId="5C6320C8" w14:textId="77777777" w:rsidR="00B24B51" w:rsidRPr="004850C9" w:rsidRDefault="00B24B51" w:rsidP="007019BD">
                  <w:pPr>
                    <w:pStyle w:val="Table1"/>
                    <w:jc w:val="left"/>
                    <w:rPr>
                      <w:sz w:val="16"/>
                      <w:szCs w:val="16"/>
                    </w:rPr>
                  </w:pPr>
                  <w:r w:rsidRPr="004850C9">
                    <w:rPr>
                      <w:sz w:val="16"/>
                      <w:szCs w:val="16"/>
                    </w:rPr>
                    <w:t>Variable</w:t>
                  </w:r>
                </w:p>
              </w:tc>
              <w:tc>
                <w:tcPr>
                  <w:tcW w:w="1170" w:type="dxa"/>
                  <w:tcBorders>
                    <w:top w:val="nil"/>
                    <w:left w:val="nil"/>
                    <w:bottom w:val="nil"/>
                    <w:right w:val="single" w:sz="4" w:space="0" w:color="auto"/>
                  </w:tcBorders>
                  <w:vAlign w:val="bottom"/>
                </w:tcPr>
                <w:p w14:paraId="61ED7365" w14:textId="77777777" w:rsidR="00B24B51" w:rsidRPr="004850C9" w:rsidRDefault="00B24B51" w:rsidP="007019BD">
                  <w:pPr>
                    <w:pStyle w:val="Table1"/>
                    <w:rPr>
                      <w:sz w:val="16"/>
                      <w:szCs w:val="16"/>
                    </w:rPr>
                  </w:pPr>
                  <w:r w:rsidRPr="004850C9">
                    <w:rPr>
                      <w:sz w:val="16"/>
                      <w:szCs w:val="16"/>
                    </w:rPr>
                    <w:t>Very High</w:t>
                  </w:r>
                </w:p>
              </w:tc>
              <w:tc>
                <w:tcPr>
                  <w:tcW w:w="1080" w:type="dxa"/>
                  <w:tcBorders>
                    <w:top w:val="nil"/>
                    <w:left w:val="nil"/>
                    <w:bottom w:val="nil"/>
                    <w:right w:val="single" w:sz="4" w:space="0" w:color="auto"/>
                  </w:tcBorders>
                  <w:vAlign w:val="bottom"/>
                </w:tcPr>
                <w:p w14:paraId="6D70C241" w14:textId="77777777" w:rsidR="00B24B51" w:rsidRPr="004850C9" w:rsidRDefault="00B24B51" w:rsidP="007019BD">
                  <w:pPr>
                    <w:pStyle w:val="Table1"/>
                    <w:rPr>
                      <w:sz w:val="16"/>
                      <w:szCs w:val="16"/>
                    </w:rPr>
                  </w:pPr>
                  <w:r w:rsidRPr="004850C9">
                    <w:rPr>
                      <w:sz w:val="16"/>
                      <w:szCs w:val="16"/>
                    </w:rPr>
                    <w:t>-----</w:t>
                  </w:r>
                </w:p>
              </w:tc>
              <w:tc>
                <w:tcPr>
                  <w:tcW w:w="1260" w:type="dxa"/>
                  <w:tcBorders>
                    <w:top w:val="nil"/>
                    <w:left w:val="nil"/>
                    <w:bottom w:val="nil"/>
                    <w:right w:val="single" w:sz="4" w:space="0" w:color="auto"/>
                  </w:tcBorders>
                  <w:vAlign w:val="bottom"/>
                </w:tcPr>
                <w:p w14:paraId="19D92C47" w14:textId="77777777" w:rsidR="00B24B51" w:rsidRPr="004850C9" w:rsidRDefault="00B24B51" w:rsidP="007019BD">
                  <w:pPr>
                    <w:pStyle w:val="Table1"/>
                    <w:rPr>
                      <w:sz w:val="16"/>
                      <w:szCs w:val="16"/>
                    </w:rPr>
                  </w:pPr>
                  <w:r w:rsidRPr="004850C9">
                    <w:rPr>
                      <w:sz w:val="16"/>
                      <w:szCs w:val="16"/>
                    </w:rPr>
                    <w:t>-----</w:t>
                  </w:r>
                </w:p>
              </w:tc>
              <w:tc>
                <w:tcPr>
                  <w:tcW w:w="1260" w:type="dxa"/>
                  <w:tcBorders>
                    <w:top w:val="nil"/>
                    <w:left w:val="nil"/>
                    <w:bottom w:val="nil"/>
                    <w:right w:val="nil"/>
                  </w:tcBorders>
                  <w:vAlign w:val="bottom"/>
                </w:tcPr>
                <w:p w14:paraId="3B847297" w14:textId="77777777" w:rsidR="00B24B51" w:rsidRPr="004850C9" w:rsidRDefault="00B24B51" w:rsidP="007019BD">
                  <w:pPr>
                    <w:pStyle w:val="Table1"/>
                    <w:rPr>
                      <w:sz w:val="16"/>
                      <w:szCs w:val="16"/>
                    </w:rPr>
                  </w:pPr>
                  <w:r w:rsidRPr="004850C9">
                    <w:rPr>
                      <w:sz w:val="16"/>
                      <w:szCs w:val="16"/>
                    </w:rPr>
                    <w:t>-----</w:t>
                  </w:r>
                </w:p>
              </w:tc>
            </w:tr>
            <w:tr w:rsidR="00B24B51" w:rsidRPr="004D7208" w14:paraId="1834722F" w14:textId="77777777" w:rsidTr="00B24B51">
              <w:trPr>
                <w:trHeight w:val="255"/>
                <w:jc w:val="center"/>
              </w:trPr>
              <w:tc>
                <w:tcPr>
                  <w:tcW w:w="2085" w:type="dxa"/>
                  <w:tcBorders>
                    <w:top w:val="nil"/>
                    <w:left w:val="nil"/>
                    <w:bottom w:val="double" w:sz="6" w:space="0" w:color="auto"/>
                    <w:right w:val="single" w:sz="4" w:space="0" w:color="auto"/>
                  </w:tcBorders>
                  <w:vAlign w:val="bottom"/>
                </w:tcPr>
                <w:p w14:paraId="4AA7C559" w14:textId="77777777" w:rsidR="00B24B51" w:rsidRPr="004850C9" w:rsidRDefault="00B24B51" w:rsidP="007019BD">
                  <w:pPr>
                    <w:pStyle w:val="Table1"/>
                    <w:jc w:val="left"/>
                    <w:rPr>
                      <w:sz w:val="16"/>
                      <w:szCs w:val="16"/>
                    </w:rPr>
                  </w:pPr>
                  <w:r w:rsidRPr="004850C9">
                    <w:rPr>
                      <w:sz w:val="16"/>
                      <w:szCs w:val="16"/>
                    </w:rPr>
                    <w:t>Compacted Fill</w:t>
                  </w:r>
                </w:p>
              </w:tc>
              <w:tc>
                <w:tcPr>
                  <w:tcW w:w="1800" w:type="dxa"/>
                  <w:tcBorders>
                    <w:top w:val="nil"/>
                    <w:left w:val="nil"/>
                    <w:bottom w:val="double" w:sz="6" w:space="0" w:color="auto"/>
                    <w:right w:val="single" w:sz="4" w:space="0" w:color="auto"/>
                  </w:tcBorders>
                  <w:vAlign w:val="bottom"/>
                </w:tcPr>
                <w:p w14:paraId="214AB8B5" w14:textId="77777777" w:rsidR="00B24B51" w:rsidRPr="004850C9" w:rsidRDefault="00B24B51" w:rsidP="007019BD">
                  <w:pPr>
                    <w:pStyle w:val="Table1"/>
                    <w:jc w:val="left"/>
                    <w:rPr>
                      <w:sz w:val="16"/>
                      <w:szCs w:val="16"/>
                    </w:rPr>
                  </w:pPr>
                  <w:r w:rsidRPr="004850C9">
                    <w:rPr>
                      <w:sz w:val="16"/>
                      <w:szCs w:val="16"/>
                    </w:rPr>
                    <w:t>Variable</w:t>
                  </w:r>
                </w:p>
              </w:tc>
              <w:tc>
                <w:tcPr>
                  <w:tcW w:w="1170" w:type="dxa"/>
                  <w:tcBorders>
                    <w:top w:val="nil"/>
                    <w:left w:val="nil"/>
                    <w:bottom w:val="double" w:sz="6" w:space="0" w:color="auto"/>
                    <w:right w:val="single" w:sz="4" w:space="0" w:color="auto"/>
                  </w:tcBorders>
                  <w:vAlign w:val="bottom"/>
                </w:tcPr>
                <w:p w14:paraId="4A9CB545" w14:textId="77777777" w:rsidR="00B24B51" w:rsidRPr="004850C9" w:rsidRDefault="00B24B51" w:rsidP="007019BD">
                  <w:pPr>
                    <w:pStyle w:val="Table1"/>
                    <w:rPr>
                      <w:sz w:val="16"/>
                      <w:szCs w:val="16"/>
                    </w:rPr>
                  </w:pPr>
                  <w:r w:rsidRPr="004850C9">
                    <w:rPr>
                      <w:sz w:val="16"/>
                      <w:szCs w:val="16"/>
                    </w:rPr>
                    <w:t>Low</w:t>
                  </w:r>
                </w:p>
              </w:tc>
              <w:tc>
                <w:tcPr>
                  <w:tcW w:w="1080" w:type="dxa"/>
                  <w:tcBorders>
                    <w:top w:val="nil"/>
                    <w:left w:val="nil"/>
                    <w:bottom w:val="double" w:sz="6" w:space="0" w:color="auto"/>
                    <w:right w:val="single" w:sz="4" w:space="0" w:color="auto"/>
                  </w:tcBorders>
                  <w:vAlign w:val="bottom"/>
                </w:tcPr>
                <w:p w14:paraId="78E2F6C6" w14:textId="77777777" w:rsidR="00B24B51" w:rsidRPr="004850C9" w:rsidRDefault="00B24B51" w:rsidP="007019BD">
                  <w:pPr>
                    <w:pStyle w:val="Table1"/>
                    <w:rPr>
                      <w:sz w:val="16"/>
                      <w:szCs w:val="16"/>
                    </w:rPr>
                  </w:pPr>
                  <w:r w:rsidRPr="004850C9">
                    <w:rPr>
                      <w:sz w:val="16"/>
                      <w:szCs w:val="16"/>
                    </w:rPr>
                    <w:t>-----</w:t>
                  </w:r>
                </w:p>
              </w:tc>
              <w:tc>
                <w:tcPr>
                  <w:tcW w:w="1260" w:type="dxa"/>
                  <w:tcBorders>
                    <w:top w:val="nil"/>
                    <w:left w:val="nil"/>
                    <w:bottom w:val="double" w:sz="6" w:space="0" w:color="auto"/>
                    <w:right w:val="single" w:sz="4" w:space="0" w:color="auto"/>
                  </w:tcBorders>
                  <w:vAlign w:val="bottom"/>
                </w:tcPr>
                <w:p w14:paraId="3621FA8C" w14:textId="77777777" w:rsidR="00B24B51" w:rsidRPr="004850C9" w:rsidRDefault="00B24B51" w:rsidP="007019BD">
                  <w:pPr>
                    <w:pStyle w:val="Table1"/>
                    <w:rPr>
                      <w:sz w:val="16"/>
                      <w:szCs w:val="16"/>
                    </w:rPr>
                  </w:pPr>
                  <w:r w:rsidRPr="004850C9">
                    <w:rPr>
                      <w:sz w:val="16"/>
                      <w:szCs w:val="16"/>
                    </w:rPr>
                    <w:t>-----</w:t>
                  </w:r>
                </w:p>
              </w:tc>
              <w:tc>
                <w:tcPr>
                  <w:tcW w:w="1260" w:type="dxa"/>
                  <w:tcBorders>
                    <w:top w:val="nil"/>
                    <w:left w:val="nil"/>
                    <w:bottom w:val="double" w:sz="6" w:space="0" w:color="auto"/>
                    <w:right w:val="nil"/>
                  </w:tcBorders>
                  <w:vAlign w:val="bottom"/>
                </w:tcPr>
                <w:p w14:paraId="5095A6FF" w14:textId="77777777" w:rsidR="00B24B51" w:rsidRPr="004850C9" w:rsidRDefault="00B24B51" w:rsidP="007019BD">
                  <w:pPr>
                    <w:pStyle w:val="Table1"/>
                    <w:rPr>
                      <w:sz w:val="16"/>
                      <w:szCs w:val="16"/>
                    </w:rPr>
                  </w:pPr>
                  <w:r w:rsidRPr="004850C9">
                    <w:rPr>
                      <w:sz w:val="16"/>
                      <w:szCs w:val="16"/>
                    </w:rPr>
                    <w:t>-----</w:t>
                  </w:r>
                </w:p>
              </w:tc>
            </w:tr>
          </w:tbl>
          <w:p w14:paraId="2F0D3DFB" w14:textId="77777777" w:rsidR="00B24B51" w:rsidRDefault="00B24B51" w:rsidP="00B24B51">
            <w:pPr>
              <w:spacing w:line="240" w:lineRule="auto"/>
              <w:ind w:left="720"/>
            </w:pPr>
          </w:p>
          <w:p w14:paraId="2A0F95E9" w14:textId="77777777" w:rsidR="00B24B51" w:rsidRDefault="00B24B51" w:rsidP="00B24B51">
            <w:pPr>
              <w:spacing w:line="240" w:lineRule="auto"/>
              <w:ind w:left="720"/>
            </w:pPr>
            <w:r>
              <w:rPr>
                <w:b/>
              </w:rPr>
              <w:t xml:space="preserve">Influence </w:t>
            </w:r>
            <w:r w:rsidRPr="00BD69E4">
              <w:rPr>
                <w:b/>
              </w:rPr>
              <w:t xml:space="preserve">of </w:t>
            </w:r>
            <w:r>
              <w:rPr>
                <w:b/>
              </w:rPr>
              <w:t xml:space="preserve">Seismic </w:t>
            </w:r>
            <w:r w:rsidRPr="00BD69E4">
              <w:rPr>
                <w:b/>
              </w:rPr>
              <w:t>Source Distance</w:t>
            </w:r>
            <w:r>
              <w:rPr>
                <w:b/>
              </w:rPr>
              <w:t xml:space="preserve"> (R) </w:t>
            </w:r>
            <w:r>
              <w:t>– For similar magnitude earthquakes, liquefaction effects are known to attenuate with decreasing seismic energy associated with further distances from the seismic source (</w:t>
            </w:r>
            <w:proofErr w:type="spellStart"/>
            <w:r>
              <w:t>Youd</w:t>
            </w:r>
            <w:proofErr w:type="spellEnd"/>
            <w:r>
              <w:t xml:space="preserve"> and Perkins, 1987; </w:t>
            </w:r>
            <w:proofErr w:type="spellStart"/>
            <w:r>
              <w:t>Ambraseys</w:t>
            </w:r>
            <w:proofErr w:type="spellEnd"/>
            <w:r>
              <w:t xml:space="preserve">, 1988; Bartlett and </w:t>
            </w:r>
            <w:proofErr w:type="spellStart"/>
            <w:r>
              <w:t>Youd</w:t>
            </w:r>
            <w:proofErr w:type="spellEnd"/>
            <w:r>
              <w:t xml:space="preserve">, 1992, 1995; </w:t>
            </w:r>
            <w:proofErr w:type="spellStart"/>
            <w:r>
              <w:t>Youd</w:t>
            </w:r>
            <w:proofErr w:type="spellEnd"/>
            <w:r>
              <w:t xml:space="preserve"> et al., 2002). The effects of source distance on lateral spread will also be explored and evaluated.</w:t>
            </w:r>
          </w:p>
          <w:p w14:paraId="4095C858" w14:textId="77777777" w:rsidR="00B24B51" w:rsidRDefault="00B24B51" w:rsidP="00B24B51">
            <w:pPr>
              <w:spacing w:line="240" w:lineRule="auto"/>
              <w:ind w:left="720"/>
            </w:pPr>
            <w:r>
              <w:rPr>
                <w:b/>
              </w:rPr>
              <w:t>Influence</w:t>
            </w:r>
            <w:r w:rsidRPr="00D766C3">
              <w:rPr>
                <w:b/>
              </w:rPr>
              <w:t xml:space="preserve"> of Earthquake </w:t>
            </w:r>
            <w:r w:rsidRPr="00D766C3">
              <w:rPr>
                <w:b/>
                <w:noProof/>
              </w:rPr>
              <w:t>Magnitude</w:t>
            </w:r>
            <w:r w:rsidRPr="00D766C3">
              <w:rPr>
                <w:b/>
              </w:rPr>
              <w:t xml:space="preserve"> (M</w:t>
            </w:r>
            <w:r w:rsidRPr="00D766C3">
              <w:rPr>
                <w:b/>
                <w:vertAlign w:val="subscript"/>
              </w:rPr>
              <w:t>w</w:t>
            </w:r>
            <w:r w:rsidRPr="00D766C3">
              <w:rPr>
                <w:b/>
              </w:rPr>
              <w:t>)</w:t>
            </w:r>
            <w:r>
              <w:t xml:space="preserve"> – At susceptible sites and all other factors being equal, the occurrence of lateral spread and the magnitude of the associated displacement increases with earthquake magnitude (Bartlett and </w:t>
            </w:r>
            <w:proofErr w:type="spellStart"/>
            <w:r>
              <w:t>Youd</w:t>
            </w:r>
            <w:proofErr w:type="spellEnd"/>
            <w:r>
              <w:t>, 1992; 1995).</w:t>
            </w:r>
          </w:p>
          <w:p w14:paraId="6658C851" w14:textId="5566CAC8" w:rsidR="00B24B51" w:rsidRPr="00B24B51" w:rsidRDefault="00B24B51" w:rsidP="00B24B51">
            <w:pPr>
              <w:spacing w:line="240" w:lineRule="auto"/>
              <w:ind w:left="720"/>
            </w:pPr>
            <w:r>
              <w:rPr>
                <w:b/>
              </w:rPr>
              <w:t>Influence</w:t>
            </w:r>
            <w:r w:rsidRPr="00F757F7">
              <w:rPr>
                <w:b/>
              </w:rPr>
              <w:t xml:space="preserve"> of Other Variables (</w:t>
            </w:r>
            <w:proofErr w:type="spellStart"/>
            <w:r w:rsidRPr="00F757F7">
              <w:rPr>
                <w:b/>
              </w:rPr>
              <w:t>X</w:t>
            </w:r>
            <w:r w:rsidRPr="00F757F7">
              <w:rPr>
                <w:b/>
                <w:vertAlign w:val="subscript"/>
              </w:rPr>
              <w:t>n</w:t>
            </w:r>
            <w:proofErr w:type="spellEnd"/>
            <w:r w:rsidRPr="00F757F7">
              <w:rPr>
                <w:b/>
              </w:rPr>
              <w:t xml:space="preserve">) </w:t>
            </w:r>
            <w:r>
              <w:rPr>
                <w:b/>
              </w:rPr>
              <w:t>–</w:t>
            </w:r>
            <w:r w:rsidRPr="00F757F7">
              <w:rPr>
                <w:b/>
              </w:rPr>
              <w:t xml:space="preserve"> </w:t>
            </w:r>
            <w:r>
              <w:t>Other variables, not mentioned above, may be defined and evaluated during the research.</w:t>
            </w:r>
          </w:p>
        </w:tc>
      </w:tr>
    </w:tbl>
    <w:p w14:paraId="484F70CA" w14:textId="77777777" w:rsidR="008B7F86" w:rsidRDefault="008B7F86"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7C9F6853" w14:textId="77777777" w:rsidTr="00360664">
        <w:tc>
          <w:tcPr>
            <w:tcW w:w="10908" w:type="dxa"/>
          </w:tcPr>
          <w:p w14:paraId="2AA6C93B" w14:textId="77777777" w:rsidR="000C209F" w:rsidRPr="00360664" w:rsidRDefault="000C209F" w:rsidP="00360664">
            <w:pPr>
              <w:spacing w:after="0" w:line="240" w:lineRule="auto"/>
              <w:rPr>
                <w:rFonts w:ascii="Arial" w:hAnsi="Arial" w:cs="Arial"/>
                <w:b/>
                <w:sz w:val="20"/>
                <w:szCs w:val="20"/>
              </w:rPr>
            </w:pPr>
          </w:p>
          <w:p w14:paraId="5B8299B9" w14:textId="77777777" w:rsidR="000C209F" w:rsidRPr="00360664" w:rsidRDefault="000C209F" w:rsidP="00360664">
            <w:pPr>
              <w:spacing w:after="0" w:line="240" w:lineRule="auto"/>
              <w:rPr>
                <w:rFonts w:ascii="Arial" w:hAnsi="Arial" w:cs="Arial"/>
                <w:b/>
                <w:sz w:val="20"/>
                <w:szCs w:val="20"/>
              </w:rPr>
            </w:pPr>
            <w:r w:rsidRPr="00B24B51">
              <w:rPr>
                <w:rFonts w:ascii="Arial" w:hAnsi="Arial" w:cs="Arial"/>
                <w:b/>
                <w:sz w:val="20"/>
                <w:szCs w:val="20"/>
              </w:rPr>
              <w:t>Significant Results:</w:t>
            </w:r>
          </w:p>
          <w:p w14:paraId="3C503E60" w14:textId="77777777" w:rsidR="009A1D70" w:rsidRDefault="009A1D70" w:rsidP="00360664">
            <w:pPr>
              <w:spacing w:after="0" w:line="240" w:lineRule="auto"/>
              <w:rPr>
                <w:rFonts w:ascii="Arial" w:hAnsi="Arial" w:cs="Arial"/>
                <w:sz w:val="20"/>
                <w:szCs w:val="20"/>
              </w:rPr>
            </w:pPr>
          </w:p>
          <w:p w14:paraId="00D7F146" w14:textId="17D7BD35" w:rsidR="002F38BB" w:rsidRDefault="002F38BB" w:rsidP="00F77FD2">
            <w:pPr>
              <w:spacing w:after="0" w:line="240" w:lineRule="auto"/>
              <w:rPr>
                <w:rFonts w:ascii="Arial" w:hAnsi="Arial" w:cs="Arial"/>
                <w:sz w:val="20"/>
                <w:szCs w:val="20"/>
              </w:rPr>
            </w:pPr>
            <w:r>
              <w:rPr>
                <w:rFonts w:ascii="Arial" w:hAnsi="Arial" w:cs="Arial"/>
                <w:sz w:val="20"/>
                <w:szCs w:val="20"/>
              </w:rPr>
              <w:t xml:space="preserve">The following </w:t>
            </w:r>
            <w:r w:rsidR="00055D1A">
              <w:rPr>
                <w:rFonts w:ascii="Arial" w:hAnsi="Arial" w:cs="Arial"/>
                <w:sz w:val="20"/>
                <w:szCs w:val="20"/>
              </w:rPr>
              <w:t>table</w:t>
            </w:r>
            <w:r>
              <w:rPr>
                <w:rFonts w:ascii="Arial" w:hAnsi="Arial" w:cs="Arial"/>
                <w:sz w:val="20"/>
                <w:szCs w:val="20"/>
              </w:rPr>
              <w:t xml:space="preserve"> include</w:t>
            </w:r>
            <w:r w:rsidR="00055D1A">
              <w:rPr>
                <w:rFonts w:ascii="Arial" w:hAnsi="Arial" w:cs="Arial"/>
                <w:sz w:val="20"/>
                <w:szCs w:val="20"/>
              </w:rPr>
              <w:t>s</w:t>
            </w:r>
            <w:r>
              <w:rPr>
                <w:rFonts w:ascii="Arial" w:hAnsi="Arial" w:cs="Arial"/>
                <w:sz w:val="20"/>
                <w:szCs w:val="20"/>
              </w:rPr>
              <w:t xml:space="preserve"> a summary of progress made on </w:t>
            </w:r>
            <w:r w:rsidRPr="00055D1A">
              <w:rPr>
                <w:rFonts w:ascii="Arial" w:hAnsi="Arial" w:cs="Arial"/>
                <w:b/>
                <w:sz w:val="20"/>
                <w:szCs w:val="20"/>
              </w:rPr>
              <w:t>Phase I, Task 6, Obtaining and screening of case history information</w:t>
            </w:r>
            <w:r>
              <w:rPr>
                <w:rFonts w:ascii="Arial" w:hAnsi="Arial" w:cs="Arial"/>
                <w:sz w:val="20"/>
                <w:szCs w:val="20"/>
              </w:rPr>
              <w:t>.</w:t>
            </w:r>
          </w:p>
          <w:p w14:paraId="774FBF53" w14:textId="77777777" w:rsidR="002F38BB" w:rsidRDefault="002F38BB" w:rsidP="00F77FD2">
            <w:pPr>
              <w:spacing w:after="0" w:line="240" w:lineRule="auto"/>
              <w:rPr>
                <w:rFonts w:ascii="Arial" w:hAnsi="Arial" w:cs="Arial"/>
                <w:sz w:val="20"/>
                <w:szCs w:val="20"/>
              </w:rPr>
            </w:pPr>
          </w:p>
          <w:p w14:paraId="6F488F07" w14:textId="4DA3E24C" w:rsidR="002F38BB" w:rsidRDefault="002F38BB" w:rsidP="00F77FD2">
            <w:pPr>
              <w:spacing w:after="0" w:line="240" w:lineRule="auto"/>
              <w:rPr>
                <w:rFonts w:ascii="Arial" w:hAnsi="Arial" w:cs="Arial"/>
                <w:sz w:val="20"/>
                <w:szCs w:val="20"/>
              </w:rPr>
            </w:pPr>
            <w:r w:rsidRPr="00F77FD2">
              <w:rPr>
                <w:rFonts w:ascii="Arial" w:hAnsi="Arial" w:cs="Arial"/>
                <w:noProof/>
                <w:sz w:val="20"/>
                <w:szCs w:val="20"/>
              </w:rPr>
              <w:lastRenderedPageBreak/>
              <w:drawing>
                <wp:inline distT="0" distB="0" distL="0" distR="0" wp14:anchorId="232D66E3" wp14:editId="27CB5F7E">
                  <wp:extent cx="3474720" cy="5581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74720" cy="5581670"/>
                          </a:xfrm>
                          <a:prstGeom prst="rect">
                            <a:avLst/>
                          </a:prstGeom>
                          <a:noFill/>
                          <a:ln>
                            <a:noFill/>
                          </a:ln>
                        </pic:spPr>
                      </pic:pic>
                    </a:graphicData>
                  </a:graphic>
                </wp:inline>
              </w:drawing>
            </w:r>
          </w:p>
          <w:p w14:paraId="49196BC7" w14:textId="45C1FD00" w:rsidR="002F38BB" w:rsidRDefault="002F38BB" w:rsidP="00F77FD2">
            <w:pPr>
              <w:spacing w:after="0" w:line="240" w:lineRule="auto"/>
              <w:rPr>
                <w:rFonts w:ascii="Arial" w:hAnsi="Arial" w:cs="Arial"/>
                <w:sz w:val="20"/>
                <w:szCs w:val="20"/>
              </w:rPr>
            </w:pPr>
            <w:r w:rsidRPr="00F77FD2">
              <w:rPr>
                <w:rFonts w:ascii="Arial" w:hAnsi="Arial" w:cs="Arial"/>
                <w:noProof/>
                <w:sz w:val="20"/>
                <w:szCs w:val="20"/>
              </w:rPr>
              <w:drawing>
                <wp:inline distT="0" distB="0" distL="0" distR="0" wp14:anchorId="3E13B61A" wp14:editId="1424EA16">
                  <wp:extent cx="3474720" cy="30904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74720" cy="3090495"/>
                          </a:xfrm>
                          <a:prstGeom prst="rect">
                            <a:avLst/>
                          </a:prstGeom>
                          <a:noFill/>
                          <a:ln>
                            <a:noFill/>
                          </a:ln>
                        </pic:spPr>
                      </pic:pic>
                    </a:graphicData>
                  </a:graphic>
                </wp:inline>
              </w:drawing>
            </w:r>
          </w:p>
          <w:p w14:paraId="0BC0C056" w14:textId="77777777" w:rsidR="00055D1A" w:rsidRPr="00CC401B" w:rsidRDefault="00055D1A" w:rsidP="00F77FD2">
            <w:pPr>
              <w:spacing w:after="0" w:line="240" w:lineRule="auto"/>
              <w:rPr>
                <w:rFonts w:ascii="Arial" w:hAnsi="Arial" w:cs="Arial"/>
                <w:sz w:val="20"/>
                <w:szCs w:val="20"/>
              </w:rPr>
            </w:pPr>
          </w:p>
        </w:tc>
      </w:tr>
      <w:tr w:rsidR="000C209F" w:rsidRPr="00360664" w14:paraId="624C14B7" w14:textId="77777777" w:rsidTr="00360664">
        <w:tc>
          <w:tcPr>
            <w:tcW w:w="10908" w:type="dxa"/>
          </w:tcPr>
          <w:p w14:paraId="0A722421" w14:textId="77777777" w:rsidR="000C209F" w:rsidRPr="00360664" w:rsidRDefault="000C209F" w:rsidP="00360664">
            <w:pPr>
              <w:spacing w:after="0" w:line="240" w:lineRule="auto"/>
              <w:rPr>
                <w:rFonts w:ascii="Arial" w:hAnsi="Arial" w:cs="Arial"/>
                <w:b/>
                <w:sz w:val="20"/>
                <w:szCs w:val="20"/>
              </w:rPr>
            </w:pPr>
          </w:p>
          <w:p w14:paraId="57E0AFB9" w14:textId="77777777" w:rsidR="000C209F" w:rsidRPr="00360664" w:rsidRDefault="000C209F" w:rsidP="00360664">
            <w:pPr>
              <w:spacing w:after="0" w:line="240" w:lineRule="auto"/>
              <w:rPr>
                <w:rFonts w:ascii="Arial" w:hAnsi="Arial" w:cs="Arial"/>
                <w:b/>
                <w:sz w:val="20"/>
                <w:szCs w:val="20"/>
              </w:rPr>
            </w:pPr>
            <w:r w:rsidRPr="004C3050">
              <w:rPr>
                <w:rFonts w:ascii="Arial" w:hAnsi="Arial" w:cs="Arial"/>
                <w:b/>
                <w:sz w:val="20"/>
                <w:szCs w:val="20"/>
              </w:rPr>
              <w:t>Circumstance affecting project or budget.</w:t>
            </w:r>
            <w:r w:rsidRPr="00360664">
              <w:rPr>
                <w:rFonts w:ascii="Arial" w:hAnsi="Arial" w:cs="Arial"/>
                <w:b/>
                <w:sz w:val="20"/>
                <w:szCs w:val="20"/>
              </w:rPr>
              <w:t xml:space="preserve">  (Please describe any challenges encountered or anticipated that </w:t>
            </w:r>
          </w:p>
          <w:p w14:paraId="61C22CB7"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14:paraId="713A4085" w14:textId="7296E5E9" w:rsidR="000C209F"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14:paraId="21FF0D9D" w14:textId="50B9FE26" w:rsidR="0077110E" w:rsidRDefault="0077110E" w:rsidP="00360664">
            <w:pPr>
              <w:spacing w:after="0" w:line="240" w:lineRule="auto"/>
              <w:rPr>
                <w:rFonts w:ascii="Arial" w:hAnsi="Arial" w:cs="Arial"/>
                <w:b/>
                <w:sz w:val="20"/>
                <w:szCs w:val="20"/>
              </w:rPr>
            </w:pPr>
          </w:p>
          <w:p w14:paraId="7E1D3C07" w14:textId="6CEB7C74" w:rsidR="00661C5C" w:rsidRPr="0077110E" w:rsidRDefault="00F77FD2" w:rsidP="00360664">
            <w:pPr>
              <w:spacing w:after="0" w:line="240" w:lineRule="auto"/>
              <w:rPr>
                <w:rFonts w:ascii="Arial" w:hAnsi="Arial" w:cs="Arial"/>
                <w:sz w:val="20"/>
                <w:szCs w:val="20"/>
              </w:rPr>
            </w:pPr>
            <w:r>
              <w:rPr>
                <w:rFonts w:ascii="Arial" w:hAnsi="Arial" w:cs="Arial"/>
                <w:sz w:val="20"/>
                <w:szCs w:val="20"/>
              </w:rPr>
              <w:t xml:space="preserve">Contract extension </w:t>
            </w:r>
            <w:r w:rsidR="007471BA">
              <w:rPr>
                <w:rFonts w:ascii="Arial" w:hAnsi="Arial" w:cs="Arial"/>
                <w:sz w:val="20"/>
                <w:szCs w:val="20"/>
              </w:rPr>
              <w:t xml:space="preserve">is </w:t>
            </w:r>
            <w:r>
              <w:rPr>
                <w:rFonts w:ascii="Arial" w:hAnsi="Arial" w:cs="Arial"/>
                <w:sz w:val="20"/>
                <w:szCs w:val="20"/>
              </w:rPr>
              <w:t>requested by BYU.  Proposed contract extension end date is April 30, 2020.  U of U will assist BYU in completing their case histories and work on the screening criteria task (described above) during this extension.</w:t>
            </w:r>
          </w:p>
          <w:p w14:paraId="4294D214" w14:textId="77777777" w:rsidR="00A069BB" w:rsidRPr="00C64D98" w:rsidRDefault="00A069BB" w:rsidP="00311494">
            <w:pPr>
              <w:spacing w:after="0" w:line="240" w:lineRule="auto"/>
              <w:rPr>
                <w:rFonts w:ascii="Arial" w:hAnsi="Arial" w:cs="Arial"/>
                <w:sz w:val="20"/>
                <w:szCs w:val="20"/>
              </w:rPr>
            </w:pPr>
          </w:p>
        </w:tc>
      </w:tr>
    </w:tbl>
    <w:p w14:paraId="1BC3AD50"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6C093347" w14:textId="77777777" w:rsidTr="00360664">
        <w:tc>
          <w:tcPr>
            <w:tcW w:w="10908" w:type="dxa"/>
          </w:tcPr>
          <w:p w14:paraId="3CDCA111" w14:textId="77777777" w:rsidR="000C209F" w:rsidRPr="00360664" w:rsidRDefault="000C209F" w:rsidP="00360664">
            <w:pPr>
              <w:spacing w:after="0" w:line="240" w:lineRule="auto"/>
              <w:rPr>
                <w:rFonts w:ascii="Arial" w:hAnsi="Arial" w:cs="Arial"/>
                <w:sz w:val="20"/>
                <w:szCs w:val="20"/>
              </w:rPr>
            </w:pPr>
          </w:p>
          <w:p w14:paraId="771BDC31"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14:paraId="02DB4DE6" w14:textId="77777777" w:rsidR="000C209F" w:rsidRDefault="000C209F" w:rsidP="00360664">
            <w:pPr>
              <w:spacing w:after="0" w:line="240" w:lineRule="auto"/>
              <w:rPr>
                <w:rFonts w:ascii="Arial" w:hAnsi="Arial" w:cs="Arial"/>
                <w:sz w:val="20"/>
                <w:szCs w:val="20"/>
              </w:rPr>
            </w:pPr>
          </w:p>
          <w:p w14:paraId="32481B0A" w14:textId="77777777" w:rsidR="00344E45" w:rsidRDefault="0088324D" w:rsidP="00360664">
            <w:pPr>
              <w:spacing w:after="0" w:line="240" w:lineRule="auto"/>
              <w:rPr>
                <w:rFonts w:ascii="Arial" w:hAnsi="Arial" w:cs="Arial"/>
                <w:sz w:val="20"/>
                <w:szCs w:val="20"/>
              </w:rPr>
            </w:pPr>
            <w:r>
              <w:rPr>
                <w:rFonts w:ascii="Arial" w:hAnsi="Arial" w:cs="Arial"/>
                <w:sz w:val="20"/>
                <w:szCs w:val="20"/>
              </w:rPr>
              <w:t>None yet.</w:t>
            </w:r>
          </w:p>
          <w:p w14:paraId="1342281A" w14:textId="77777777" w:rsidR="00907579" w:rsidRPr="00360664" w:rsidRDefault="00907579" w:rsidP="00344E45">
            <w:pPr>
              <w:spacing w:after="0" w:line="240" w:lineRule="auto"/>
              <w:rPr>
                <w:rFonts w:ascii="Arial" w:hAnsi="Arial" w:cs="Arial"/>
                <w:sz w:val="20"/>
                <w:szCs w:val="20"/>
              </w:rPr>
            </w:pPr>
          </w:p>
        </w:tc>
      </w:tr>
    </w:tbl>
    <w:p w14:paraId="38010FB9" w14:textId="77777777"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7"/>
      <w:pgSz w:w="12240" w:h="15840"/>
      <w:pgMar w:top="720" w:right="1440" w:bottom="72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7E7771" w15:done="0"/>
  <w15:commentEx w15:paraId="08B8F36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7E7771" w16cid:durableId="1B4340D0"/>
  <w16cid:commentId w16cid:paraId="08B8F369" w16cid:durableId="1B43410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695819" w14:textId="77777777" w:rsidR="005C1B05" w:rsidRDefault="005C1B05" w:rsidP="00106C83">
      <w:pPr>
        <w:spacing w:after="0" w:line="240" w:lineRule="auto"/>
      </w:pPr>
      <w:r>
        <w:separator/>
      </w:r>
    </w:p>
  </w:endnote>
  <w:endnote w:type="continuationSeparator" w:id="0">
    <w:p w14:paraId="0F6D36D1" w14:textId="77777777" w:rsidR="005C1B05" w:rsidRDefault="005C1B0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9FE37" w14:textId="77777777" w:rsidR="006311A7" w:rsidRDefault="006311A7" w:rsidP="00E371D1">
    <w:pPr>
      <w:pStyle w:val="Footer"/>
      <w:ind w:left="-810"/>
    </w:pPr>
    <w:r>
      <w:t>TPF Program Standard Quarterly Reporting Format – 7/2011</w:t>
    </w:r>
  </w:p>
  <w:p w14:paraId="6BAA3BBA" w14:textId="77777777" w:rsidR="006311A7" w:rsidRDefault="006311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45F846" w14:textId="77777777" w:rsidR="005C1B05" w:rsidRDefault="005C1B05" w:rsidP="00106C83">
      <w:pPr>
        <w:spacing w:after="0" w:line="240" w:lineRule="auto"/>
      </w:pPr>
      <w:r>
        <w:separator/>
      </w:r>
    </w:p>
  </w:footnote>
  <w:footnote w:type="continuationSeparator" w:id="0">
    <w:p w14:paraId="6B304AFF" w14:textId="77777777" w:rsidR="005C1B05" w:rsidRDefault="005C1B05"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E1tjQzMTS1sDQyMTBS0lEKTi0uzszPAykwrAUAypwmOiwAAAA="/>
  </w:docVars>
  <w:rsids>
    <w:rsidRoot w:val="00551D8A"/>
    <w:rsid w:val="00001539"/>
    <w:rsid w:val="00004A3F"/>
    <w:rsid w:val="00006CB3"/>
    <w:rsid w:val="00010300"/>
    <w:rsid w:val="0001316D"/>
    <w:rsid w:val="00015D61"/>
    <w:rsid w:val="00016D52"/>
    <w:rsid w:val="00017F8C"/>
    <w:rsid w:val="00020513"/>
    <w:rsid w:val="00021A3F"/>
    <w:rsid w:val="00027840"/>
    <w:rsid w:val="00030EA1"/>
    <w:rsid w:val="0003260A"/>
    <w:rsid w:val="000335CC"/>
    <w:rsid w:val="000342EB"/>
    <w:rsid w:val="00035DAD"/>
    <w:rsid w:val="00037FBC"/>
    <w:rsid w:val="00040795"/>
    <w:rsid w:val="0004152A"/>
    <w:rsid w:val="00041A8E"/>
    <w:rsid w:val="000452C8"/>
    <w:rsid w:val="00045C7E"/>
    <w:rsid w:val="00046DCA"/>
    <w:rsid w:val="0005018C"/>
    <w:rsid w:val="00051BE2"/>
    <w:rsid w:val="0005429F"/>
    <w:rsid w:val="000556F2"/>
    <w:rsid w:val="00055D1A"/>
    <w:rsid w:val="00055FBC"/>
    <w:rsid w:val="00060908"/>
    <w:rsid w:val="00060DDA"/>
    <w:rsid w:val="00061A91"/>
    <w:rsid w:val="000632E0"/>
    <w:rsid w:val="0006342D"/>
    <w:rsid w:val="000634CA"/>
    <w:rsid w:val="00064DBC"/>
    <w:rsid w:val="00065B11"/>
    <w:rsid w:val="00067968"/>
    <w:rsid w:val="00071797"/>
    <w:rsid w:val="000736BB"/>
    <w:rsid w:val="00074641"/>
    <w:rsid w:val="00074656"/>
    <w:rsid w:val="0007547B"/>
    <w:rsid w:val="00077774"/>
    <w:rsid w:val="0008172C"/>
    <w:rsid w:val="00085456"/>
    <w:rsid w:val="00086047"/>
    <w:rsid w:val="00087DC0"/>
    <w:rsid w:val="00091CA3"/>
    <w:rsid w:val="000937EA"/>
    <w:rsid w:val="00093EAF"/>
    <w:rsid w:val="00094238"/>
    <w:rsid w:val="0009445B"/>
    <w:rsid w:val="000957A8"/>
    <w:rsid w:val="000965B8"/>
    <w:rsid w:val="000A0D23"/>
    <w:rsid w:val="000A7C22"/>
    <w:rsid w:val="000B1557"/>
    <w:rsid w:val="000B2059"/>
    <w:rsid w:val="000B2F53"/>
    <w:rsid w:val="000B665A"/>
    <w:rsid w:val="000C19CB"/>
    <w:rsid w:val="000C209F"/>
    <w:rsid w:val="000C2F8D"/>
    <w:rsid w:val="000C370E"/>
    <w:rsid w:val="000C3E6D"/>
    <w:rsid w:val="000C4744"/>
    <w:rsid w:val="000C4AC9"/>
    <w:rsid w:val="000C5C86"/>
    <w:rsid w:val="000C65A5"/>
    <w:rsid w:val="000C79BD"/>
    <w:rsid w:val="000D1273"/>
    <w:rsid w:val="000D54D8"/>
    <w:rsid w:val="000D6962"/>
    <w:rsid w:val="000E112D"/>
    <w:rsid w:val="000E189F"/>
    <w:rsid w:val="000E1C3A"/>
    <w:rsid w:val="000F489B"/>
    <w:rsid w:val="000F6607"/>
    <w:rsid w:val="000F752B"/>
    <w:rsid w:val="000F7DCA"/>
    <w:rsid w:val="00102FA7"/>
    <w:rsid w:val="00103835"/>
    <w:rsid w:val="00106C83"/>
    <w:rsid w:val="00106F49"/>
    <w:rsid w:val="001136FD"/>
    <w:rsid w:val="001147C8"/>
    <w:rsid w:val="00114A2D"/>
    <w:rsid w:val="00121037"/>
    <w:rsid w:val="00122CE0"/>
    <w:rsid w:val="00122DE0"/>
    <w:rsid w:val="00123A0A"/>
    <w:rsid w:val="001245CE"/>
    <w:rsid w:val="00125F3A"/>
    <w:rsid w:val="00126BF4"/>
    <w:rsid w:val="00132F84"/>
    <w:rsid w:val="001336E7"/>
    <w:rsid w:val="00133D2C"/>
    <w:rsid w:val="001428DF"/>
    <w:rsid w:val="001429F4"/>
    <w:rsid w:val="00146518"/>
    <w:rsid w:val="00152A26"/>
    <w:rsid w:val="001536F4"/>
    <w:rsid w:val="00154785"/>
    <w:rsid w:val="001547C9"/>
    <w:rsid w:val="001547D0"/>
    <w:rsid w:val="00161153"/>
    <w:rsid w:val="001639F7"/>
    <w:rsid w:val="00164E36"/>
    <w:rsid w:val="00165AF3"/>
    <w:rsid w:val="00174827"/>
    <w:rsid w:val="00174FA3"/>
    <w:rsid w:val="00175B24"/>
    <w:rsid w:val="00176B22"/>
    <w:rsid w:val="0017757A"/>
    <w:rsid w:val="00181F8B"/>
    <w:rsid w:val="00182D9B"/>
    <w:rsid w:val="0018433C"/>
    <w:rsid w:val="001858F6"/>
    <w:rsid w:val="00186107"/>
    <w:rsid w:val="00186B05"/>
    <w:rsid w:val="00190459"/>
    <w:rsid w:val="001918E8"/>
    <w:rsid w:val="00191F1F"/>
    <w:rsid w:val="00192CBC"/>
    <w:rsid w:val="00194CD6"/>
    <w:rsid w:val="00197E96"/>
    <w:rsid w:val="001A1210"/>
    <w:rsid w:val="001A25A1"/>
    <w:rsid w:val="001A2E6F"/>
    <w:rsid w:val="001A3095"/>
    <w:rsid w:val="001A3467"/>
    <w:rsid w:val="001A46FD"/>
    <w:rsid w:val="001A7068"/>
    <w:rsid w:val="001A7398"/>
    <w:rsid w:val="001C03A1"/>
    <w:rsid w:val="001C0A2C"/>
    <w:rsid w:val="001C0E72"/>
    <w:rsid w:val="001C1DDE"/>
    <w:rsid w:val="001C1E3F"/>
    <w:rsid w:val="001C6EFD"/>
    <w:rsid w:val="001C7724"/>
    <w:rsid w:val="001D2FB4"/>
    <w:rsid w:val="001D55CE"/>
    <w:rsid w:val="001D763A"/>
    <w:rsid w:val="001D77C2"/>
    <w:rsid w:val="001E1873"/>
    <w:rsid w:val="001E7777"/>
    <w:rsid w:val="001F10B5"/>
    <w:rsid w:val="001F1101"/>
    <w:rsid w:val="001F7414"/>
    <w:rsid w:val="001F7506"/>
    <w:rsid w:val="00202788"/>
    <w:rsid w:val="002028BE"/>
    <w:rsid w:val="002029B6"/>
    <w:rsid w:val="00205F86"/>
    <w:rsid w:val="00212634"/>
    <w:rsid w:val="0021446D"/>
    <w:rsid w:val="00214FE9"/>
    <w:rsid w:val="00217E1B"/>
    <w:rsid w:val="0022101B"/>
    <w:rsid w:val="00221214"/>
    <w:rsid w:val="00222C75"/>
    <w:rsid w:val="0022336A"/>
    <w:rsid w:val="00223BC7"/>
    <w:rsid w:val="00225004"/>
    <w:rsid w:val="00230505"/>
    <w:rsid w:val="0023225C"/>
    <w:rsid w:val="0023315F"/>
    <w:rsid w:val="00236E81"/>
    <w:rsid w:val="00237469"/>
    <w:rsid w:val="002416F6"/>
    <w:rsid w:val="00243FCC"/>
    <w:rsid w:val="002442E9"/>
    <w:rsid w:val="00245D5B"/>
    <w:rsid w:val="00250765"/>
    <w:rsid w:val="0025100B"/>
    <w:rsid w:val="00251423"/>
    <w:rsid w:val="0025205E"/>
    <w:rsid w:val="002571EA"/>
    <w:rsid w:val="00257CFA"/>
    <w:rsid w:val="002661B7"/>
    <w:rsid w:val="00271658"/>
    <w:rsid w:val="00272964"/>
    <w:rsid w:val="002742C3"/>
    <w:rsid w:val="002752EA"/>
    <w:rsid w:val="00275D90"/>
    <w:rsid w:val="00276274"/>
    <w:rsid w:val="002765D0"/>
    <w:rsid w:val="00281C9D"/>
    <w:rsid w:val="00281E8E"/>
    <w:rsid w:val="00285DA3"/>
    <w:rsid w:val="00291061"/>
    <w:rsid w:val="00291F1C"/>
    <w:rsid w:val="00293258"/>
    <w:rsid w:val="0029327C"/>
    <w:rsid w:val="002936D0"/>
    <w:rsid w:val="00293FD8"/>
    <w:rsid w:val="002959F8"/>
    <w:rsid w:val="00295CC7"/>
    <w:rsid w:val="002A0D13"/>
    <w:rsid w:val="002A0E0A"/>
    <w:rsid w:val="002A3F03"/>
    <w:rsid w:val="002A61A3"/>
    <w:rsid w:val="002A79C8"/>
    <w:rsid w:val="002B1447"/>
    <w:rsid w:val="002B31FF"/>
    <w:rsid w:val="002B4C53"/>
    <w:rsid w:val="002B56F3"/>
    <w:rsid w:val="002B5D17"/>
    <w:rsid w:val="002B708D"/>
    <w:rsid w:val="002B7515"/>
    <w:rsid w:val="002C2F72"/>
    <w:rsid w:val="002C4321"/>
    <w:rsid w:val="002C6E75"/>
    <w:rsid w:val="002D0754"/>
    <w:rsid w:val="002D0D07"/>
    <w:rsid w:val="002D353E"/>
    <w:rsid w:val="002D60CF"/>
    <w:rsid w:val="002D6EA4"/>
    <w:rsid w:val="002E3814"/>
    <w:rsid w:val="002E38C3"/>
    <w:rsid w:val="002E4052"/>
    <w:rsid w:val="002E47D8"/>
    <w:rsid w:val="002E5C07"/>
    <w:rsid w:val="002E7774"/>
    <w:rsid w:val="002F0F5A"/>
    <w:rsid w:val="002F38BB"/>
    <w:rsid w:val="002F3D8F"/>
    <w:rsid w:val="002F42C6"/>
    <w:rsid w:val="002F44FD"/>
    <w:rsid w:val="002F5B74"/>
    <w:rsid w:val="002F66FD"/>
    <w:rsid w:val="002F6D17"/>
    <w:rsid w:val="0030162E"/>
    <w:rsid w:val="00301C47"/>
    <w:rsid w:val="0030280A"/>
    <w:rsid w:val="00303B86"/>
    <w:rsid w:val="00303BFD"/>
    <w:rsid w:val="00304A2B"/>
    <w:rsid w:val="003057C7"/>
    <w:rsid w:val="003068E9"/>
    <w:rsid w:val="00311494"/>
    <w:rsid w:val="00313136"/>
    <w:rsid w:val="003133E9"/>
    <w:rsid w:val="0031390E"/>
    <w:rsid w:val="00315011"/>
    <w:rsid w:val="00315979"/>
    <w:rsid w:val="00317414"/>
    <w:rsid w:val="00321691"/>
    <w:rsid w:val="003227F0"/>
    <w:rsid w:val="0032318D"/>
    <w:rsid w:val="0032612B"/>
    <w:rsid w:val="00326702"/>
    <w:rsid w:val="00327AC3"/>
    <w:rsid w:val="00332429"/>
    <w:rsid w:val="0033444C"/>
    <w:rsid w:val="0033568F"/>
    <w:rsid w:val="003372CD"/>
    <w:rsid w:val="00337E98"/>
    <w:rsid w:val="003407C3"/>
    <w:rsid w:val="00340B50"/>
    <w:rsid w:val="00341B4D"/>
    <w:rsid w:val="00341D76"/>
    <w:rsid w:val="003442D7"/>
    <w:rsid w:val="00344E45"/>
    <w:rsid w:val="00346691"/>
    <w:rsid w:val="0035088F"/>
    <w:rsid w:val="00357BC4"/>
    <w:rsid w:val="00360664"/>
    <w:rsid w:val="00361544"/>
    <w:rsid w:val="00361B8B"/>
    <w:rsid w:val="00362ABE"/>
    <w:rsid w:val="00362F45"/>
    <w:rsid w:val="003630A0"/>
    <w:rsid w:val="00363371"/>
    <w:rsid w:val="003634EC"/>
    <w:rsid w:val="00366877"/>
    <w:rsid w:val="003739F6"/>
    <w:rsid w:val="0037468A"/>
    <w:rsid w:val="00374D25"/>
    <w:rsid w:val="0037649F"/>
    <w:rsid w:val="00381D3F"/>
    <w:rsid w:val="00382110"/>
    <w:rsid w:val="00384F02"/>
    <w:rsid w:val="0038529F"/>
    <w:rsid w:val="003859E2"/>
    <w:rsid w:val="00386FBE"/>
    <w:rsid w:val="0038705A"/>
    <w:rsid w:val="00395A48"/>
    <w:rsid w:val="003979BD"/>
    <w:rsid w:val="00397A3B"/>
    <w:rsid w:val="003A674B"/>
    <w:rsid w:val="003B2236"/>
    <w:rsid w:val="003B3175"/>
    <w:rsid w:val="003B3781"/>
    <w:rsid w:val="003B6E27"/>
    <w:rsid w:val="003B7379"/>
    <w:rsid w:val="003B7740"/>
    <w:rsid w:val="003C239E"/>
    <w:rsid w:val="003C2C2A"/>
    <w:rsid w:val="003C2CCC"/>
    <w:rsid w:val="003D1430"/>
    <w:rsid w:val="003D45F7"/>
    <w:rsid w:val="003D6A0B"/>
    <w:rsid w:val="003D7589"/>
    <w:rsid w:val="003E0A8C"/>
    <w:rsid w:val="003E43F0"/>
    <w:rsid w:val="003E4DE4"/>
    <w:rsid w:val="003E5DCB"/>
    <w:rsid w:val="003F462A"/>
    <w:rsid w:val="00401351"/>
    <w:rsid w:val="00406380"/>
    <w:rsid w:val="00407984"/>
    <w:rsid w:val="00407F1E"/>
    <w:rsid w:val="00412701"/>
    <w:rsid w:val="00413511"/>
    <w:rsid w:val="004144E6"/>
    <w:rsid w:val="004156B2"/>
    <w:rsid w:val="0041707D"/>
    <w:rsid w:val="004202CA"/>
    <w:rsid w:val="00430CF5"/>
    <w:rsid w:val="00432286"/>
    <w:rsid w:val="0043487E"/>
    <w:rsid w:val="00434BFC"/>
    <w:rsid w:val="00435045"/>
    <w:rsid w:val="0043631D"/>
    <w:rsid w:val="00436383"/>
    <w:rsid w:val="00437734"/>
    <w:rsid w:val="004377DD"/>
    <w:rsid w:val="00437E79"/>
    <w:rsid w:val="00440CE6"/>
    <w:rsid w:val="00447F77"/>
    <w:rsid w:val="00450E33"/>
    <w:rsid w:val="004519AB"/>
    <w:rsid w:val="004519D7"/>
    <w:rsid w:val="0045218A"/>
    <w:rsid w:val="00452515"/>
    <w:rsid w:val="00455A67"/>
    <w:rsid w:val="0046217B"/>
    <w:rsid w:val="00463EA1"/>
    <w:rsid w:val="0046642A"/>
    <w:rsid w:val="00472653"/>
    <w:rsid w:val="00474EBA"/>
    <w:rsid w:val="00476BA3"/>
    <w:rsid w:val="00480AC3"/>
    <w:rsid w:val="004828D8"/>
    <w:rsid w:val="004846CC"/>
    <w:rsid w:val="004913CE"/>
    <w:rsid w:val="00492C17"/>
    <w:rsid w:val="00494E42"/>
    <w:rsid w:val="00497483"/>
    <w:rsid w:val="004974E1"/>
    <w:rsid w:val="004A1B9F"/>
    <w:rsid w:val="004A3ABB"/>
    <w:rsid w:val="004A49D8"/>
    <w:rsid w:val="004A5173"/>
    <w:rsid w:val="004B3E34"/>
    <w:rsid w:val="004C3050"/>
    <w:rsid w:val="004C5392"/>
    <w:rsid w:val="004D5C6B"/>
    <w:rsid w:val="004D5EEE"/>
    <w:rsid w:val="004D6151"/>
    <w:rsid w:val="004D6DF5"/>
    <w:rsid w:val="004E14DC"/>
    <w:rsid w:val="004E1875"/>
    <w:rsid w:val="004E1A92"/>
    <w:rsid w:val="004E2E6C"/>
    <w:rsid w:val="004E3A67"/>
    <w:rsid w:val="004E4852"/>
    <w:rsid w:val="004E4A6C"/>
    <w:rsid w:val="004E6402"/>
    <w:rsid w:val="004E771A"/>
    <w:rsid w:val="004F586D"/>
    <w:rsid w:val="00501478"/>
    <w:rsid w:val="005030A0"/>
    <w:rsid w:val="00504F10"/>
    <w:rsid w:val="005077FE"/>
    <w:rsid w:val="005113DA"/>
    <w:rsid w:val="00511F24"/>
    <w:rsid w:val="00511FD0"/>
    <w:rsid w:val="00512783"/>
    <w:rsid w:val="005130F7"/>
    <w:rsid w:val="005135ED"/>
    <w:rsid w:val="00517E74"/>
    <w:rsid w:val="00520070"/>
    <w:rsid w:val="00520D9B"/>
    <w:rsid w:val="0052198F"/>
    <w:rsid w:val="00526BB3"/>
    <w:rsid w:val="00532264"/>
    <w:rsid w:val="00533DC2"/>
    <w:rsid w:val="00534F97"/>
    <w:rsid w:val="00535598"/>
    <w:rsid w:val="00535AE5"/>
    <w:rsid w:val="0053700F"/>
    <w:rsid w:val="00540BCE"/>
    <w:rsid w:val="00541957"/>
    <w:rsid w:val="00541ECB"/>
    <w:rsid w:val="00545CF7"/>
    <w:rsid w:val="00547870"/>
    <w:rsid w:val="00547E99"/>
    <w:rsid w:val="00547EE3"/>
    <w:rsid w:val="0055178A"/>
    <w:rsid w:val="00551D8A"/>
    <w:rsid w:val="00553788"/>
    <w:rsid w:val="005544C7"/>
    <w:rsid w:val="005554FA"/>
    <w:rsid w:val="0056196C"/>
    <w:rsid w:val="00567491"/>
    <w:rsid w:val="00567605"/>
    <w:rsid w:val="0057047E"/>
    <w:rsid w:val="0057136C"/>
    <w:rsid w:val="00572A58"/>
    <w:rsid w:val="00573952"/>
    <w:rsid w:val="00574EA0"/>
    <w:rsid w:val="00577067"/>
    <w:rsid w:val="00581B36"/>
    <w:rsid w:val="00582B7F"/>
    <w:rsid w:val="0058332B"/>
    <w:rsid w:val="0058363E"/>
    <w:rsid w:val="00583E8E"/>
    <w:rsid w:val="00587908"/>
    <w:rsid w:val="00590BFD"/>
    <w:rsid w:val="00591AF5"/>
    <w:rsid w:val="0059636D"/>
    <w:rsid w:val="005965D0"/>
    <w:rsid w:val="005A0EC0"/>
    <w:rsid w:val="005A16F8"/>
    <w:rsid w:val="005A4E82"/>
    <w:rsid w:val="005B261B"/>
    <w:rsid w:val="005B4511"/>
    <w:rsid w:val="005B4745"/>
    <w:rsid w:val="005C01E8"/>
    <w:rsid w:val="005C1A6C"/>
    <w:rsid w:val="005C1B05"/>
    <w:rsid w:val="005C2C1F"/>
    <w:rsid w:val="005C75FE"/>
    <w:rsid w:val="005C7625"/>
    <w:rsid w:val="005D08C0"/>
    <w:rsid w:val="005D25B4"/>
    <w:rsid w:val="005D3419"/>
    <w:rsid w:val="005D567C"/>
    <w:rsid w:val="005D676C"/>
    <w:rsid w:val="005D7C5E"/>
    <w:rsid w:val="005F2953"/>
    <w:rsid w:val="005F5558"/>
    <w:rsid w:val="005F6ECB"/>
    <w:rsid w:val="005F7143"/>
    <w:rsid w:val="006015F0"/>
    <w:rsid w:val="00601EBD"/>
    <w:rsid w:val="00602A2F"/>
    <w:rsid w:val="00602CCE"/>
    <w:rsid w:val="0060386E"/>
    <w:rsid w:val="00603F07"/>
    <w:rsid w:val="006073E2"/>
    <w:rsid w:val="00611C50"/>
    <w:rsid w:val="006168C2"/>
    <w:rsid w:val="00620B85"/>
    <w:rsid w:val="00623262"/>
    <w:rsid w:val="006232CC"/>
    <w:rsid w:val="0062471C"/>
    <w:rsid w:val="00626480"/>
    <w:rsid w:val="006311A7"/>
    <w:rsid w:val="00631C35"/>
    <w:rsid w:val="00631D3F"/>
    <w:rsid w:val="00632B3C"/>
    <w:rsid w:val="006337FF"/>
    <w:rsid w:val="00640344"/>
    <w:rsid w:val="00640E08"/>
    <w:rsid w:val="00641054"/>
    <w:rsid w:val="00642821"/>
    <w:rsid w:val="0064542D"/>
    <w:rsid w:val="00653AE0"/>
    <w:rsid w:val="00654B31"/>
    <w:rsid w:val="00657540"/>
    <w:rsid w:val="00661C5C"/>
    <w:rsid w:val="006645A1"/>
    <w:rsid w:val="0066537B"/>
    <w:rsid w:val="00670A8E"/>
    <w:rsid w:val="006764D7"/>
    <w:rsid w:val="0068036E"/>
    <w:rsid w:val="00682C5E"/>
    <w:rsid w:val="00687192"/>
    <w:rsid w:val="006923C9"/>
    <w:rsid w:val="00692B63"/>
    <w:rsid w:val="006A6B23"/>
    <w:rsid w:val="006A7AC1"/>
    <w:rsid w:val="006B1998"/>
    <w:rsid w:val="006B42FE"/>
    <w:rsid w:val="006B5943"/>
    <w:rsid w:val="006B6D4A"/>
    <w:rsid w:val="006B7448"/>
    <w:rsid w:val="006B7F63"/>
    <w:rsid w:val="006C08D2"/>
    <w:rsid w:val="006C1783"/>
    <w:rsid w:val="006C2DA5"/>
    <w:rsid w:val="006C378D"/>
    <w:rsid w:val="006C3E6A"/>
    <w:rsid w:val="006C438C"/>
    <w:rsid w:val="006C4E6B"/>
    <w:rsid w:val="006C50DB"/>
    <w:rsid w:val="006C641C"/>
    <w:rsid w:val="006C7F35"/>
    <w:rsid w:val="006D03A4"/>
    <w:rsid w:val="006D3A48"/>
    <w:rsid w:val="006D6160"/>
    <w:rsid w:val="006D6F1E"/>
    <w:rsid w:val="006E09AC"/>
    <w:rsid w:val="006E1297"/>
    <w:rsid w:val="006F1879"/>
    <w:rsid w:val="006F2B33"/>
    <w:rsid w:val="006F3614"/>
    <w:rsid w:val="006F669A"/>
    <w:rsid w:val="006F6A29"/>
    <w:rsid w:val="00705674"/>
    <w:rsid w:val="00705BE7"/>
    <w:rsid w:val="00707493"/>
    <w:rsid w:val="00715C3B"/>
    <w:rsid w:val="00725BCF"/>
    <w:rsid w:val="00725D58"/>
    <w:rsid w:val="00726BE1"/>
    <w:rsid w:val="007308C4"/>
    <w:rsid w:val="00731FB6"/>
    <w:rsid w:val="00732659"/>
    <w:rsid w:val="00733FC5"/>
    <w:rsid w:val="00736281"/>
    <w:rsid w:val="00740655"/>
    <w:rsid w:val="00741D56"/>
    <w:rsid w:val="00742FFE"/>
    <w:rsid w:val="00743C01"/>
    <w:rsid w:val="007449D3"/>
    <w:rsid w:val="007459C3"/>
    <w:rsid w:val="007471BA"/>
    <w:rsid w:val="00752379"/>
    <w:rsid w:val="0075244B"/>
    <w:rsid w:val="00754076"/>
    <w:rsid w:val="007555B5"/>
    <w:rsid w:val="0075588F"/>
    <w:rsid w:val="00755D8B"/>
    <w:rsid w:val="00756D70"/>
    <w:rsid w:val="007604EA"/>
    <w:rsid w:val="00760A2B"/>
    <w:rsid w:val="00763824"/>
    <w:rsid w:val="00763DDA"/>
    <w:rsid w:val="00766965"/>
    <w:rsid w:val="007703D2"/>
    <w:rsid w:val="00770417"/>
    <w:rsid w:val="00770D4C"/>
    <w:rsid w:val="00770FD2"/>
    <w:rsid w:val="0077110E"/>
    <w:rsid w:val="00774CA4"/>
    <w:rsid w:val="00774FAA"/>
    <w:rsid w:val="00777B5F"/>
    <w:rsid w:val="007837EF"/>
    <w:rsid w:val="00784EB8"/>
    <w:rsid w:val="0078688E"/>
    <w:rsid w:val="00790C4A"/>
    <w:rsid w:val="0079114B"/>
    <w:rsid w:val="0079313F"/>
    <w:rsid w:val="007932BB"/>
    <w:rsid w:val="0079562D"/>
    <w:rsid w:val="00795A71"/>
    <w:rsid w:val="007A4135"/>
    <w:rsid w:val="007A4DE8"/>
    <w:rsid w:val="007B3202"/>
    <w:rsid w:val="007B3CBC"/>
    <w:rsid w:val="007B5208"/>
    <w:rsid w:val="007B5995"/>
    <w:rsid w:val="007B5EFC"/>
    <w:rsid w:val="007B7786"/>
    <w:rsid w:val="007B7989"/>
    <w:rsid w:val="007C3363"/>
    <w:rsid w:val="007C480F"/>
    <w:rsid w:val="007C5DD0"/>
    <w:rsid w:val="007D0ADF"/>
    <w:rsid w:val="007D1298"/>
    <w:rsid w:val="007D1439"/>
    <w:rsid w:val="007D18E0"/>
    <w:rsid w:val="007D27BC"/>
    <w:rsid w:val="007D2B1D"/>
    <w:rsid w:val="007D2BB8"/>
    <w:rsid w:val="007D5CA9"/>
    <w:rsid w:val="007D695F"/>
    <w:rsid w:val="007D7479"/>
    <w:rsid w:val="007E44D5"/>
    <w:rsid w:val="007E5BD2"/>
    <w:rsid w:val="007E726C"/>
    <w:rsid w:val="007E73E3"/>
    <w:rsid w:val="007F0353"/>
    <w:rsid w:val="007F0BF1"/>
    <w:rsid w:val="007F2ECF"/>
    <w:rsid w:val="007F4964"/>
    <w:rsid w:val="00800E72"/>
    <w:rsid w:val="008015D3"/>
    <w:rsid w:val="00803CB4"/>
    <w:rsid w:val="00805225"/>
    <w:rsid w:val="00811DF5"/>
    <w:rsid w:val="00813575"/>
    <w:rsid w:val="008137D5"/>
    <w:rsid w:val="00814F16"/>
    <w:rsid w:val="008202B0"/>
    <w:rsid w:val="00821F4B"/>
    <w:rsid w:val="00822B79"/>
    <w:rsid w:val="00822FE0"/>
    <w:rsid w:val="00826193"/>
    <w:rsid w:val="00826C9E"/>
    <w:rsid w:val="008273D7"/>
    <w:rsid w:val="008309E4"/>
    <w:rsid w:val="00833757"/>
    <w:rsid w:val="00833D43"/>
    <w:rsid w:val="00836F7E"/>
    <w:rsid w:val="00842C14"/>
    <w:rsid w:val="008451C1"/>
    <w:rsid w:val="00845B74"/>
    <w:rsid w:val="008479DD"/>
    <w:rsid w:val="00851FDC"/>
    <w:rsid w:val="008531FF"/>
    <w:rsid w:val="00853ADF"/>
    <w:rsid w:val="0085570C"/>
    <w:rsid w:val="008559B8"/>
    <w:rsid w:val="00863AD7"/>
    <w:rsid w:val="00864DD3"/>
    <w:rsid w:val="00866277"/>
    <w:rsid w:val="00867CFC"/>
    <w:rsid w:val="008727B7"/>
    <w:rsid w:val="00872F18"/>
    <w:rsid w:val="008730EB"/>
    <w:rsid w:val="00874EF7"/>
    <w:rsid w:val="008753B7"/>
    <w:rsid w:val="00876312"/>
    <w:rsid w:val="0087637E"/>
    <w:rsid w:val="0087648D"/>
    <w:rsid w:val="0088324D"/>
    <w:rsid w:val="00883F30"/>
    <w:rsid w:val="008860BE"/>
    <w:rsid w:val="00891009"/>
    <w:rsid w:val="008942C9"/>
    <w:rsid w:val="008A6693"/>
    <w:rsid w:val="008A6DF4"/>
    <w:rsid w:val="008B15DB"/>
    <w:rsid w:val="008B3332"/>
    <w:rsid w:val="008B449D"/>
    <w:rsid w:val="008B7F86"/>
    <w:rsid w:val="008C06A5"/>
    <w:rsid w:val="008C22B3"/>
    <w:rsid w:val="008D06D3"/>
    <w:rsid w:val="008D1B39"/>
    <w:rsid w:val="008D3307"/>
    <w:rsid w:val="008D457E"/>
    <w:rsid w:val="008E2853"/>
    <w:rsid w:val="008E57BB"/>
    <w:rsid w:val="008E6C4D"/>
    <w:rsid w:val="008E6F0C"/>
    <w:rsid w:val="008E75C5"/>
    <w:rsid w:val="008E7F29"/>
    <w:rsid w:val="008F00F3"/>
    <w:rsid w:val="008F3D6B"/>
    <w:rsid w:val="008F5A12"/>
    <w:rsid w:val="008F7F87"/>
    <w:rsid w:val="00900981"/>
    <w:rsid w:val="00901F7B"/>
    <w:rsid w:val="00902A65"/>
    <w:rsid w:val="0090315B"/>
    <w:rsid w:val="00905951"/>
    <w:rsid w:val="00907579"/>
    <w:rsid w:val="0091050C"/>
    <w:rsid w:val="0091609B"/>
    <w:rsid w:val="00916FC1"/>
    <w:rsid w:val="009204B4"/>
    <w:rsid w:val="0092091E"/>
    <w:rsid w:val="00923793"/>
    <w:rsid w:val="009255A2"/>
    <w:rsid w:val="00926E5F"/>
    <w:rsid w:val="00930617"/>
    <w:rsid w:val="00931376"/>
    <w:rsid w:val="009318BD"/>
    <w:rsid w:val="00931D5A"/>
    <w:rsid w:val="00934F8D"/>
    <w:rsid w:val="00935EEF"/>
    <w:rsid w:val="00936D01"/>
    <w:rsid w:val="009431CA"/>
    <w:rsid w:val="0094348B"/>
    <w:rsid w:val="0094506C"/>
    <w:rsid w:val="00950310"/>
    <w:rsid w:val="00950584"/>
    <w:rsid w:val="00950DD0"/>
    <w:rsid w:val="00953F07"/>
    <w:rsid w:val="00954BF6"/>
    <w:rsid w:val="00955239"/>
    <w:rsid w:val="00956349"/>
    <w:rsid w:val="009573E1"/>
    <w:rsid w:val="00957DF3"/>
    <w:rsid w:val="0096036D"/>
    <w:rsid w:val="00966E8D"/>
    <w:rsid w:val="00970521"/>
    <w:rsid w:val="00973286"/>
    <w:rsid w:val="00974B55"/>
    <w:rsid w:val="00976C98"/>
    <w:rsid w:val="00977F01"/>
    <w:rsid w:val="00980874"/>
    <w:rsid w:val="00981C37"/>
    <w:rsid w:val="0098654C"/>
    <w:rsid w:val="00987C26"/>
    <w:rsid w:val="00990DDE"/>
    <w:rsid w:val="00990EA4"/>
    <w:rsid w:val="009919F6"/>
    <w:rsid w:val="009923D4"/>
    <w:rsid w:val="009944A4"/>
    <w:rsid w:val="00994743"/>
    <w:rsid w:val="009958E4"/>
    <w:rsid w:val="0099659C"/>
    <w:rsid w:val="00997B12"/>
    <w:rsid w:val="009A0DF4"/>
    <w:rsid w:val="009A1ADB"/>
    <w:rsid w:val="009A1D70"/>
    <w:rsid w:val="009A6065"/>
    <w:rsid w:val="009A62E2"/>
    <w:rsid w:val="009A666B"/>
    <w:rsid w:val="009A6841"/>
    <w:rsid w:val="009A76C8"/>
    <w:rsid w:val="009B0CE7"/>
    <w:rsid w:val="009B1790"/>
    <w:rsid w:val="009B2161"/>
    <w:rsid w:val="009B32D9"/>
    <w:rsid w:val="009B3BA5"/>
    <w:rsid w:val="009B6056"/>
    <w:rsid w:val="009B699B"/>
    <w:rsid w:val="009B6BB8"/>
    <w:rsid w:val="009C0C2F"/>
    <w:rsid w:val="009C100A"/>
    <w:rsid w:val="009C3C41"/>
    <w:rsid w:val="009C3CF1"/>
    <w:rsid w:val="009C3E71"/>
    <w:rsid w:val="009C5970"/>
    <w:rsid w:val="009C61AE"/>
    <w:rsid w:val="009C6CD7"/>
    <w:rsid w:val="009D4506"/>
    <w:rsid w:val="009D4F6C"/>
    <w:rsid w:val="009E02A4"/>
    <w:rsid w:val="009E2287"/>
    <w:rsid w:val="009E245A"/>
    <w:rsid w:val="009E7D89"/>
    <w:rsid w:val="009F1434"/>
    <w:rsid w:val="009F1A1F"/>
    <w:rsid w:val="009F264E"/>
    <w:rsid w:val="009F4F48"/>
    <w:rsid w:val="009F753A"/>
    <w:rsid w:val="00A069BB"/>
    <w:rsid w:val="00A17DA3"/>
    <w:rsid w:val="00A21B03"/>
    <w:rsid w:val="00A2219C"/>
    <w:rsid w:val="00A247A2"/>
    <w:rsid w:val="00A26E0B"/>
    <w:rsid w:val="00A30202"/>
    <w:rsid w:val="00A33635"/>
    <w:rsid w:val="00A34F1F"/>
    <w:rsid w:val="00A402C1"/>
    <w:rsid w:val="00A41C8E"/>
    <w:rsid w:val="00A4212B"/>
    <w:rsid w:val="00A42FD6"/>
    <w:rsid w:val="00A43875"/>
    <w:rsid w:val="00A4439C"/>
    <w:rsid w:val="00A45297"/>
    <w:rsid w:val="00A464CB"/>
    <w:rsid w:val="00A47566"/>
    <w:rsid w:val="00A50219"/>
    <w:rsid w:val="00A5026A"/>
    <w:rsid w:val="00A515F5"/>
    <w:rsid w:val="00A52629"/>
    <w:rsid w:val="00A57E58"/>
    <w:rsid w:val="00A57FCC"/>
    <w:rsid w:val="00A606D4"/>
    <w:rsid w:val="00A60BD4"/>
    <w:rsid w:val="00A622D5"/>
    <w:rsid w:val="00A63677"/>
    <w:rsid w:val="00A6396D"/>
    <w:rsid w:val="00A64232"/>
    <w:rsid w:val="00A65730"/>
    <w:rsid w:val="00A71743"/>
    <w:rsid w:val="00A7386F"/>
    <w:rsid w:val="00A77243"/>
    <w:rsid w:val="00A81055"/>
    <w:rsid w:val="00A81C53"/>
    <w:rsid w:val="00A82694"/>
    <w:rsid w:val="00A85447"/>
    <w:rsid w:val="00A937D9"/>
    <w:rsid w:val="00A94D7A"/>
    <w:rsid w:val="00A97CF7"/>
    <w:rsid w:val="00AA4D6E"/>
    <w:rsid w:val="00AA4E92"/>
    <w:rsid w:val="00AA53A6"/>
    <w:rsid w:val="00AA54A6"/>
    <w:rsid w:val="00AA72F5"/>
    <w:rsid w:val="00AB0016"/>
    <w:rsid w:val="00AB1949"/>
    <w:rsid w:val="00AB1B0F"/>
    <w:rsid w:val="00AB3E7F"/>
    <w:rsid w:val="00AB5CF3"/>
    <w:rsid w:val="00AB7C11"/>
    <w:rsid w:val="00AC5E5C"/>
    <w:rsid w:val="00AC62A0"/>
    <w:rsid w:val="00AD04F0"/>
    <w:rsid w:val="00AD2868"/>
    <w:rsid w:val="00AD5786"/>
    <w:rsid w:val="00AD6893"/>
    <w:rsid w:val="00AE185D"/>
    <w:rsid w:val="00AE2045"/>
    <w:rsid w:val="00AE46B0"/>
    <w:rsid w:val="00AE4CB3"/>
    <w:rsid w:val="00AE6101"/>
    <w:rsid w:val="00AE628E"/>
    <w:rsid w:val="00AF15B9"/>
    <w:rsid w:val="00AF4849"/>
    <w:rsid w:val="00AF5252"/>
    <w:rsid w:val="00B00836"/>
    <w:rsid w:val="00B02CE3"/>
    <w:rsid w:val="00B035B8"/>
    <w:rsid w:val="00B052C3"/>
    <w:rsid w:val="00B12771"/>
    <w:rsid w:val="00B15312"/>
    <w:rsid w:val="00B2185C"/>
    <w:rsid w:val="00B24B51"/>
    <w:rsid w:val="00B265C0"/>
    <w:rsid w:val="00B276CF"/>
    <w:rsid w:val="00B30420"/>
    <w:rsid w:val="00B30F4C"/>
    <w:rsid w:val="00B367BE"/>
    <w:rsid w:val="00B37065"/>
    <w:rsid w:val="00B44C2D"/>
    <w:rsid w:val="00B45A07"/>
    <w:rsid w:val="00B46767"/>
    <w:rsid w:val="00B46D2F"/>
    <w:rsid w:val="00B46E23"/>
    <w:rsid w:val="00B47884"/>
    <w:rsid w:val="00B47C54"/>
    <w:rsid w:val="00B52061"/>
    <w:rsid w:val="00B52859"/>
    <w:rsid w:val="00B53C27"/>
    <w:rsid w:val="00B61DD9"/>
    <w:rsid w:val="00B61EC4"/>
    <w:rsid w:val="00B6412E"/>
    <w:rsid w:val="00B649D5"/>
    <w:rsid w:val="00B64D45"/>
    <w:rsid w:val="00B64FE1"/>
    <w:rsid w:val="00B65B3B"/>
    <w:rsid w:val="00B65E0D"/>
    <w:rsid w:val="00B66A21"/>
    <w:rsid w:val="00B67C0D"/>
    <w:rsid w:val="00B707C0"/>
    <w:rsid w:val="00B72998"/>
    <w:rsid w:val="00B73AA7"/>
    <w:rsid w:val="00B73EA0"/>
    <w:rsid w:val="00B74F67"/>
    <w:rsid w:val="00B74FF9"/>
    <w:rsid w:val="00B7626D"/>
    <w:rsid w:val="00B773E9"/>
    <w:rsid w:val="00B809B3"/>
    <w:rsid w:val="00B813FF"/>
    <w:rsid w:val="00B850D9"/>
    <w:rsid w:val="00B8538A"/>
    <w:rsid w:val="00B855FB"/>
    <w:rsid w:val="00B86D1B"/>
    <w:rsid w:val="00B9188E"/>
    <w:rsid w:val="00B94860"/>
    <w:rsid w:val="00B97F67"/>
    <w:rsid w:val="00BA08C8"/>
    <w:rsid w:val="00BA0A58"/>
    <w:rsid w:val="00BA2ED1"/>
    <w:rsid w:val="00BA2F0A"/>
    <w:rsid w:val="00BA38C2"/>
    <w:rsid w:val="00BA3C12"/>
    <w:rsid w:val="00BA5BF2"/>
    <w:rsid w:val="00BB2F20"/>
    <w:rsid w:val="00BB3628"/>
    <w:rsid w:val="00BB5AEE"/>
    <w:rsid w:val="00BC1C41"/>
    <w:rsid w:val="00BC3B1A"/>
    <w:rsid w:val="00BC4290"/>
    <w:rsid w:val="00BD1068"/>
    <w:rsid w:val="00BD234B"/>
    <w:rsid w:val="00BD26AD"/>
    <w:rsid w:val="00BD4C91"/>
    <w:rsid w:val="00BD56BC"/>
    <w:rsid w:val="00BD653C"/>
    <w:rsid w:val="00BD688E"/>
    <w:rsid w:val="00BE1A35"/>
    <w:rsid w:val="00BE2ADA"/>
    <w:rsid w:val="00BE30B7"/>
    <w:rsid w:val="00BF0BF7"/>
    <w:rsid w:val="00BF0C78"/>
    <w:rsid w:val="00BF26C7"/>
    <w:rsid w:val="00BF3A67"/>
    <w:rsid w:val="00BF4C07"/>
    <w:rsid w:val="00BF5713"/>
    <w:rsid w:val="00BF59F6"/>
    <w:rsid w:val="00BF6EA7"/>
    <w:rsid w:val="00BF715D"/>
    <w:rsid w:val="00C0333E"/>
    <w:rsid w:val="00C03C4A"/>
    <w:rsid w:val="00C074FA"/>
    <w:rsid w:val="00C07F95"/>
    <w:rsid w:val="00C1079D"/>
    <w:rsid w:val="00C10FE4"/>
    <w:rsid w:val="00C1205D"/>
    <w:rsid w:val="00C13753"/>
    <w:rsid w:val="00C1542A"/>
    <w:rsid w:val="00C15675"/>
    <w:rsid w:val="00C2005E"/>
    <w:rsid w:val="00C220B7"/>
    <w:rsid w:val="00C24410"/>
    <w:rsid w:val="00C26502"/>
    <w:rsid w:val="00C26570"/>
    <w:rsid w:val="00C30B8C"/>
    <w:rsid w:val="00C331C7"/>
    <w:rsid w:val="00C3358B"/>
    <w:rsid w:val="00C353A0"/>
    <w:rsid w:val="00C35F07"/>
    <w:rsid w:val="00C36682"/>
    <w:rsid w:val="00C36D9A"/>
    <w:rsid w:val="00C3796A"/>
    <w:rsid w:val="00C37F41"/>
    <w:rsid w:val="00C42324"/>
    <w:rsid w:val="00C478EA"/>
    <w:rsid w:val="00C47C4A"/>
    <w:rsid w:val="00C510FD"/>
    <w:rsid w:val="00C51E33"/>
    <w:rsid w:val="00C554E6"/>
    <w:rsid w:val="00C57074"/>
    <w:rsid w:val="00C62BDF"/>
    <w:rsid w:val="00C64D98"/>
    <w:rsid w:val="00C665A9"/>
    <w:rsid w:val="00C673B0"/>
    <w:rsid w:val="00C71A3F"/>
    <w:rsid w:val="00C75DE1"/>
    <w:rsid w:val="00C75F3D"/>
    <w:rsid w:val="00C81384"/>
    <w:rsid w:val="00C8345A"/>
    <w:rsid w:val="00C84D56"/>
    <w:rsid w:val="00C853D8"/>
    <w:rsid w:val="00C8566C"/>
    <w:rsid w:val="00C87783"/>
    <w:rsid w:val="00C944EC"/>
    <w:rsid w:val="00C96E11"/>
    <w:rsid w:val="00C973F7"/>
    <w:rsid w:val="00CA0F72"/>
    <w:rsid w:val="00CA11F2"/>
    <w:rsid w:val="00CA1FBA"/>
    <w:rsid w:val="00CA24C5"/>
    <w:rsid w:val="00CA6C32"/>
    <w:rsid w:val="00CA7BD3"/>
    <w:rsid w:val="00CA7E3E"/>
    <w:rsid w:val="00CB005D"/>
    <w:rsid w:val="00CB08A8"/>
    <w:rsid w:val="00CB1B4E"/>
    <w:rsid w:val="00CB67EA"/>
    <w:rsid w:val="00CB763E"/>
    <w:rsid w:val="00CC3865"/>
    <w:rsid w:val="00CC401B"/>
    <w:rsid w:val="00CC57BE"/>
    <w:rsid w:val="00CC5A91"/>
    <w:rsid w:val="00CD00EA"/>
    <w:rsid w:val="00CD1B7E"/>
    <w:rsid w:val="00CD7E8A"/>
    <w:rsid w:val="00CE27F9"/>
    <w:rsid w:val="00CE2EA8"/>
    <w:rsid w:val="00CE3067"/>
    <w:rsid w:val="00CE6739"/>
    <w:rsid w:val="00CE718B"/>
    <w:rsid w:val="00CF0586"/>
    <w:rsid w:val="00CF0AE4"/>
    <w:rsid w:val="00CF7676"/>
    <w:rsid w:val="00D00090"/>
    <w:rsid w:val="00D00A11"/>
    <w:rsid w:val="00D031F3"/>
    <w:rsid w:val="00D034CB"/>
    <w:rsid w:val="00D0522F"/>
    <w:rsid w:val="00D056BA"/>
    <w:rsid w:val="00D06294"/>
    <w:rsid w:val="00D07D43"/>
    <w:rsid w:val="00D10420"/>
    <w:rsid w:val="00D15B0D"/>
    <w:rsid w:val="00D15C36"/>
    <w:rsid w:val="00D20F0C"/>
    <w:rsid w:val="00D21FE0"/>
    <w:rsid w:val="00D2329A"/>
    <w:rsid w:val="00D25918"/>
    <w:rsid w:val="00D30C5D"/>
    <w:rsid w:val="00D328B8"/>
    <w:rsid w:val="00D33634"/>
    <w:rsid w:val="00D343F9"/>
    <w:rsid w:val="00D3591A"/>
    <w:rsid w:val="00D40910"/>
    <w:rsid w:val="00D43FC8"/>
    <w:rsid w:val="00D47A1D"/>
    <w:rsid w:val="00D51D40"/>
    <w:rsid w:val="00D52F90"/>
    <w:rsid w:val="00D6287F"/>
    <w:rsid w:val="00D64CBB"/>
    <w:rsid w:val="00D67C3B"/>
    <w:rsid w:val="00D72D13"/>
    <w:rsid w:val="00D73308"/>
    <w:rsid w:val="00D73367"/>
    <w:rsid w:val="00D74CFF"/>
    <w:rsid w:val="00D750D5"/>
    <w:rsid w:val="00D8797B"/>
    <w:rsid w:val="00D905D6"/>
    <w:rsid w:val="00D90A27"/>
    <w:rsid w:val="00D91678"/>
    <w:rsid w:val="00D92CCD"/>
    <w:rsid w:val="00D9396F"/>
    <w:rsid w:val="00D9621D"/>
    <w:rsid w:val="00D97C29"/>
    <w:rsid w:val="00DA1322"/>
    <w:rsid w:val="00DA3DB5"/>
    <w:rsid w:val="00DA4AE9"/>
    <w:rsid w:val="00DA59F0"/>
    <w:rsid w:val="00DB013A"/>
    <w:rsid w:val="00DB0E58"/>
    <w:rsid w:val="00DB66E9"/>
    <w:rsid w:val="00DC08E0"/>
    <w:rsid w:val="00DC425D"/>
    <w:rsid w:val="00DC6DF0"/>
    <w:rsid w:val="00DC781A"/>
    <w:rsid w:val="00DD0B2A"/>
    <w:rsid w:val="00DD1AA4"/>
    <w:rsid w:val="00DD6D1B"/>
    <w:rsid w:val="00DE1FDE"/>
    <w:rsid w:val="00DE2E58"/>
    <w:rsid w:val="00DE5179"/>
    <w:rsid w:val="00DE549E"/>
    <w:rsid w:val="00DF0220"/>
    <w:rsid w:val="00DF276E"/>
    <w:rsid w:val="00DF4BC7"/>
    <w:rsid w:val="00DF790A"/>
    <w:rsid w:val="00E003D2"/>
    <w:rsid w:val="00E0062C"/>
    <w:rsid w:val="00E03378"/>
    <w:rsid w:val="00E04954"/>
    <w:rsid w:val="00E04BD8"/>
    <w:rsid w:val="00E05E0F"/>
    <w:rsid w:val="00E06D63"/>
    <w:rsid w:val="00E107BB"/>
    <w:rsid w:val="00E14146"/>
    <w:rsid w:val="00E1603B"/>
    <w:rsid w:val="00E17112"/>
    <w:rsid w:val="00E22EA9"/>
    <w:rsid w:val="00E24A6B"/>
    <w:rsid w:val="00E2660D"/>
    <w:rsid w:val="00E273C4"/>
    <w:rsid w:val="00E30184"/>
    <w:rsid w:val="00E324AE"/>
    <w:rsid w:val="00E32A42"/>
    <w:rsid w:val="00E35E0F"/>
    <w:rsid w:val="00E36F6B"/>
    <w:rsid w:val="00E371D1"/>
    <w:rsid w:val="00E44211"/>
    <w:rsid w:val="00E47EB2"/>
    <w:rsid w:val="00E5241F"/>
    <w:rsid w:val="00E53738"/>
    <w:rsid w:val="00E57ACA"/>
    <w:rsid w:val="00E61227"/>
    <w:rsid w:val="00E626C1"/>
    <w:rsid w:val="00E65AB9"/>
    <w:rsid w:val="00E660E7"/>
    <w:rsid w:val="00E6710A"/>
    <w:rsid w:val="00E6772B"/>
    <w:rsid w:val="00E710DF"/>
    <w:rsid w:val="00E71B63"/>
    <w:rsid w:val="00E74E16"/>
    <w:rsid w:val="00E84F3B"/>
    <w:rsid w:val="00E919DB"/>
    <w:rsid w:val="00E92CC3"/>
    <w:rsid w:val="00E95C98"/>
    <w:rsid w:val="00E95DC8"/>
    <w:rsid w:val="00E96594"/>
    <w:rsid w:val="00EA1C9E"/>
    <w:rsid w:val="00EA2676"/>
    <w:rsid w:val="00EA3BB2"/>
    <w:rsid w:val="00EA6697"/>
    <w:rsid w:val="00EA736A"/>
    <w:rsid w:val="00EB0DB3"/>
    <w:rsid w:val="00EB11DD"/>
    <w:rsid w:val="00EB144C"/>
    <w:rsid w:val="00EB3A0C"/>
    <w:rsid w:val="00EB6860"/>
    <w:rsid w:val="00EB68CD"/>
    <w:rsid w:val="00EB77A4"/>
    <w:rsid w:val="00EB7C71"/>
    <w:rsid w:val="00EC0F81"/>
    <w:rsid w:val="00EC19DA"/>
    <w:rsid w:val="00EC4414"/>
    <w:rsid w:val="00EC5178"/>
    <w:rsid w:val="00EC7DFE"/>
    <w:rsid w:val="00ED19A9"/>
    <w:rsid w:val="00ED1F6D"/>
    <w:rsid w:val="00ED3FD5"/>
    <w:rsid w:val="00ED450F"/>
    <w:rsid w:val="00ED5F67"/>
    <w:rsid w:val="00EE1C5F"/>
    <w:rsid w:val="00EE4D52"/>
    <w:rsid w:val="00EE52F0"/>
    <w:rsid w:val="00EF0113"/>
    <w:rsid w:val="00EF08AE"/>
    <w:rsid w:val="00EF24DF"/>
    <w:rsid w:val="00EF2813"/>
    <w:rsid w:val="00EF480F"/>
    <w:rsid w:val="00EF4B63"/>
    <w:rsid w:val="00EF5790"/>
    <w:rsid w:val="00EF5916"/>
    <w:rsid w:val="00F030A5"/>
    <w:rsid w:val="00F032F2"/>
    <w:rsid w:val="00F03A5B"/>
    <w:rsid w:val="00F03FD7"/>
    <w:rsid w:val="00F0602A"/>
    <w:rsid w:val="00F060A7"/>
    <w:rsid w:val="00F07349"/>
    <w:rsid w:val="00F12C6B"/>
    <w:rsid w:val="00F15F19"/>
    <w:rsid w:val="00F17EBA"/>
    <w:rsid w:val="00F23C32"/>
    <w:rsid w:val="00F23FD5"/>
    <w:rsid w:val="00F256A6"/>
    <w:rsid w:val="00F25D7E"/>
    <w:rsid w:val="00F265D6"/>
    <w:rsid w:val="00F334AA"/>
    <w:rsid w:val="00F40A56"/>
    <w:rsid w:val="00F41BEF"/>
    <w:rsid w:val="00F422A5"/>
    <w:rsid w:val="00F44489"/>
    <w:rsid w:val="00F45E87"/>
    <w:rsid w:val="00F461DD"/>
    <w:rsid w:val="00F475EF"/>
    <w:rsid w:val="00F479A7"/>
    <w:rsid w:val="00F47D65"/>
    <w:rsid w:val="00F5003E"/>
    <w:rsid w:val="00F5478B"/>
    <w:rsid w:val="00F56012"/>
    <w:rsid w:val="00F62E71"/>
    <w:rsid w:val="00F62E9D"/>
    <w:rsid w:val="00F632DC"/>
    <w:rsid w:val="00F7183A"/>
    <w:rsid w:val="00F718A3"/>
    <w:rsid w:val="00F75CDE"/>
    <w:rsid w:val="00F7756F"/>
    <w:rsid w:val="00F77B94"/>
    <w:rsid w:val="00F77FD2"/>
    <w:rsid w:val="00F80FAE"/>
    <w:rsid w:val="00F814AD"/>
    <w:rsid w:val="00F839FD"/>
    <w:rsid w:val="00F84450"/>
    <w:rsid w:val="00F84E5A"/>
    <w:rsid w:val="00F85640"/>
    <w:rsid w:val="00F91EE4"/>
    <w:rsid w:val="00F93966"/>
    <w:rsid w:val="00F94F91"/>
    <w:rsid w:val="00F965EB"/>
    <w:rsid w:val="00FA073F"/>
    <w:rsid w:val="00FB001F"/>
    <w:rsid w:val="00FB020E"/>
    <w:rsid w:val="00FB1817"/>
    <w:rsid w:val="00FB7061"/>
    <w:rsid w:val="00FB7172"/>
    <w:rsid w:val="00FB7ED8"/>
    <w:rsid w:val="00FC2B72"/>
    <w:rsid w:val="00FC31CD"/>
    <w:rsid w:val="00FC3FB7"/>
    <w:rsid w:val="00FC7344"/>
    <w:rsid w:val="00FD0B6F"/>
    <w:rsid w:val="00FD13FB"/>
    <w:rsid w:val="00FD2F4A"/>
    <w:rsid w:val="00FD34C6"/>
    <w:rsid w:val="00FD3F3F"/>
    <w:rsid w:val="00FE2075"/>
    <w:rsid w:val="00FE297B"/>
    <w:rsid w:val="00FE37C1"/>
    <w:rsid w:val="00FE44F3"/>
    <w:rsid w:val="00FE58BF"/>
    <w:rsid w:val="00FE6EC6"/>
    <w:rsid w:val="00FE6F10"/>
    <w:rsid w:val="00FE7339"/>
    <w:rsid w:val="00FE7490"/>
    <w:rsid w:val="00FF272F"/>
    <w:rsid w:val="00FF32BE"/>
    <w:rsid w:val="00FF3432"/>
    <w:rsid w:val="00FF4B00"/>
    <w:rsid w:val="00FF5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FF7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35"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paragraph" w:styleId="Heading2">
    <w:name w:val="heading 2"/>
    <w:basedOn w:val="Normal"/>
    <w:next w:val="Normal"/>
    <w:link w:val="Heading2Char"/>
    <w:qFormat/>
    <w:locked/>
    <w:rsid w:val="00F77FD2"/>
    <w:pPr>
      <w:spacing w:after="0" w:line="240" w:lineRule="auto"/>
      <w:ind w:left="360"/>
      <w:jc w:val="both"/>
      <w:outlineLvl w:val="1"/>
    </w:pPr>
    <w:rPr>
      <w:rFonts w:ascii="Arial" w:eastAsia="Times New Roman" w:hAnsi="Arial" w:cs="Arial"/>
      <w:b/>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character" w:styleId="FollowedHyperlink">
    <w:name w:val="FollowedHyperlink"/>
    <w:basedOn w:val="DefaultParagraphFont"/>
    <w:uiPriority w:val="99"/>
    <w:semiHidden/>
    <w:unhideWhenUsed/>
    <w:rsid w:val="00363371"/>
    <w:rPr>
      <w:color w:val="800080" w:themeColor="followedHyperlink"/>
      <w:u w:val="single"/>
    </w:rPr>
  </w:style>
  <w:style w:type="character" w:customStyle="1" w:styleId="Heading2Char">
    <w:name w:val="Heading 2 Char"/>
    <w:basedOn w:val="DefaultParagraphFont"/>
    <w:link w:val="Heading2"/>
    <w:rsid w:val="00F77FD2"/>
    <w:rPr>
      <w:rFonts w:ascii="Arial" w:eastAsia="Times New Roman" w:hAnsi="Arial" w:cs="Arial"/>
      <w:b/>
      <w:snapToGrid w:val="0"/>
      <w:sz w:val="20"/>
      <w:szCs w:val="20"/>
    </w:rPr>
  </w:style>
  <w:style w:type="paragraph" w:styleId="Caption">
    <w:name w:val="caption"/>
    <w:basedOn w:val="Normal"/>
    <w:next w:val="Normal"/>
    <w:link w:val="CaptionChar"/>
    <w:uiPriority w:val="35"/>
    <w:unhideWhenUsed/>
    <w:qFormat/>
    <w:locked/>
    <w:rsid w:val="00F77FD2"/>
    <w:pPr>
      <w:widowControl w:val="0"/>
      <w:spacing w:after="0" w:line="240" w:lineRule="auto"/>
      <w:ind w:left="360"/>
      <w:jc w:val="both"/>
    </w:pPr>
    <w:rPr>
      <w:rFonts w:ascii="Arial" w:eastAsia="Times New Roman" w:hAnsi="Arial" w:cs="Arial"/>
      <w:b/>
      <w:bCs/>
      <w:snapToGrid w:val="0"/>
      <w:sz w:val="20"/>
      <w:szCs w:val="20"/>
    </w:rPr>
  </w:style>
  <w:style w:type="character" w:customStyle="1" w:styleId="apple-converted-space">
    <w:name w:val="apple-converted-space"/>
    <w:rsid w:val="00F77FD2"/>
  </w:style>
  <w:style w:type="character" w:styleId="CommentReference">
    <w:name w:val="annotation reference"/>
    <w:rsid w:val="00F77FD2"/>
    <w:rPr>
      <w:sz w:val="16"/>
      <w:szCs w:val="16"/>
    </w:rPr>
  </w:style>
  <w:style w:type="paragraph" w:styleId="CommentText">
    <w:name w:val="annotation text"/>
    <w:basedOn w:val="Normal"/>
    <w:link w:val="CommentTextChar"/>
    <w:rsid w:val="00F77FD2"/>
    <w:pPr>
      <w:widowControl w:val="0"/>
      <w:spacing w:after="0" w:line="240" w:lineRule="auto"/>
      <w:ind w:left="360"/>
      <w:jc w:val="both"/>
    </w:pPr>
    <w:rPr>
      <w:rFonts w:ascii="Arial" w:eastAsia="Times New Roman" w:hAnsi="Arial" w:cs="Arial"/>
      <w:snapToGrid w:val="0"/>
      <w:sz w:val="20"/>
      <w:szCs w:val="20"/>
    </w:rPr>
  </w:style>
  <w:style w:type="character" w:customStyle="1" w:styleId="CommentTextChar">
    <w:name w:val="Comment Text Char"/>
    <w:basedOn w:val="DefaultParagraphFont"/>
    <w:link w:val="CommentText"/>
    <w:rsid w:val="00F77FD2"/>
    <w:rPr>
      <w:rFonts w:ascii="Arial" w:eastAsia="Times New Roman" w:hAnsi="Arial" w:cs="Arial"/>
      <w:snapToGrid w:val="0"/>
      <w:sz w:val="20"/>
      <w:szCs w:val="20"/>
    </w:rPr>
  </w:style>
  <w:style w:type="character" w:customStyle="1" w:styleId="CaptionChar">
    <w:name w:val="Caption Char"/>
    <w:link w:val="Caption"/>
    <w:uiPriority w:val="35"/>
    <w:rsid w:val="00F77FD2"/>
    <w:rPr>
      <w:rFonts w:ascii="Arial" w:eastAsia="Times New Roman" w:hAnsi="Arial" w:cs="Arial"/>
      <w:b/>
      <w:bCs/>
      <w:snapToGrid w:val="0"/>
      <w:sz w:val="20"/>
      <w:szCs w:val="20"/>
    </w:rPr>
  </w:style>
  <w:style w:type="paragraph" w:customStyle="1" w:styleId="Table">
    <w:name w:val="Table"/>
    <w:link w:val="TableChar"/>
    <w:qFormat/>
    <w:rsid w:val="00F77FD2"/>
    <w:rPr>
      <w:rFonts w:ascii="Times New Roman" w:hAnsi="Times New Roman" w:cs="Arial"/>
      <w:color w:val="000000"/>
      <w:sz w:val="24"/>
      <w:szCs w:val="24"/>
    </w:rPr>
  </w:style>
  <w:style w:type="character" w:customStyle="1" w:styleId="TableChar">
    <w:name w:val="Table Char"/>
    <w:link w:val="Table"/>
    <w:rsid w:val="00F77FD2"/>
    <w:rPr>
      <w:rFonts w:ascii="Times New Roman" w:hAnsi="Times New Roman" w:cs="Arial"/>
      <w:color w:val="000000"/>
      <w:sz w:val="24"/>
      <w:szCs w:val="24"/>
    </w:rPr>
  </w:style>
  <w:style w:type="paragraph" w:customStyle="1" w:styleId="Table1">
    <w:name w:val="Table1"/>
    <w:basedOn w:val="Normal"/>
    <w:qFormat/>
    <w:rsid w:val="00F77FD2"/>
    <w:pPr>
      <w:spacing w:before="60" w:after="60" w:line="240" w:lineRule="auto"/>
      <w:jc w:val="center"/>
    </w:pPr>
    <w:rPr>
      <w:rFonts w:ascii="Times New Roman" w:hAnsi="Times New Roman"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35"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paragraph" w:styleId="Heading2">
    <w:name w:val="heading 2"/>
    <w:basedOn w:val="Normal"/>
    <w:next w:val="Normal"/>
    <w:link w:val="Heading2Char"/>
    <w:qFormat/>
    <w:locked/>
    <w:rsid w:val="00F77FD2"/>
    <w:pPr>
      <w:spacing w:after="0" w:line="240" w:lineRule="auto"/>
      <w:ind w:left="360"/>
      <w:jc w:val="both"/>
      <w:outlineLvl w:val="1"/>
    </w:pPr>
    <w:rPr>
      <w:rFonts w:ascii="Arial" w:eastAsia="Times New Roman" w:hAnsi="Arial" w:cs="Arial"/>
      <w:b/>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character" w:styleId="FollowedHyperlink">
    <w:name w:val="FollowedHyperlink"/>
    <w:basedOn w:val="DefaultParagraphFont"/>
    <w:uiPriority w:val="99"/>
    <w:semiHidden/>
    <w:unhideWhenUsed/>
    <w:rsid w:val="00363371"/>
    <w:rPr>
      <w:color w:val="800080" w:themeColor="followedHyperlink"/>
      <w:u w:val="single"/>
    </w:rPr>
  </w:style>
  <w:style w:type="character" w:customStyle="1" w:styleId="Heading2Char">
    <w:name w:val="Heading 2 Char"/>
    <w:basedOn w:val="DefaultParagraphFont"/>
    <w:link w:val="Heading2"/>
    <w:rsid w:val="00F77FD2"/>
    <w:rPr>
      <w:rFonts w:ascii="Arial" w:eastAsia="Times New Roman" w:hAnsi="Arial" w:cs="Arial"/>
      <w:b/>
      <w:snapToGrid w:val="0"/>
      <w:sz w:val="20"/>
      <w:szCs w:val="20"/>
    </w:rPr>
  </w:style>
  <w:style w:type="paragraph" w:styleId="Caption">
    <w:name w:val="caption"/>
    <w:basedOn w:val="Normal"/>
    <w:next w:val="Normal"/>
    <w:link w:val="CaptionChar"/>
    <w:uiPriority w:val="35"/>
    <w:unhideWhenUsed/>
    <w:qFormat/>
    <w:locked/>
    <w:rsid w:val="00F77FD2"/>
    <w:pPr>
      <w:widowControl w:val="0"/>
      <w:spacing w:after="0" w:line="240" w:lineRule="auto"/>
      <w:ind w:left="360"/>
      <w:jc w:val="both"/>
    </w:pPr>
    <w:rPr>
      <w:rFonts w:ascii="Arial" w:eastAsia="Times New Roman" w:hAnsi="Arial" w:cs="Arial"/>
      <w:b/>
      <w:bCs/>
      <w:snapToGrid w:val="0"/>
      <w:sz w:val="20"/>
      <w:szCs w:val="20"/>
    </w:rPr>
  </w:style>
  <w:style w:type="character" w:customStyle="1" w:styleId="apple-converted-space">
    <w:name w:val="apple-converted-space"/>
    <w:rsid w:val="00F77FD2"/>
  </w:style>
  <w:style w:type="character" w:styleId="CommentReference">
    <w:name w:val="annotation reference"/>
    <w:rsid w:val="00F77FD2"/>
    <w:rPr>
      <w:sz w:val="16"/>
      <w:szCs w:val="16"/>
    </w:rPr>
  </w:style>
  <w:style w:type="paragraph" w:styleId="CommentText">
    <w:name w:val="annotation text"/>
    <w:basedOn w:val="Normal"/>
    <w:link w:val="CommentTextChar"/>
    <w:rsid w:val="00F77FD2"/>
    <w:pPr>
      <w:widowControl w:val="0"/>
      <w:spacing w:after="0" w:line="240" w:lineRule="auto"/>
      <w:ind w:left="360"/>
      <w:jc w:val="both"/>
    </w:pPr>
    <w:rPr>
      <w:rFonts w:ascii="Arial" w:eastAsia="Times New Roman" w:hAnsi="Arial" w:cs="Arial"/>
      <w:snapToGrid w:val="0"/>
      <w:sz w:val="20"/>
      <w:szCs w:val="20"/>
    </w:rPr>
  </w:style>
  <w:style w:type="character" w:customStyle="1" w:styleId="CommentTextChar">
    <w:name w:val="Comment Text Char"/>
    <w:basedOn w:val="DefaultParagraphFont"/>
    <w:link w:val="CommentText"/>
    <w:rsid w:val="00F77FD2"/>
    <w:rPr>
      <w:rFonts w:ascii="Arial" w:eastAsia="Times New Roman" w:hAnsi="Arial" w:cs="Arial"/>
      <w:snapToGrid w:val="0"/>
      <w:sz w:val="20"/>
      <w:szCs w:val="20"/>
    </w:rPr>
  </w:style>
  <w:style w:type="character" w:customStyle="1" w:styleId="CaptionChar">
    <w:name w:val="Caption Char"/>
    <w:link w:val="Caption"/>
    <w:uiPriority w:val="35"/>
    <w:rsid w:val="00F77FD2"/>
    <w:rPr>
      <w:rFonts w:ascii="Arial" w:eastAsia="Times New Roman" w:hAnsi="Arial" w:cs="Arial"/>
      <w:b/>
      <w:bCs/>
      <w:snapToGrid w:val="0"/>
      <w:sz w:val="20"/>
      <w:szCs w:val="20"/>
    </w:rPr>
  </w:style>
  <w:style w:type="paragraph" w:customStyle="1" w:styleId="Table">
    <w:name w:val="Table"/>
    <w:link w:val="TableChar"/>
    <w:qFormat/>
    <w:rsid w:val="00F77FD2"/>
    <w:rPr>
      <w:rFonts w:ascii="Times New Roman" w:hAnsi="Times New Roman" w:cs="Arial"/>
      <w:color w:val="000000"/>
      <w:sz w:val="24"/>
      <w:szCs w:val="24"/>
    </w:rPr>
  </w:style>
  <w:style w:type="character" w:customStyle="1" w:styleId="TableChar">
    <w:name w:val="Table Char"/>
    <w:link w:val="Table"/>
    <w:rsid w:val="00F77FD2"/>
    <w:rPr>
      <w:rFonts w:ascii="Times New Roman" w:hAnsi="Times New Roman" w:cs="Arial"/>
      <w:color w:val="000000"/>
      <w:sz w:val="24"/>
      <w:szCs w:val="24"/>
    </w:rPr>
  </w:style>
  <w:style w:type="paragraph" w:customStyle="1" w:styleId="Table1">
    <w:name w:val="Table1"/>
    <w:basedOn w:val="Normal"/>
    <w:qFormat/>
    <w:rsid w:val="00F77FD2"/>
    <w:pPr>
      <w:spacing w:before="60" w:after="60" w:line="240" w:lineRule="auto"/>
      <w:jc w:val="center"/>
    </w:pPr>
    <w:rPr>
      <w:rFonts w:ascii="Times New Roman" w:hAnsi="Times New Roman"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Logistic_regression"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peer.berkeley.ed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peer.berkeley.edu/lifelines/projects/ngl/" TargetMode="External"/><Relationship Id="rId14" Type="http://schemas.openxmlformats.org/officeDocument/2006/relationships/hyperlink" Target="https://en.wikipedia.org/wiki/Atterberg_lim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FDB43-4C67-4C60-B9B7-80857EBB9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9</Pages>
  <Words>3282</Words>
  <Characters>18708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21947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725</cp:revision>
  <cp:lastPrinted>2011-06-21T20:32:00Z</cp:lastPrinted>
  <dcterms:created xsi:type="dcterms:W3CDTF">2019-02-13T13:54:00Z</dcterms:created>
  <dcterms:modified xsi:type="dcterms:W3CDTF">2019-02-14T15:47:00Z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