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78" w:rsidRPr="00981CC4" w:rsidRDefault="009C4878" w:rsidP="009C4878">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9C4878" w:rsidRPr="00981CC4" w:rsidRDefault="009C4878" w:rsidP="009C4878">
      <w:pPr>
        <w:pStyle w:val="Default"/>
        <w:rPr>
          <w:rFonts w:asciiTheme="minorHAnsi" w:hAnsiTheme="minorHAnsi"/>
          <w:sz w:val="26"/>
          <w:szCs w:val="26"/>
        </w:rPr>
      </w:pPr>
    </w:p>
    <w:p w:rsidR="009C4878" w:rsidRPr="00981CC4" w:rsidRDefault="009C4878" w:rsidP="009C4878">
      <w:pPr>
        <w:pStyle w:val="Default"/>
        <w:jc w:val="center"/>
        <w:rPr>
          <w:rFonts w:asciiTheme="minorHAnsi" w:hAnsiTheme="minorHAnsi"/>
          <w:sz w:val="28"/>
          <w:szCs w:val="26"/>
        </w:rPr>
      </w:pPr>
      <w:r>
        <w:rPr>
          <w:rFonts w:asciiTheme="minorHAnsi" w:hAnsiTheme="minorHAnsi"/>
          <w:sz w:val="28"/>
          <w:szCs w:val="26"/>
        </w:rPr>
        <w:t>October</w:t>
      </w:r>
      <w:r w:rsidRPr="00981CC4">
        <w:rPr>
          <w:rFonts w:asciiTheme="minorHAnsi" w:hAnsiTheme="minorHAnsi"/>
          <w:sz w:val="28"/>
          <w:szCs w:val="26"/>
        </w:rPr>
        <w:t xml:space="preserve"> 1, 201</w:t>
      </w:r>
      <w:r>
        <w:rPr>
          <w:rFonts w:asciiTheme="minorHAnsi" w:hAnsiTheme="minorHAnsi"/>
          <w:sz w:val="28"/>
          <w:szCs w:val="26"/>
        </w:rPr>
        <w:t>8</w:t>
      </w:r>
      <w:r w:rsidRPr="00981CC4">
        <w:rPr>
          <w:rFonts w:asciiTheme="minorHAnsi" w:hAnsiTheme="minorHAnsi"/>
          <w:sz w:val="28"/>
          <w:szCs w:val="26"/>
        </w:rPr>
        <w:t xml:space="preserve"> to </w:t>
      </w:r>
      <w:r>
        <w:rPr>
          <w:rFonts w:asciiTheme="minorHAnsi" w:hAnsiTheme="minorHAnsi"/>
          <w:sz w:val="28"/>
          <w:szCs w:val="26"/>
        </w:rPr>
        <w:t>December 31</w:t>
      </w:r>
      <w:r w:rsidRPr="00981CC4">
        <w:rPr>
          <w:rFonts w:asciiTheme="minorHAnsi" w:hAnsiTheme="minorHAnsi"/>
          <w:sz w:val="28"/>
          <w:szCs w:val="26"/>
        </w:rPr>
        <w:t>, 201</w:t>
      </w:r>
      <w:r>
        <w:rPr>
          <w:rFonts w:asciiTheme="minorHAnsi" w:hAnsiTheme="minorHAnsi"/>
          <w:sz w:val="28"/>
          <w:szCs w:val="26"/>
        </w:rPr>
        <w:t>8</w:t>
      </w:r>
    </w:p>
    <w:p w:rsidR="00C22802" w:rsidRPr="00981CC4" w:rsidRDefault="00C22802" w:rsidP="00C22802">
      <w:pPr>
        <w:pStyle w:val="Default"/>
        <w:rPr>
          <w:rFonts w:asciiTheme="minorHAnsi" w:hAnsiTheme="minorHAnsi"/>
          <w:sz w:val="26"/>
          <w:szCs w:val="26"/>
        </w:rPr>
      </w:pPr>
    </w:p>
    <w:p w:rsidR="00E2148F" w:rsidRDefault="00E2148F" w:rsidP="00836D14">
      <w:pPr>
        <w:pStyle w:val="Default"/>
        <w:rPr>
          <w:rFonts w:asciiTheme="minorHAnsi" w:hAnsiTheme="minorHAnsi"/>
          <w:szCs w:val="23"/>
        </w:rPr>
      </w:pPr>
    </w:p>
    <w:p w:rsidR="00ED5DFA" w:rsidRDefault="00ED5DFA" w:rsidP="00836D14">
      <w:pPr>
        <w:pStyle w:val="Default"/>
        <w:rPr>
          <w:rFonts w:asciiTheme="minorHAnsi" w:hAnsiTheme="minorHAnsi"/>
          <w:szCs w:val="23"/>
        </w:rPr>
      </w:pPr>
      <w:r>
        <w:rPr>
          <w:rFonts w:asciiTheme="minorHAnsi" w:hAnsiTheme="minorHAnsi"/>
          <w:szCs w:val="23"/>
        </w:rPr>
        <w:t>Many new features have been incorporated into the SMS SRH-2D custom graphical interface.  The SRH-2D model is being widely used by states and 2D modeling is soon becoming the standard of practice.  The most 2D modeling features and tools that have been adding to the SMS interface include the following:</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A new simulation dashboard for monitoring simulation progress, convergence and stability</w:t>
      </w:r>
      <w:bookmarkStart w:id="0" w:name="_GoBack"/>
      <w:bookmarkEnd w:id="0"/>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A new monitoring line coverage for additional simulation verification</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New results folder for better data management</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A file packaging option to more easily archive and transfer project files</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Improved results for bridge pressure flow (water surface elevation and pressure head)</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New measuring tool features</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 xml:space="preserve">New materials coverage features for easily reviewing and editing Manning’s n values </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New notes tab features for project documentation</w:t>
      </w:r>
    </w:p>
    <w:p w:rsidR="00ED5DFA" w:rsidRDefault="00ED5DFA" w:rsidP="00ED5DFA">
      <w:pPr>
        <w:pStyle w:val="Default"/>
        <w:numPr>
          <w:ilvl w:val="0"/>
          <w:numId w:val="6"/>
        </w:numPr>
        <w:rPr>
          <w:rFonts w:asciiTheme="minorHAnsi" w:hAnsiTheme="minorHAnsi"/>
          <w:szCs w:val="23"/>
        </w:rPr>
      </w:pPr>
      <w:r>
        <w:rPr>
          <w:rFonts w:asciiTheme="minorHAnsi" w:hAnsiTheme="minorHAnsi"/>
          <w:szCs w:val="23"/>
        </w:rPr>
        <w:t>New bridge scour tools and interface with the FHWA Hydraulic Toolbox</w:t>
      </w:r>
    </w:p>
    <w:p w:rsidR="00ED5DFA" w:rsidRDefault="00ED5DFA" w:rsidP="00ED5DFA">
      <w:pPr>
        <w:pStyle w:val="Default"/>
        <w:rPr>
          <w:rFonts w:asciiTheme="minorHAnsi" w:hAnsiTheme="minorHAnsi"/>
          <w:szCs w:val="23"/>
        </w:rPr>
      </w:pPr>
    </w:p>
    <w:p w:rsidR="00ED5DFA" w:rsidRPr="00ED5DFA" w:rsidRDefault="00ED5DFA" w:rsidP="00ED5DFA">
      <w:pPr>
        <w:pStyle w:val="Default"/>
        <w:rPr>
          <w:rFonts w:asciiTheme="minorHAnsi" w:hAnsiTheme="minorHAnsi"/>
          <w:szCs w:val="23"/>
        </w:rPr>
      </w:pPr>
      <w:r>
        <w:rPr>
          <w:rFonts w:asciiTheme="minorHAnsi" w:hAnsiTheme="minorHAnsi"/>
          <w:szCs w:val="23"/>
        </w:rPr>
        <w:t>SRH-2D modeling advancements will continue, as the 2D modeling CHANGE initiative will continue into the next phase of FHWA’s Every Day Counts (EDC) program.</w:t>
      </w:r>
    </w:p>
    <w:p w:rsidR="00ED5DFA" w:rsidRDefault="00ED5DFA" w:rsidP="00836D14">
      <w:pPr>
        <w:pStyle w:val="Default"/>
        <w:rPr>
          <w:rFonts w:asciiTheme="minorHAnsi" w:hAnsiTheme="minorHAnsi"/>
          <w:szCs w:val="23"/>
        </w:rPr>
      </w:pPr>
    </w:p>
    <w:sectPr w:rsidR="00ED5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618C"/>
    <w:multiLevelType w:val="hybridMultilevel"/>
    <w:tmpl w:val="154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C4"/>
    <w:rsid w:val="00064A51"/>
    <w:rsid w:val="001310B6"/>
    <w:rsid w:val="001C2B3D"/>
    <w:rsid w:val="0037452E"/>
    <w:rsid w:val="00406E1C"/>
    <w:rsid w:val="00497EBC"/>
    <w:rsid w:val="004F4C71"/>
    <w:rsid w:val="00596571"/>
    <w:rsid w:val="005F5565"/>
    <w:rsid w:val="00744E52"/>
    <w:rsid w:val="00830223"/>
    <w:rsid w:val="00836D14"/>
    <w:rsid w:val="00890BFD"/>
    <w:rsid w:val="008E2343"/>
    <w:rsid w:val="00976004"/>
    <w:rsid w:val="00981CC4"/>
    <w:rsid w:val="009A02CD"/>
    <w:rsid w:val="009C4878"/>
    <w:rsid w:val="00AA4DD5"/>
    <w:rsid w:val="00AE169E"/>
    <w:rsid w:val="00C22802"/>
    <w:rsid w:val="00C5070E"/>
    <w:rsid w:val="00D37681"/>
    <w:rsid w:val="00D62796"/>
    <w:rsid w:val="00D9061F"/>
    <w:rsid w:val="00DB026F"/>
    <w:rsid w:val="00DF71D1"/>
    <w:rsid w:val="00E2148F"/>
    <w:rsid w:val="00ED5DFA"/>
    <w:rsid w:val="00F22CB6"/>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C84F"/>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Kerenyi, Kornel (FHWA)</cp:lastModifiedBy>
  <cp:revision>3</cp:revision>
  <dcterms:created xsi:type="dcterms:W3CDTF">2019-01-22T18:53:00Z</dcterms:created>
  <dcterms:modified xsi:type="dcterms:W3CDTF">2019-01-22T18:55:00Z</dcterms:modified>
</cp:coreProperties>
</file>