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B4171E"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B4171E" w:rsidRPr="00B4171E">
              <w:rPr>
                <w:rFonts w:ascii="Arial" w:hAnsi="Arial" w:cs="Arial"/>
                <w:sz w:val="36"/>
                <w:szCs w:val="36"/>
                <w:u w:val="single"/>
              </w:rPr>
              <w:t>_</w:t>
            </w:r>
            <w:r w:rsidRPr="00B4171E">
              <w:rPr>
                <w:rFonts w:ascii="Arial" w:hAnsi="Arial" w:cs="Arial"/>
                <w:sz w:val="36"/>
                <w:szCs w:val="36"/>
              </w:rPr>
              <w:t xml:space="preserve"> </w:t>
            </w:r>
            <w:r w:rsidRPr="00B4171E">
              <w:rPr>
                <w:rFonts w:ascii="Arial" w:hAnsi="Arial" w:cs="Arial"/>
                <w:sz w:val="20"/>
                <w:szCs w:val="20"/>
              </w:rPr>
              <w:t>Quarter 1 (January 1 – March 31</w:t>
            </w:r>
            <w:r w:rsidR="005C75FE" w:rsidRPr="00B4171E">
              <w:rPr>
                <w:rFonts w:ascii="Arial" w:hAnsi="Arial" w:cs="Arial"/>
                <w:sz w:val="20"/>
                <w:szCs w:val="20"/>
              </w:rPr>
              <w:t xml:space="preserve">, </w:t>
            </w:r>
            <w:r w:rsidR="003E4DE4" w:rsidRPr="00B4171E">
              <w:rPr>
                <w:rFonts w:ascii="Arial" w:hAnsi="Arial" w:cs="Arial"/>
                <w:sz w:val="20"/>
                <w:szCs w:val="20"/>
              </w:rPr>
              <w:t>201</w:t>
            </w:r>
            <w:r w:rsidR="00DD478E" w:rsidRPr="00B4171E">
              <w:rPr>
                <w:rFonts w:ascii="Arial" w:hAnsi="Arial" w:cs="Arial"/>
                <w:sz w:val="20"/>
                <w:szCs w:val="20"/>
              </w:rPr>
              <w:t>8</w:t>
            </w:r>
            <w:r w:rsidRPr="00B4171E">
              <w:rPr>
                <w:rFonts w:ascii="Arial" w:hAnsi="Arial" w:cs="Arial"/>
                <w:sz w:val="20"/>
                <w:szCs w:val="20"/>
              </w:rPr>
              <w:t>)</w:t>
            </w:r>
          </w:p>
          <w:p w:rsidR="000C209F" w:rsidRPr="00344A2C"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344A2C" w:rsidRPr="00344A2C">
              <w:rPr>
                <w:rFonts w:ascii="Arial" w:hAnsi="Arial" w:cs="Arial"/>
                <w:sz w:val="36"/>
                <w:szCs w:val="36"/>
                <w:u w:val="single"/>
              </w:rPr>
              <w:t>_</w:t>
            </w:r>
            <w:r w:rsidR="00C47C4A" w:rsidRPr="00344A2C">
              <w:rPr>
                <w:rFonts w:ascii="Arial" w:hAnsi="Arial" w:cs="Arial"/>
                <w:sz w:val="36"/>
                <w:szCs w:val="36"/>
              </w:rPr>
              <w:t xml:space="preserve"> </w:t>
            </w:r>
            <w:r w:rsidRPr="00344A2C">
              <w:rPr>
                <w:rFonts w:ascii="Arial" w:hAnsi="Arial" w:cs="Arial"/>
                <w:sz w:val="20"/>
                <w:szCs w:val="20"/>
              </w:rPr>
              <w:t>Quarter 2 (April 1 – June 30</w:t>
            </w:r>
            <w:r w:rsidR="002C4321" w:rsidRPr="00344A2C">
              <w:rPr>
                <w:rFonts w:ascii="Arial" w:hAnsi="Arial" w:cs="Arial"/>
                <w:sz w:val="20"/>
                <w:szCs w:val="20"/>
              </w:rPr>
              <w:t>, 201</w:t>
            </w:r>
            <w:r w:rsidR="00DD478E" w:rsidRPr="00344A2C">
              <w:rPr>
                <w:rFonts w:ascii="Arial" w:hAnsi="Arial" w:cs="Arial"/>
                <w:sz w:val="20"/>
                <w:szCs w:val="20"/>
              </w:rPr>
              <w:t>8</w:t>
            </w:r>
            <w:r w:rsidRPr="00344A2C">
              <w:rPr>
                <w:rFonts w:ascii="Arial" w:hAnsi="Arial" w:cs="Arial"/>
                <w:sz w:val="20"/>
                <w:szCs w:val="20"/>
              </w:rPr>
              <w:t>)</w:t>
            </w:r>
          </w:p>
          <w:p w:rsidR="000C209F" w:rsidRPr="00344A2C" w:rsidRDefault="00344A2C" w:rsidP="00360664">
            <w:pPr>
              <w:spacing w:after="0" w:line="240" w:lineRule="auto"/>
              <w:ind w:right="-720"/>
              <w:rPr>
                <w:rFonts w:ascii="Arial" w:hAnsi="Arial" w:cs="Arial"/>
                <w:b/>
                <w:sz w:val="20"/>
                <w:szCs w:val="20"/>
              </w:rPr>
            </w:pPr>
            <w:r w:rsidRPr="00344A2C">
              <w:rPr>
                <w:rFonts w:ascii="Arial" w:hAnsi="Arial" w:cs="Arial"/>
                <w:b/>
                <w:sz w:val="36"/>
                <w:szCs w:val="36"/>
                <w:u w:val="single"/>
              </w:rPr>
              <w:t>x</w:t>
            </w:r>
            <w:r w:rsidR="001D763A" w:rsidRPr="00344A2C">
              <w:rPr>
                <w:rFonts w:ascii="Arial" w:hAnsi="Arial" w:cs="Arial"/>
                <w:b/>
                <w:sz w:val="36"/>
                <w:szCs w:val="36"/>
              </w:rPr>
              <w:t xml:space="preserve"> </w:t>
            </w:r>
            <w:r w:rsidR="000C209F" w:rsidRPr="00344A2C">
              <w:rPr>
                <w:rFonts w:ascii="Arial" w:hAnsi="Arial" w:cs="Arial"/>
                <w:b/>
                <w:sz w:val="20"/>
                <w:szCs w:val="20"/>
              </w:rPr>
              <w:t>Quarter 3 (July 1 – September 30</w:t>
            </w:r>
            <w:r w:rsidR="002C4321" w:rsidRPr="00344A2C">
              <w:rPr>
                <w:rFonts w:ascii="Arial" w:hAnsi="Arial" w:cs="Arial"/>
                <w:b/>
                <w:sz w:val="20"/>
                <w:szCs w:val="20"/>
              </w:rPr>
              <w:t>, 201</w:t>
            </w:r>
            <w:r w:rsidR="00DD478E" w:rsidRPr="00344A2C">
              <w:rPr>
                <w:rFonts w:ascii="Arial" w:hAnsi="Arial" w:cs="Arial"/>
                <w:b/>
                <w:sz w:val="20"/>
                <w:szCs w:val="20"/>
              </w:rPr>
              <w:t>8</w:t>
            </w:r>
            <w:r w:rsidR="000C209F" w:rsidRPr="00344A2C">
              <w:rPr>
                <w:rFonts w:ascii="Arial" w:hAnsi="Arial" w:cs="Arial"/>
                <w:b/>
                <w:sz w:val="20"/>
                <w:szCs w:val="20"/>
              </w:rPr>
              <w:t>)</w:t>
            </w:r>
          </w:p>
          <w:p w:rsidR="000C209F" w:rsidRPr="00DD478E" w:rsidRDefault="00DD478E" w:rsidP="00DD478E">
            <w:pPr>
              <w:spacing w:after="0" w:line="240" w:lineRule="auto"/>
              <w:ind w:right="-720"/>
              <w:rPr>
                <w:rFonts w:ascii="Arial" w:hAnsi="Arial" w:cs="Arial"/>
                <w:sz w:val="20"/>
                <w:szCs w:val="20"/>
              </w:rPr>
            </w:pPr>
            <w:r w:rsidRPr="00DD478E">
              <w:rPr>
                <w:rFonts w:ascii="Arial" w:hAnsi="Arial" w:cs="Arial"/>
                <w:sz w:val="36"/>
                <w:szCs w:val="36"/>
                <w:u w:val="single"/>
              </w:rPr>
              <w:t>_</w:t>
            </w:r>
            <w:r w:rsidR="00532264" w:rsidRPr="00DD478E">
              <w:rPr>
                <w:rFonts w:ascii="Arial" w:hAnsi="Arial" w:cs="Arial"/>
                <w:sz w:val="36"/>
                <w:szCs w:val="36"/>
              </w:rPr>
              <w:t xml:space="preserve"> </w:t>
            </w:r>
            <w:r w:rsidR="000C209F" w:rsidRPr="00DD478E">
              <w:rPr>
                <w:rFonts w:ascii="Arial" w:hAnsi="Arial" w:cs="Arial"/>
                <w:sz w:val="20"/>
                <w:szCs w:val="20"/>
              </w:rPr>
              <w:t xml:space="preserve">Quarter </w:t>
            </w:r>
            <w:r w:rsidR="005C75FE" w:rsidRPr="00DD478E">
              <w:rPr>
                <w:rFonts w:ascii="Arial" w:hAnsi="Arial" w:cs="Arial"/>
                <w:sz w:val="20"/>
                <w:szCs w:val="20"/>
              </w:rPr>
              <w:t>4 (October 1 – December 31</w:t>
            </w:r>
            <w:r w:rsidR="002C4321" w:rsidRPr="00DD478E">
              <w:rPr>
                <w:rFonts w:ascii="Arial" w:hAnsi="Arial" w:cs="Arial"/>
                <w:sz w:val="20"/>
                <w:szCs w:val="20"/>
              </w:rPr>
              <w:t>, 201</w:t>
            </w:r>
            <w:r w:rsidRPr="00DD478E">
              <w:rPr>
                <w:rFonts w:ascii="Arial" w:hAnsi="Arial" w:cs="Arial"/>
                <w:sz w:val="20"/>
                <w:szCs w:val="20"/>
              </w:rPr>
              <w:t>8</w:t>
            </w:r>
            <w:r w:rsidR="000C209F" w:rsidRPr="00DD478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08637E">
              <w:rPr>
                <w:rFonts w:ascii="Arial" w:hAnsi="Arial" w:cs="Arial"/>
                <w:sz w:val="20"/>
                <w:szCs w:val="20"/>
              </w:rPr>
              <w:t>May 31, 2019</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637E">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234D0B">
            <w:pPr>
              <w:spacing w:after="0" w:line="240" w:lineRule="auto"/>
              <w:ind w:left="-108" w:right="-108"/>
              <w:jc w:val="center"/>
              <w:rPr>
                <w:rFonts w:ascii="Arial" w:hAnsi="Arial" w:cs="Arial"/>
                <w:sz w:val="20"/>
                <w:szCs w:val="20"/>
              </w:rPr>
            </w:pPr>
            <w:r>
              <w:rPr>
                <w:rFonts w:ascii="Arial" w:hAnsi="Arial" w:cs="Arial"/>
                <w:sz w:val="20"/>
                <w:szCs w:val="20"/>
              </w:rPr>
              <w:t>$</w:t>
            </w:r>
            <w:r w:rsidR="00234D0B">
              <w:rPr>
                <w:rFonts w:ascii="Arial" w:hAnsi="Arial" w:cs="Arial"/>
                <w:sz w:val="20"/>
                <w:szCs w:val="20"/>
              </w:rPr>
              <w:t>74</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5C058D"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60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5C05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AE5DFA">
            <w:pPr>
              <w:spacing w:after="0" w:line="240" w:lineRule="auto"/>
              <w:ind w:right="-108"/>
              <w:jc w:val="center"/>
              <w:rPr>
                <w:rFonts w:ascii="Arial" w:hAnsi="Arial" w:cs="Arial"/>
                <w:sz w:val="20"/>
                <w:szCs w:val="20"/>
              </w:rPr>
            </w:pPr>
            <w:r>
              <w:rPr>
                <w:rFonts w:ascii="Arial" w:hAnsi="Arial" w:cs="Arial"/>
                <w:sz w:val="20"/>
                <w:szCs w:val="20"/>
              </w:rPr>
              <w:t>$</w:t>
            </w:r>
            <w:r w:rsidR="005C058D">
              <w:rPr>
                <w:rFonts w:ascii="Arial" w:hAnsi="Arial" w:cs="Arial"/>
                <w:sz w:val="20"/>
                <w:szCs w:val="20"/>
              </w:rPr>
              <w:t>0</w:t>
            </w:r>
          </w:p>
        </w:tc>
        <w:tc>
          <w:tcPr>
            <w:tcW w:w="3420" w:type="dxa"/>
          </w:tcPr>
          <w:p w:rsidR="000C209F" w:rsidRPr="00360664" w:rsidRDefault="00AE5DFA" w:rsidP="00FE2457">
            <w:pPr>
              <w:spacing w:after="0" w:line="240" w:lineRule="auto"/>
              <w:ind w:left="-108" w:right="-108"/>
              <w:jc w:val="center"/>
              <w:rPr>
                <w:rFonts w:ascii="Arial" w:hAnsi="Arial" w:cs="Arial"/>
                <w:sz w:val="20"/>
                <w:szCs w:val="20"/>
              </w:rPr>
            </w:pPr>
            <w:r>
              <w:rPr>
                <w:rFonts w:ascii="Arial" w:hAnsi="Arial" w:cs="Arial"/>
                <w:sz w:val="20"/>
                <w:szCs w:val="20"/>
              </w:rPr>
              <w:t>79</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55858" w:rsidRDefault="000C209F" w:rsidP="00716C86">
            <w:pPr>
              <w:spacing w:after="0" w:line="240" w:lineRule="auto"/>
              <w:rPr>
                <w:rFonts w:ascii="Arial" w:hAnsi="Arial" w:cs="Arial"/>
                <w:sz w:val="20"/>
                <w:szCs w:val="20"/>
              </w:rPr>
            </w:pPr>
            <w:r w:rsidRPr="00755858">
              <w:rPr>
                <w:rFonts w:ascii="Arial" w:hAnsi="Arial" w:cs="Arial"/>
                <w:b/>
                <w:sz w:val="20"/>
                <w:szCs w:val="20"/>
              </w:rPr>
              <w:t>Progress this Quarter (includes meetings, work plan status, contract status, significant progress, etc.):</w:t>
            </w:r>
          </w:p>
          <w:p w:rsidR="004D59DA" w:rsidRPr="0078688E" w:rsidRDefault="004D59DA"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755858">
              <w:rPr>
                <w:rFonts w:ascii="Arial" w:hAnsi="Arial" w:cs="Arial"/>
                <w:sz w:val="20"/>
                <w:szCs w:val="20"/>
              </w:rPr>
              <w:t>63</w:t>
            </w:r>
            <w:r w:rsidR="00913492">
              <w:rPr>
                <w:rFonts w:ascii="Arial" w:hAnsi="Arial" w:cs="Arial"/>
                <w:sz w:val="20"/>
                <w:szCs w:val="20"/>
              </w:rPr>
              <w:t>% complete</w:t>
            </w:r>
            <w:r w:rsidR="00775458">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5F2022">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056D98">
              <w:rPr>
                <w:rFonts w:ascii="Arial" w:hAnsi="Arial" w:cs="Arial"/>
                <w:sz w:val="20"/>
                <w:szCs w:val="20"/>
              </w:rPr>
              <w:t>3</w:t>
            </w:r>
            <w:r w:rsidR="005F2022">
              <w:rPr>
                <w:rFonts w:ascii="Arial" w:hAnsi="Arial" w:cs="Arial"/>
                <w:sz w:val="20"/>
                <w:szCs w:val="20"/>
              </w:rPr>
              <w:t>0% complete.</w:t>
            </w:r>
          </w:p>
          <w:p w:rsidR="002D74C2" w:rsidRDefault="002D74C2" w:rsidP="00716C86">
            <w:pPr>
              <w:spacing w:after="0" w:line="240" w:lineRule="auto"/>
              <w:rPr>
                <w:rFonts w:ascii="Arial" w:hAnsi="Arial" w:cs="Arial"/>
                <w:sz w:val="20"/>
                <w:szCs w:val="20"/>
              </w:rPr>
            </w:pPr>
          </w:p>
          <w:p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3359D7">
              <w:rPr>
                <w:rFonts w:ascii="Arial" w:hAnsi="Arial" w:cs="Arial"/>
                <w:sz w:val="20"/>
                <w:szCs w:val="20"/>
              </w:rPr>
              <w:t>No changes.</w:t>
            </w:r>
          </w:p>
          <w:p w:rsidR="00716C86" w:rsidRPr="006E7805" w:rsidRDefault="00716C86" w:rsidP="006E7805">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716C86">
            <w:pPr>
              <w:keepNext/>
              <w:keepLines/>
              <w:spacing w:after="0" w:line="240" w:lineRule="auto"/>
              <w:rPr>
                <w:rFonts w:ascii="Arial" w:hAnsi="Arial" w:cs="Arial"/>
                <w:sz w:val="20"/>
                <w:szCs w:val="20"/>
              </w:rPr>
            </w:pPr>
            <w:r w:rsidRPr="00755858">
              <w:rPr>
                <w:rFonts w:ascii="Arial" w:hAnsi="Arial" w:cs="Arial"/>
                <w:b/>
                <w:sz w:val="20"/>
                <w:szCs w:val="20"/>
              </w:rPr>
              <w:t>Anticipated work next quarter</w:t>
            </w:r>
            <w:r w:rsidRPr="00755858">
              <w:rPr>
                <w:rFonts w:ascii="Arial" w:hAnsi="Arial" w:cs="Arial"/>
                <w:sz w:val="20"/>
                <w:szCs w:val="20"/>
              </w:rPr>
              <w:t>:</w:t>
            </w:r>
          </w:p>
          <w:p w:rsidR="004D59DA" w:rsidRDefault="004D59DA" w:rsidP="00215F63">
            <w:pPr>
              <w:keepNext/>
              <w:keepLines/>
              <w:tabs>
                <w:tab w:val="left" w:pos="7567"/>
              </w:tabs>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Focus on this t</w:t>
            </w:r>
            <w:r w:rsidR="00A039AC">
              <w:rPr>
                <w:rFonts w:ascii="Arial" w:hAnsi="Arial" w:cs="Arial"/>
                <w:sz w:val="20"/>
                <w:szCs w:val="20"/>
              </w:rPr>
              <w:t>ask</w:t>
            </w:r>
            <w:r w:rsidR="001B384F">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755858">
              <w:rPr>
                <w:rFonts w:ascii="Arial" w:hAnsi="Arial" w:cs="Arial"/>
                <w:sz w:val="20"/>
                <w:szCs w:val="20"/>
              </w:rPr>
              <w:t>Focus on this task.</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None.</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6F7927">
              <w:rPr>
                <w:rFonts w:ascii="Arial" w:hAnsi="Arial" w:cs="Arial"/>
                <w:sz w:val="20"/>
                <w:szCs w:val="20"/>
              </w:rPr>
              <w:t>Continue report preparation.</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2C3D03">
              <w:rPr>
                <w:rFonts w:ascii="Arial" w:hAnsi="Arial" w:cs="Arial"/>
                <w:sz w:val="20"/>
                <w:szCs w:val="20"/>
              </w:rPr>
              <w:t>Begin preparation of two or three journal papers</w:t>
            </w:r>
            <w:r w:rsidR="006E6FFF">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6E6FFF">
              <w:rPr>
                <w:rFonts w:ascii="Arial" w:hAnsi="Arial" w:cs="Arial"/>
                <w:sz w:val="20"/>
                <w:szCs w:val="20"/>
              </w:rPr>
              <w:t xml:space="preserve">Consider holding </w:t>
            </w:r>
            <w:r w:rsidR="00872226" w:rsidRPr="00872226">
              <w:rPr>
                <w:rFonts w:ascii="Arial" w:hAnsi="Arial" w:cs="Arial"/>
                <w:sz w:val="20"/>
                <w:szCs w:val="20"/>
              </w:rPr>
              <w:t>another TAC web-conference to review and discuss ad</w:t>
            </w:r>
            <w:r w:rsidR="002C3D03">
              <w:rPr>
                <w:rFonts w:ascii="Arial" w:hAnsi="Arial" w:cs="Arial"/>
                <w:sz w:val="20"/>
                <w:szCs w:val="20"/>
              </w:rPr>
              <w:t>ditional results from the study</w:t>
            </w:r>
            <w:r w:rsidR="006E6FFF">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3C6C9E">
              <w:rPr>
                <w:rFonts w:ascii="Arial" w:hAnsi="Arial" w:cs="Arial"/>
                <w:sz w:val="20"/>
                <w:szCs w:val="20"/>
              </w:rPr>
              <w:t>No changes planned.</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755858">
              <w:rPr>
                <w:rFonts w:ascii="Arial" w:hAnsi="Arial" w:cs="Arial"/>
                <w:b/>
                <w:sz w:val="20"/>
                <w:szCs w:val="20"/>
              </w:rPr>
              <w:t>Significant Results:</w:t>
            </w:r>
          </w:p>
          <w:p w:rsidR="004D59DA" w:rsidRDefault="004D59DA" w:rsidP="00D52F90">
            <w:pPr>
              <w:spacing w:after="0" w:line="240" w:lineRule="auto"/>
              <w:rPr>
                <w:rFonts w:ascii="Arial" w:hAnsi="Arial" w:cs="Arial"/>
                <w:sz w:val="20"/>
                <w:szCs w:val="20"/>
              </w:rPr>
            </w:pPr>
          </w:p>
          <w:p w:rsidR="002E714C" w:rsidRPr="001B3CDB" w:rsidRDefault="00755858" w:rsidP="002E714C">
            <w:pPr>
              <w:spacing w:after="0" w:line="240" w:lineRule="auto"/>
              <w:rPr>
                <w:rFonts w:ascii="Arial" w:hAnsi="Arial" w:cs="Arial"/>
                <w:sz w:val="20"/>
                <w:szCs w:val="20"/>
              </w:rPr>
            </w:pPr>
            <w:r w:rsidRPr="001B3CDB">
              <w:rPr>
                <w:rFonts w:ascii="Arial" w:hAnsi="Arial" w:cs="Arial"/>
                <w:sz w:val="20"/>
                <w:szCs w:val="20"/>
              </w:rPr>
              <w:t>Simplified performance-based liquefaction triggering, free-field post-liquefaction settlement, and lateral spread displacement analysis methods have been developed and evaluated against full performance-based methods. The simplified methods were developed for multiple triggering models. Correction functions were necessary to develop to remove non-linearity due to magnitude dependence. The new simplified methods demonstrate the ability to compute performance-based settlement approximations that are within 4-7 cm of the full performance-based settlements at return periods of 475, 1</w:t>
            </w:r>
            <w:r w:rsidR="001B3CDB" w:rsidRPr="001B3CDB">
              <w:rPr>
                <w:rFonts w:ascii="Arial" w:hAnsi="Arial" w:cs="Arial"/>
                <w:sz w:val="20"/>
                <w:szCs w:val="20"/>
              </w:rPr>
              <w:t xml:space="preserve">,033, and 2,475 years. Simplified performance-based lateral spread displacement approximations generally fall within 0.75 m of the full performance-based settlements at those same return periods. </w:t>
            </w:r>
            <w:r w:rsidRPr="001B3CDB">
              <w:rPr>
                <w:rFonts w:ascii="Arial" w:hAnsi="Arial" w:cs="Arial"/>
                <w:sz w:val="20"/>
                <w:szCs w:val="20"/>
              </w:rPr>
              <w:t xml:space="preserve"> </w:t>
            </w:r>
          </w:p>
          <w:p w:rsidR="00F652DF" w:rsidRPr="00CC401B" w:rsidRDefault="00F652DF" w:rsidP="002E714C">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bookmarkStart w:id="0" w:name="_GoBack"/>
            <w:bookmarkEnd w:id="0"/>
          </w:p>
          <w:p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lastRenderedPageBreak/>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rsidR="006C2158" w:rsidRPr="006C2158" w:rsidRDefault="006C2158" w:rsidP="006C2158">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will be developed as part of the research later in Year 2 of the study,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C97" w:rsidRDefault="00823C97" w:rsidP="00106C83">
      <w:pPr>
        <w:spacing w:after="0" w:line="240" w:lineRule="auto"/>
      </w:pPr>
      <w:r>
        <w:separator/>
      </w:r>
    </w:p>
  </w:endnote>
  <w:endnote w:type="continuationSeparator" w:id="0">
    <w:p w:rsidR="00823C97" w:rsidRDefault="00823C9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5D" w:rsidRDefault="007F005D" w:rsidP="00E371D1">
    <w:pPr>
      <w:pStyle w:val="Footer"/>
      <w:ind w:left="-810"/>
    </w:pPr>
    <w:r>
      <w:t>TPF Program Standard Quarterly Reporting Format – 7/2011</w:t>
    </w:r>
  </w:p>
  <w:p w:rsidR="007F005D" w:rsidRDefault="007F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C97" w:rsidRDefault="00823C97" w:rsidP="00106C83">
      <w:pPr>
        <w:spacing w:after="0" w:line="240" w:lineRule="auto"/>
      </w:pPr>
      <w:r>
        <w:separator/>
      </w:r>
    </w:p>
  </w:footnote>
  <w:footnote w:type="continuationSeparator" w:id="0">
    <w:p w:rsidR="00823C97" w:rsidRDefault="00823C9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260A"/>
    <w:rsid w:val="000335CC"/>
    <w:rsid w:val="000342EB"/>
    <w:rsid w:val="00035DAD"/>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7968"/>
    <w:rsid w:val="00071797"/>
    <w:rsid w:val="000736BB"/>
    <w:rsid w:val="00074656"/>
    <w:rsid w:val="0007547B"/>
    <w:rsid w:val="0008172C"/>
    <w:rsid w:val="00085456"/>
    <w:rsid w:val="00086047"/>
    <w:rsid w:val="0008637E"/>
    <w:rsid w:val="00087DC0"/>
    <w:rsid w:val="000937EA"/>
    <w:rsid w:val="000957A8"/>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7625"/>
    <w:rsid w:val="001729B6"/>
    <w:rsid w:val="00174FA3"/>
    <w:rsid w:val="00176B22"/>
    <w:rsid w:val="00181F8B"/>
    <w:rsid w:val="0018433C"/>
    <w:rsid w:val="00184959"/>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384F"/>
    <w:rsid w:val="001B3CDB"/>
    <w:rsid w:val="001C03A1"/>
    <w:rsid w:val="001C0A2C"/>
    <w:rsid w:val="001C0E72"/>
    <w:rsid w:val="001C1DDE"/>
    <w:rsid w:val="001C1E3F"/>
    <w:rsid w:val="001C4117"/>
    <w:rsid w:val="001C6EFD"/>
    <w:rsid w:val="001C7724"/>
    <w:rsid w:val="001D1DB8"/>
    <w:rsid w:val="001D2FB4"/>
    <w:rsid w:val="001D763A"/>
    <w:rsid w:val="001D77C2"/>
    <w:rsid w:val="001D7F6C"/>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612B"/>
    <w:rsid w:val="00326702"/>
    <w:rsid w:val="00327AC3"/>
    <w:rsid w:val="00332429"/>
    <w:rsid w:val="0033444C"/>
    <w:rsid w:val="003359D7"/>
    <w:rsid w:val="003372CD"/>
    <w:rsid w:val="00337E98"/>
    <w:rsid w:val="00340B50"/>
    <w:rsid w:val="00341D76"/>
    <w:rsid w:val="003442D7"/>
    <w:rsid w:val="00344A2C"/>
    <w:rsid w:val="00344E45"/>
    <w:rsid w:val="0034669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740"/>
    <w:rsid w:val="003C239E"/>
    <w:rsid w:val="003C2C2A"/>
    <w:rsid w:val="003C2CCC"/>
    <w:rsid w:val="003C6C9E"/>
    <w:rsid w:val="003D1430"/>
    <w:rsid w:val="003D3FC8"/>
    <w:rsid w:val="003D6A0B"/>
    <w:rsid w:val="003E0A8C"/>
    <w:rsid w:val="003E1EF8"/>
    <w:rsid w:val="003E43F0"/>
    <w:rsid w:val="003E4DE4"/>
    <w:rsid w:val="003E5DCB"/>
    <w:rsid w:val="003F3562"/>
    <w:rsid w:val="003F381B"/>
    <w:rsid w:val="003F462A"/>
    <w:rsid w:val="00401351"/>
    <w:rsid w:val="004046FE"/>
    <w:rsid w:val="00406380"/>
    <w:rsid w:val="00407984"/>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717D8"/>
    <w:rsid w:val="00471E00"/>
    <w:rsid w:val="00474EBA"/>
    <w:rsid w:val="00475B6A"/>
    <w:rsid w:val="00476BA3"/>
    <w:rsid w:val="00480AC3"/>
    <w:rsid w:val="004828D8"/>
    <w:rsid w:val="004846CC"/>
    <w:rsid w:val="0048471D"/>
    <w:rsid w:val="004868B9"/>
    <w:rsid w:val="004913CE"/>
    <w:rsid w:val="00492C17"/>
    <w:rsid w:val="004974E1"/>
    <w:rsid w:val="004A3ABB"/>
    <w:rsid w:val="004A5173"/>
    <w:rsid w:val="004A5230"/>
    <w:rsid w:val="004B003D"/>
    <w:rsid w:val="004B3E34"/>
    <w:rsid w:val="004B63B0"/>
    <w:rsid w:val="004D1BEB"/>
    <w:rsid w:val="004D2B8A"/>
    <w:rsid w:val="004D377B"/>
    <w:rsid w:val="004D59DA"/>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5558"/>
    <w:rsid w:val="006015F0"/>
    <w:rsid w:val="00601AE7"/>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7192"/>
    <w:rsid w:val="00692F4C"/>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4135"/>
    <w:rsid w:val="007A4DE8"/>
    <w:rsid w:val="007A5F19"/>
    <w:rsid w:val="007B3202"/>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202B0"/>
    <w:rsid w:val="00821F4B"/>
    <w:rsid w:val="00822B79"/>
    <w:rsid w:val="00822FE0"/>
    <w:rsid w:val="00823C97"/>
    <w:rsid w:val="00826193"/>
    <w:rsid w:val="00826F63"/>
    <w:rsid w:val="008273D7"/>
    <w:rsid w:val="00833757"/>
    <w:rsid w:val="00833D43"/>
    <w:rsid w:val="00842C14"/>
    <w:rsid w:val="008451C1"/>
    <w:rsid w:val="00845B74"/>
    <w:rsid w:val="008479DD"/>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431CA"/>
    <w:rsid w:val="00950310"/>
    <w:rsid w:val="00953F07"/>
    <w:rsid w:val="00954BF6"/>
    <w:rsid w:val="00956349"/>
    <w:rsid w:val="009568FA"/>
    <w:rsid w:val="00957DF3"/>
    <w:rsid w:val="0096036D"/>
    <w:rsid w:val="0096221A"/>
    <w:rsid w:val="00974B55"/>
    <w:rsid w:val="00975A81"/>
    <w:rsid w:val="00977F01"/>
    <w:rsid w:val="00980874"/>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E072C"/>
    <w:rsid w:val="009E245A"/>
    <w:rsid w:val="009E7D89"/>
    <w:rsid w:val="009F1434"/>
    <w:rsid w:val="009F264E"/>
    <w:rsid w:val="009F4F48"/>
    <w:rsid w:val="009F753A"/>
    <w:rsid w:val="009F7672"/>
    <w:rsid w:val="00A039AC"/>
    <w:rsid w:val="00A063C2"/>
    <w:rsid w:val="00A07716"/>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DFA"/>
    <w:rsid w:val="00AE628E"/>
    <w:rsid w:val="00AF15B9"/>
    <w:rsid w:val="00AF4849"/>
    <w:rsid w:val="00AF5252"/>
    <w:rsid w:val="00B00836"/>
    <w:rsid w:val="00B02CE3"/>
    <w:rsid w:val="00B052C3"/>
    <w:rsid w:val="00B07C63"/>
    <w:rsid w:val="00B07CAF"/>
    <w:rsid w:val="00B12771"/>
    <w:rsid w:val="00B137C6"/>
    <w:rsid w:val="00B15312"/>
    <w:rsid w:val="00B2185C"/>
    <w:rsid w:val="00B265C0"/>
    <w:rsid w:val="00B30F4C"/>
    <w:rsid w:val="00B367BE"/>
    <w:rsid w:val="00B37065"/>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2F0A"/>
    <w:rsid w:val="00BA3C12"/>
    <w:rsid w:val="00BA5BF2"/>
    <w:rsid w:val="00BB2F20"/>
    <w:rsid w:val="00BB3628"/>
    <w:rsid w:val="00BB3C0B"/>
    <w:rsid w:val="00BB5AEE"/>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161CD"/>
    <w:rsid w:val="00C2005E"/>
    <w:rsid w:val="00C220B7"/>
    <w:rsid w:val="00C26502"/>
    <w:rsid w:val="00C26570"/>
    <w:rsid w:val="00C353A0"/>
    <w:rsid w:val="00C36682"/>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420"/>
    <w:rsid w:val="00D15B0D"/>
    <w:rsid w:val="00D15C36"/>
    <w:rsid w:val="00D17C41"/>
    <w:rsid w:val="00D20F0C"/>
    <w:rsid w:val="00D21FE0"/>
    <w:rsid w:val="00D2329A"/>
    <w:rsid w:val="00D25918"/>
    <w:rsid w:val="00D27F8F"/>
    <w:rsid w:val="00D30C5D"/>
    <w:rsid w:val="00D328B8"/>
    <w:rsid w:val="00D33634"/>
    <w:rsid w:val="00D3591A"/>
    <w:rsid w:val="00D35B0A"/>
    <w:rsid w:val="00D40392"/>
    <w:rsid w:val="00D40910"/>
    <w:rsid w:val="00D41B4E"/>
    <w:rsid w:val="00D43FC8"/>
    <w:rsid w:val="00D47A1D"/>
    <w:rsid w:val="00D50F3B"/>
    <w:rsid w:val="00D51D40"/>
    <w:rsid w:val="00D52F90"/>
    <w:rsid w:val="00D55F59"/>
    <w:rsid w:val="00D6312F"/>
    <w:rsid w:val="00D64CBB"/>
    <w:rsid w:val="00D67CDB"/>
    <w:rsid w:val="00D72D13"/>
    <w:rsid w:val="00D73308"/>
    <w:rsid w:val="00D73367"/>
    <w:rsid w:val="00D74CFF"/>
    <w:rsid w:val="00D76AAB"/>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478E"/>
    <w:rsid w:val="00DD489E"/>
    <w:rsid w:val="00DD6D1B"/>
    <w:rsid w:val="00DE1FDE"/>
    <w:rsid w:val="00DE2E58"/>
    <w:rsid w:val="00DE359D"/>
    <w:rsid w:val="00DE549E"/>
    <w:rsid w:val="00DF0220"/>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5E0F"/>
    <w:rsid w:val="00E36F6B"/>
    <w:rsid w:val="00E371D1"/>
    <w:rsid w:val="00E47EB2"/>
    <w:rsid w:val="00E53738"/>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602A"/>
    <w:rsid w:val="00F060A7"/>
    <w:rsid w:val="00F07349"/>
    <w:rsid w:val="00F12C6B"/>
    <w:rsid w:val="00F135AA"/>
    <w:rsid w:val="00F15882"/>
    <w:rsid w:val="00F15F19"/>
    <w:rsid w:val="00F17EBA"/>
    <w:rsid w:val="00F21D56"/>
    <w:rsid w:val="00F23C32"/>
    <w:rsid w:val="00F256A6"/>
    <w:rsid w:val="00F25D7E"/>
    <w:rsid w:val="00F265D6"/>
    <w:rsid w:val="00F31DF8"/>
    <w:rsid w:val="00F32859"/>
    <w:rsid w:val="00F334AA"/>
    <w:rsid w:val="00F33730"/>
    <w:rsid w:val="00F40A56"/>
    <w:rsid w:val="00F44489"/>
    <w:rsid w:val="00F44B81"/>
    <w:rsid w:val="00F475EF"/>
    <w:rsid w:val="00F5003E"/>
    <w:rsid w:val="00F5478B"/>
    <w:rsid w:val="00F54A86"/>
    <w:rsid w:val="00F56012"/>
    <w:rsid w:val="00F60ABD"/>
    <w:rsid w:val="00F62E9D"/>
    <w:rsid w:val="00F652DF"/>
    <w:rsid w:val="00F67F7C"/>
    <w:rsid w:val="00F7183A"/>
    <w:rsid w:val="00F75CDE"/>
    <w:rsid w:val="00F7756F"/>
    <w:rsid w:val="00F77B94"/>
    <w:rsid w:val="00F839FD"/>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3D29-5A6B-4FF9-8CAD-4B952F32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1388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2018-10-24T16:53:00Z</dcterms:created>
  <dcterms:modified xsi:type="dcterms:W3CDTF">2018-10-31T14:58:00Z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