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30355F">
        <w:rPr>
          <w:rFonts w:ascii="Arial" w:hAnsi="Arial" w:cs="Arial"/>
          <w:sz w:val="24"/>
          <w:szCs w:val="24"/>
        </w:rPr>
        <w:t>7/</w:t>
      </w:r>
      <w:r w:rsidR="000F4253">
        <w:rPr>
          <w:rFonts w:ascii="Arial" w:hAnsi="Arial" w:cs="Arial"/>
          <w:sz w:val="24"/>
          <w:szCs w:val="24"/>
        </w:rPr>
        <w:t>31</w:t>
      </w:r>
      <w:bookmarkStart w:id="0" w:name="_GoBack"/>
      <w:bookmarkEnd w:id="0"/>
      <w:r w:rsidR="00550F63">
        <w:rPr>
          <w:rFonts w:ascii="Arial" w:hAnsi="Arial" w:cs="Arial"/>
          <w:sz w:val="24"/>
          <w:szCs w:val="24"/>
        </w:rPr>
        <w:t>/2018</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F4253"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D72E92">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0F4253" w:rsidP="0065500C">
            <w:pPr>
              <w:spacing w:before="120"/>
              <w:ind w:right="-720"/>
              <w:rPr>
                <w:rFonts w:ascii="Arial" w:hAnsi="Arial" w:cs="Arial"/>
                <w:sz w:val="20"/>
                <w:szCs w:val="20"/>
              </w:rPr>
            </w:pPr>
            <w:sdt>
              <w:sdtPr>
                <w:rPr>
                  <w:rFonts w:ascii="Arial" w:hAnsi="Arial" w:cs="Arial"/>
                  <w:sz w:val="24"/>
                  <w:szCs w:val="36"/>
                </w:rPr>
                <w:id w:val="-390189904"/>
                <w14:checkbox>
                  <w14:checked w14:val="1"/>
                  <w14:checkedState w14:val="2612" w14:font="MS Gothic"/>
                  <w14:uncheckedState w14:val="2610" w14:font="MS Gothic"/>
                </w14:checkbox>
              </w:sdtPr>
              <w:sdtEndPr/>
              <w:sdtContent>
                <w:r w:rsidR="00D72E92">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0F4253"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550F63">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0F4253"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F20601">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4C3104" w:rsidP="00786BF4">
            <w:pPr>
              <w:ind w:right="-720"/>
              <w:rPr>
                <w:rFonts w:ascii="Arial" w:hAnsi="Arial" w:cs="Arial"/>
                <w:sz w:val="20"/>
                <w:szCs w:val="20"/>
              </w:rPr>
            </w:pPr>
            <w:r>
              <w:rPr>
                <w:rFonts w:ascii="Arial" w:hAnsi="Arial" w:cs="Arial"/>
                <w:sz w:val="20"/>
                <w:szCs w:val="20"/>
              </w:rPr>
              <w:t>Apr. 16,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4C3104" w:rsidP="00786BF4">
            <w:pPr>
              <w:ind w:right="-720"/>
              <w:rPr>
                <w:rFonts w:ascii="Arial" w:hAnsi="Arial" w:cs="Arial"/>
                <w:sz w:val="20"/>
                <w:szCs w:val="20"/>
              </w:rPr>
            </w:pPr>
            <w:r>
              <w:rPr>
                <w:rFonts w:ascii="Arial" w:hAnsi="Arial" w:cs="Arial"/>
                <w:sz w:val="20"/>
                <w:szCs w:val="20"/>
              </w:rPr>
              <w:t>3</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0F4253" w:rsidRDefault="000F4253" w:rsidP="00551D8A">
            <w:pPr>
              <w:ind w:right="-720"/>
              <w:rPr>
                <w:rFonts w:ascii="Arial" w:hAnsi="Arial" w:cs="Arial"/>
                <w:sz w:val="20"/>
                <w:szCs w:val="20"/>
              </w:rPr>
            </w:pPr>
            <w:r w:rsidRPr="000F4253">
              <w:rPr>
                <w:rFonts w:ascii="Arial" w:hAnsi="Arial" w:cs="Arial"/>
                <w:sz w:val="20"/>
                <w:szCs w:val="20"/>
              </w:rPr>
              <w:t>4,285,998</w:t>
            </w:r>
          </w:p>
        </w:tc>
        <w:tc>
          <w:tcPr>
            <w:tcW w:w="3330" w:type="dxa"/>
          </w:tcPr>
          <w:p w:rsidR="00874EF7" w:rsidRPr="000F4253" w:rsidRDefault="000F4253" w:rsidP="00551D8A">
            <w:pPr>
              <w:ind w:right="-720"/>
              <w:rPr>
                <w:rFonts w:ascii="Arial" w:hAnsi="Arial" w:cs="Arial"/>
                <w:sz w:val="20"/>
                <w:szCs w:val="20"/>
              </w:rPr>
            </w:pPr>
            <w:r w:rsidRPr="000F4253">
              <w:rPr>
                <w:rFonts w:ascii="Arial" w:hAnsi="Arial" w:cs="Arial"/>
                <w:sz w:val="20"/>
                <w:szCs w:val="20"/>
              </w:rPr>
              <w:t>2,562,252</w:t>
            </w:r>
          </w:p>
        </w:tc>
        <w:tc>
          <w:tcPr>
            <w:tcW w:w="3420" w:type="dxa"/>
          </w:tcPr>
          <w:p w:rsidR="00874EF7" w:rsidRPr="000F4253" w:rsidRDefault="000F4253" w:rsidP="00551D8A">
            <w:pPr>
              <w:ind w:right="-720"/>
              <w:rPr>
                <w:rFonts w:ascii="Arial" w:hAnsi="Arial" w:cs="Arial"/>
                <w:sz w:val="20"/>
                <w:szCs w:val="20"/>
              </w:rPr>
            </w:pPr>
            <w:r w:rsidRPr="000F4253">
              <w:rPr>
                <w:rFonts w:ascii="Arial" w:hAnsi="Arial" w:cs="Arial"/>
                <w:sz w:val="20"/>
                <w:szCs w:val="20"/>
              </w:rPr>
              <w:t>60</w:t>
            </w:r>
          </w:p>
          <w:p w:rsidR="00874EF7" w:rsidRPr="000F4253"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0F4253" w:rsidRDefault="000F4253" w:rsidP="00F54200">
            <w:pPr>
              <w:ind w:right="-720"/>
              <w:rPr>
                <w:rFonts w:ascii="Arial" w:hAnsi="Arial" w:cs="Arial"/>
                <w:sz w:val="20"/>
                <w:szCs w:val="20"/>
              </w:rPr>
            </w:pPr>
            <w:r w:rsidRPr="000F4253">
              <w:rPr>
                <w:rFonts w:ascii="Arial" w:hAnsi="Arial" w:cs="Arial"/>
                <w:sz w:val="20"/>
                <w:szCs w:val="20"/>
              </w:rPr>
              <w:t>65,381</w:t>
            </w:r>
          </w:p>
        </w:tc>
        <w:tc>
          <w:tcPr>
            <w:tcW w:w="3330" w:type="dxa"/>
          </w:tcPr>
          <w:p w:rsidR="00B66A21" w:rsidRPr="000F4253" w:rsidRDefault="000F4253" w:rsidP="00874EF7">
            <w:pPr>
              <w:ind w:right="-720"/>
              <w:rPr>
                <w:rFonts w:ascii="Arial" w:hAnsi="Arial" w:cs="Arial"/>
                <w:sz w:val="20"/>
                <w:szCs w:val="20"/>
              </w:rPr>
            </w:pPr>
            <w:r w:rsidRPr="000F4253">
              <w:rPr>
                <w:rFonts w:ascii="Arial" w:hAnsi="Arial" w:cs="Arial"/>
                <w:sz w:val="20"/>
                <w:szCs w:val="20"/>
              </w:rPr>
              <w:t>65,381</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EE3D96" w:rsidRDefault="00071E9B" w:rsidP="003831F2">
            <w:pPr>
              <w:rPr>
                <w:rFonts w:ascii="Arial" w:hAnsi="Arial" w:cs="Arial"/>
                <w:sz w:val="20"/>
                <w:szCs w:val="20"/>
              </w:rPr>
            </w:pPr>
            <w:r>
              <w:rPr>
                <w:rFonts w:ascii="Arial" w:hAnsi="Arial" w:cs="Arial"/>
                <w:sz w:val="20"/>
                <w:szCs w:val="20"/>
              </w:rPr>
              <w:t>Effects on ITS Planning and Deployment in a Connected Vehicle Environment</w:t>
            </w:r>
            <w:r w:rsidR="00D176C8">
              <w:rPr>
                <w:rFonts w:ascii="Arial" w:hAnsi="Arial" w:cs="Arial"/>
                <w:sz w:val="20"/>
                <w:szCs w:val="20"/>
              </w:rPr>
              <w:t>: This project</w:t>
            </w:r>
            <w:r>
              <w:rPr>
                <w:rFonts w:ascii="Arial" w:hAnsi="Arial" w:cs="Arial"/>
                <w:sz w:val="20"/>
                <w:szCs w:val="20"/>
              </w:rPr>
              <w:t xml:space="preserve"> </w:t>
            </w:r>
            <w:r w:rsidR="004E6B34">
              <w:rPr>
                <w:rFonts w:ascii="Arial" w:hAnsi="Arial" w:cs="Arial"/>
                <w:sz w:val="20"/>
                <w:szCs w:val="20"/>
              </w:rPr>
              <w:t>was essentially completed</w:t>
            </w:r>
            <w:r>
              <w:rPr>
                <w:rFonts w:ascii="Arial" w:hAnsi="Arial" w:cs="Arial"/>
                <w:sz w:val="20"/>
                <w:szCs w:val="20"/>
              </w:rPr>
              <w:t xml:space="preserve">. </w:t>
            </w:r>
            <w:r w:rsidR="00D176C8">
              <w:rPr>
                <w:rFonts w:ascii="Arial" w:hAnsi="Arial" w:cs="Arial"/>
                <w:sz w:val="20"/>
                <w:szCs w:val="20"/>
              </w:rPr>
              <w:t>The final</w:t>
            </w:r>
            <w:r w:rsidR="004E6B34">
              <w:rPr>
                <w:rFonts w:ascii="Arial" w:hAnsi="Arial" w:cs="Arial"/>
                <w:sz w:val="20"/>
                <w:szCs w:val="20"/>
              </w:rPr>
              <w:t xml:space="preserve"> project report </w:t>
            </w:r>
            <w:r w:rsidR="00D176C8">
              <w:rPr>
                <w:rFonts w:ascii="Arial" w:hAnsi="Arial" w:cs="Arial"/>
                <w:sz w:val="20"/>
                <w:szCs w:val="20"/>
              </w:rPr>
              <w:t>is under FHWA review.</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Capability and Usage Guidelines for</w:t>
            </w:r>
            <w:r w:rsidR="00D176C8">
              <w:rPr>
                <w:rFonts w:ascii="Arial" w:hAnsi="Arial" w:cs="Arial"/>
                <w:sz w:val="20"/>
                <w:szCs w:val="20"/>
              </w:rPr>
              <w:t xml:space="preserve"> Color Changeable Message Signs: </w:t>
            </w:r>
            <w:r w:rsidR="00D72E92">
              <w:rPr>
                <w:rFonts w:ascii="Arial" w:hAnsi="Arial" w:cs="Arial"/>
                <w:sz w:val="20"/>
                <w:szCs w:val="20"/>
              </w:rPr>
              <w:t>D</w:t>
            </w:r>
            <w:r w:rsidR="00D176C8">
              <w:rPr>
                <w:rFonts w:ascii="Arial" w:hAnsi="Arial" w:cs="Arial"/>
                <w:sz w:val="20"/>
                <w:szCs w:val="20"/>
              </w:rPr>
              <w:t xml:space="preserve">raft guidelines for using color full-matrix changeable message signs were </w:t>
            </w:r>
            <w:r w:rsidR="00D72E92">
              <w:rPr>
                <w:rFonts w:ascii="Arial" w:hAnsi="Arial" w:cs="Arial"/>
                <w:sz w:val="20"/>
                <w:szCs w:val="20"/>
              </w:rPr>
              <w:t xml:space="preserve">presented to the members at the annual meeting in April 2018. Preliminary work plan and schedule for the human factors study was presented to the members at the annual meeting. </w:t>
            </w:r>
            <w:r w:rsidR="00B33BE7">
              <w:rPr>
                <w:rFonts w:ascii="Arial" w:hAnsi="Arial" w:cs="Arial"/>
                <w:sz w:val="20"/>
                <w:szCs w:val="20"/>
              </w:rPr>
              <w:t>Second</w:t>
            </w:r>
            <w:r w:rsidR="00D72E92">
              <w:rPr>
                <w:rFonts w:ascii="Arial" w:hAnsi="Arial" w:cs="Arial"/>
                <w:sz w:val="20"/>
                <w:szCs w:val="20"/>
              </w:rPr>
              <w:t xml:space="preserve"> draft guidelines </w:t>
            </w:r>
            <w:r w:rsidR="00B33BE7">
              <w:rPr>
                <w:rFonts w:ascii="Arial" w:hAnsi="Arial" w:cs="Arial"/>
                <w:sz w:val="20"/>
                <w:szCs w:val="20"/>
              </w:rPr>
              <w:t xml:space="preserve">were </w:t>
            </w:r>
            <w:r w:rsidR="00D176C8">
              <w:rPr>
                <w:rFonts w:ascii="Arial" w:hAnsi="Arial" w:cs="Arial"/>
                <w:sz w:val="20"/>
                <w:szCs w:val="20"/>
              </w:rPr>
              <w:t xml:space="preserve">submitted and </w:t>
            </w:r>
            <w:r w:rsidR="00550F63">
              <w:rPr>
                <w:rFonts w:ascii="Arial" w:hAnsi="Arial" w:cs="Arial"/>
                <w:sz w:val="20"/>
                <w:szCs w:val="20"/>
              </w:rPr>
              <w:t>reviewed by the project committee</w:t>
            </w:r>
            <w:r w:rsidR="00D72E92">
              <w:rPr>
                <w:rFonts w:ascii="Arial" w:hAnsi="Arial" w:cs="Arial"/>
                <w:sz w:val="20"/>
                <w:szCs w:val="20"/>
              </w:rPr>
              <w:t xml:space="preserve"> in June 2018.</w:t>
            </w:r>
          </w:p>
          <w:p w:rsidR="00550F63" w:rsidRDefault="00550F63" w:rsidP="003831F2">
            <w:pPr>
              <w:rPr>
                <w:rFonts w:ascii="Arial" w:hAnsi="Arial" w:cs="Arial"/>
                <w:sz w:val="20"/>
                <w:szCs w:val="20"/>
              </w:rPr>
            </w:pPr>
          </w:p>
          <w:p w:rsidR="00550F63" w:rsidRDefault="00550F63" w:rsidP="003831F2">
            <w:pPr>
              <w:rPr>
                <w:rFonts w:ascii="Arial" w:hAnsi="Arial" w:cs="Arial"/>
                <w:sz w:val="20"/>
                <w:szCs w:val="20"/>
              </w:rPr>
            </w:pPr>
            <w:r>
              <w:rPr>
                <w:rFonts w:ascii="Arial" w:hAnsi="Arial" w:cs="Arial"/>
                <w:sz w:val="20"/>
                <w:szCs w:val="20"/>
              </w:rPr>
              <w:t>Considerations of Current and Emerging TMC Data</w:t>
            </w:r>
            <w:r w:rsidR="00D176C8">
              <w:rPr>
                <w:rFonts w:ascii="Arial" w:hAnsi="Arial" w:cs="Arial"/>
                <w:sz w:val="20"/>
                <w:szCs w:val="20"/>
              </w:rPr>
              <w:t xml:space="preserve">: </w:t>
            </w:r>
            <w:r w:rsidR="00D72E92">
              <w:rPr>
                <w:rFonts w:ascii="Arial" w:hAnsi="Arial" w:cs="Arial"/>
                <w:sz w:val="20"/>
                <w:szCs w:val="20"/>
              </w:rPr>
              <w:t>The project was on schedule. A draft project report was anticipated to be delivered in September 2018</w:t>
            </w:r>
            <w:r w:rsidR="00D176C8">
              <w:rPr>
                <w:rFonts w:ascii="Arial" w:hAnsi="Arial" w:cs="Arial"/>
                <w:sz w:val="20"/>
                <w:szCs w:val="20"/>
              </w:rPr>
              <w:t>.</w:t>
            </w:r>
          </w:p>
          <w:p w:rsidR="00071E9B" w:rsidRDefault="00071E9B" w:rsidP="003831F2">
            <w:pPr>
              <w:rPr>
                <w:rFonts w:ascii="Arial" w:hAnsi="Arial" w:cs="Arial"/>
                <w:sz w:val="20"/>
                <w:szCs w:val="20"/>
              </w:rPr>
            </w:pPr>
          </w:p>
          <w:p w:rsidR="00C7711C" w:rsidRDefault="00D72E92" w:rsidP="003831F2">
            <w:pPr>
              <w:rPr>
                <w:rFonts w:ascii="Arial" w:hAnsi="Arial" w:cs="Arial"/>
                <w:sz w:val="20"/>
                <w:szCs w:val="20"/>
              </w:rPr>
            </w:pPr>
            <w:r>
              <w:rPr>
                <w:rFonts w:ascii="Arial" w:hAnsi="Arial" w:cs="Arial"/>
                <w:sz w:val="20"/>
                <w:szCs w:val="20"/>
              </w:rPr>
              <w:t>The TMC Pooled Fund Study Annual Meeting was held on April 11 and 12 in Tampa, Florida. Members reviewed the project status and progress, discussed plans for the program, prioritized and selected projects/studies to initiate in 2019, and toured the Connected Vehicle Pilot Project in Tampa.</w:t>
            </w:r>
          </w:p>
          <w:p w:rsidR="008F5307" w:rsidRDefault="008F5307"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4E6B34" w:rsidRDefault="004E6B34" w:rsidP="003831F2">
            <w:pPr>
              <w:rPr>
                <w:rFonts w:ascii="Arial" w:hAnsi="Arial" w:cs="Arial"/>
                <w:sz w:val="20"/>
                <w:szCs w:val="20"/>
              </w:rPr>
            </w:pPr>
          </w:p>
          <w:p w:rsidR="003E14E3" w:rsidRDefault="003E14E3" w:rsidP="003831F2">
            <w:pPr>
              <w:rPr>
                <w:rFonts w:ascii="Arial" w:hAnsi="Arial" w:cs="Arial"/>
                <w:sz w:val="20"/>
                <w:szCs w:val="20"/>
              </w:rPr>
            </w:pPr>
          </w:p>
          <w:p w:rsidR="00D176C8" w:rsidRDefault="00D176C8"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 xml:space="preserve">Capability and Usage Guidelines for Color Changeable Message Signs: Revised draft guidelines for using color full-matrix changeable message signs will be submitted for review. </w:t>
            </w:r>
            <w:r w:rsidR="00B33BE7">
              <w:rPr>
                <w:rFonts w:ascii="Arial" w:hAnsi="Arial" w:cs="Arial"/>
                <w:sz w:val="20"/>
                <w:szCs w:val="20"/>
              </w:rPr>
              <w:t>W</w:t>
            </w:r>
            <w:r>
              <w:rPr>
                <w:rFonts w:ascii="Arial" w:hAnsi="Arial" w:cs="Arial"/>
                <w:sz w:val="20"/>
                <w:szCs w:val="20"/>
              </w:rPr>
              <w:t xml:space="preserve">ork plan and schedule for the human factors study will be </w:t>
            </w:r>
            <w:r w:rsidR="00B33BE7">
              <w:rPr>
                <w:rFonts w:ascii="Arial" w:hAnsi="Arial" w:cs="Arial"/>
                <w:sz w:val="20"/>
                <w:szCs w:val="20"/>
              </w:rPr>
              <w:t>solidified and work will commence in August 2018</w:t>
            </w:r>
            <w:r>
              <w:rPr>
                <w:rFonts w:ascii="Arial" w:hAnsi="Arial" w:cs="Arial"/>
                <w:sz w:val="20"/>
                <w:szCs w:val="20"/>
              </w:rPr>
              <w:t>.</w:t>
            </w:r>
          </w:p>
          <w:p w:rsidR="00D176C8" w:rsidRDefault="00D176C8" w:rsidP="00D176C8">
            <w:pPr>
              <w:rPr>
                <w:rFonts w:ascii="Arial" w:hAnsi="Arial" w:cs="Arial"/>
                <w:sz w:val="20"/>
                <w:szCs w:val="20"/>
              </w:rPr>
            </w:pPr>
          </w:p>
          <w:p w:rsidR="000051EB" w:rsidRDefault="00D176C8" w:rsidP="000051EB">
            <w:pPr>
              <w:rPr>
                <w:rFonts w:ascii="Arial" w:hAnsi="Arial" w:cs="Arial"/>
                <w:sz w:val="20"/>
                <w:szCs w:val="20"/>
              </w:rPr>
            </w:pPr>
            <w:r>
              <w:rPr>
                <w:rFonts w:ascii="Arial" w:hAnsi="Arial" w:cs="Arial"/>
                <w:sz w:val="20"/>
                <w:szCs w:val="20"/>
              </w:rPr>
              <w:t xml:space="preserve">Considerations of Current and Emerging TMC Data: A draft project report will be developed and submitted for review in </w:t>
            </w:r>
            <w:r w:rsidR="00B33BE7">
              <w:rPr>
                <w:rFonts w:ascii="Arial" w:hAnsi="Arial" w:cs="Arial"/>
                <w:sz w:val="20"/>
                <w:szCs w:val="20"/>
              </w:rPr>
              <w:t>September 2018.</w:t>
            </w:r>
          </w:p>
          <w:p w:rsidR="00C7711C" w:rsidRDefault="00C7711C" w:rsidP="000051EB">
            <w:pPr>
              <w:rPr>
                <w:rFonts w:ascii="Arial" w:hAnsi="Arial" w:cs="Arial"/>
                <w:sz w:val="20"/>
                <w:szCs w:val="20"/>
              </w:rPr>
            </w:pPr>
          </w:p>
          <w:p w:rsidR="00B33BE7" w:rsidRDefault="00B33BE7" w:rsidP="00B33BE7">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will be</w:t>
            </w:r>
            <w:r w:rsidRPr="00071E9B">
              <w:rPr>
                <w:rFonts w:ascii="Arial" w:hAnsi="Arial" w:cs="Arial"/>
                <w:sz w:val="20"/>
                <w:szCs w:val="20"/>
              </w:rPr>
              <w:t xml:space="preserve"> held on </w:t>
            </w:r>
            <w:r>
              <w:rPr>
                <w:rFonts w:ascii="Arial" w:hAnsi="Arial" w:cs="Arial"/>
                <w:sz w:val="20"/>
                <w:szCs w:val="20"/>
              </w:rPr>
              <w:t>July 18, 2018</w:t>
            </w:r>
            <w:r w:rsidRPr="00071E9B">
              <w:rPr>
                <w:rFonts w:ascii="Arial" w:hAnsi="Arial" w:cs="Arial"/>
                <w:sz w:val="20"/>
                <w:szCs w:val="20"/>
              </w:rPr>
              <w:t xml:space="preserve">. Members </w:t>
            </w:r>
            <w:r>
              <w:rPr>
                <w:rFonts w:ascii="Arial" w:hAnsi="Arial" w:cs="Arial"/>
                <w:sz w:val="20"/>
                <w:szCs w:val="20"/>
              </w:rPr>
              <w:t xml:space="preserve">will </w:t>
            </w:r>
            <w:r w:rsidRPr="00071E9B">
              <w:rPr>
                <w:rFonts w:ascii="Arial" w:hAnsi="Arial" w:cs="Arial"/>
                <w:sz w:val="20"/>
                <w:szCs w:val="20"/>
              </w:rPr>
              <w:t>review the progress of on-going projects</w:t>
            </w:r>
            <w:r>
              <w:rPr>
                <w:rFonts w:ascii="Arial" w:hAnsi="Arial" w:cs="Arial"/>
                <w:sz w:val="20"/>
                <w:szCs w:val="20"/>
              </w:rPr>
              <w:t xml:space="preserve"> and</w:t>
            </w:r>
            <w:r w:rsidRPr="00071E9B">
              <w:rPr>
                <w:rFonts w:ascii="Arial" w:hAnsi="Arial" w:cs="Arial"/>
                <w:sz w:val="20"/>
                <w:szCs w:val="20"/>
              </w:rPr>
              <w:t xml:space="preserve"> discuss </w:t>
            </w:r>
            <w:r>
              <w:rPr>
                <w:rFonts w:ascii="Arial" w:hAnsi="Arial" w:cs="Arial"/>
                <w:sz w:val="20"/>
                <w:szCs w:val="20"/>
              </w:rPr>
              <w:t>the scopes, priorities and schedule of upcoming projects</w:t>
            </w:r>
            <w:r w:rsidRPr="00071E9B">
              <w:rPr>
                <w:rFonts w:ascii="Arial" w:hAnsi="Arial" w:cs="Arial"/>
                <w:sz w:val="20"/>
                <w:szCs w:val="20"/>
              </w:rPr>
              <w:t>.</w:t>
            </w:r>
          </w:p>
          <w:p w:rsidR="00D176C8" w:rsidRDefault="00D176C8" w:rsidP="00D176C8">
            <w:pPr>
              <w:rPr>
                <w:rFonts w:ascii="Arial" w:hAnsi="Arial" w:cs="Arial"/>
                <w:sz w:val="20"/>
                <w:szCs w:val="20"/>
              </w:rPr>
            </w:pPr>
          </w:p>
          <w:p w:rsidR="00392834" w:rsidRDefault="00392834" w:rsidP="000051EB">
            <w:pPr>
              <w:rPr>
                <w:rFonts w:ascii="Arial" w:hAnsi="Arial" w:cs="Arial"/>
                <w:sz w:val="20"/>
                <w:szCs w:val="20"/>
              </w:rPr>
            </w:pPr>
          </w:p>
          <w:p w:rsidR="000051EB" w:rsidRDefault="000051EB" w:rsidP="003831F2">
            <w:pPr>
              <w:rPr>
                <w:rFonts w:ascii="Arial" w:hAnsi="Arial" w:cs="Arial"/>
                <w:sz w:val="20"/>
                <w:szCs w:val="20"/>
              </w:rPr>
            </w:pPr>
          </w:p>
          <w:p w:rsidR="00392834" w:rsidRDefault="00392834" w:rsidP="003831F2">
            <w:pPr>
              <w:rPr>
                <w:rFonts w:ascii="Arial" w:hAnsi="Arial" w:cs="Arial"/>
                <w:sz w:val="20"/>
                <w:szCs w:val="20"/>
              </w:rPr>
            </w:pPr>
          </w:p>
          <w:p w:rsidR="00D176C8" w:rsidRDefault="00D176C8"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8B0349" w:rsidRDefault="00B33BE7" w:rsidP="00B33BE7">
            <w:pPr>
              <w:rPr>
                <w:rFonts w:ascii="Arial" w:hAnsi="Arial" w:cs="Arial"/>
                <w:sz w:val="20"/>
                <w:szCs w:val="20"/>
              </w:rPr>
            </w:pPr>
            <w:r>
              <w:rPr>
                <w:rFonts w:ascii="Arial" w:hAnsi="Arial" w:cs="Arial"/>
                <w:sz w:val="20"/>
                <w:szCs w:val="20"/>
              </w:rPr>
              <w:t xml:space="preserve">The final report for the </w:t>
            </w:r>
            <w:r w:rsidRPr="00B33BE7">
              <w:rPr>
                <w:rFonts w:ascii="Arial" w:hAnsi="Arial" w:cs="Arial"/>
                <w:sz w:val="20"/>
                <w:szCs w:val="20"/>
              </w:rPr>
              <w:t>Travel Time Displays at Freeway Entrance Approaches</w:t>
            </w:r>
            <w:r>
              <w:rPr>
                <w:rFonts w:ascii="Arial" w:hAnsi="Arial" w:cs="Arial"/>
                <w:sz w:val="20"/>
                <w:szCs w:val="20"/>
              </w:rPr>
              <w:t xml:space="preserve"> project has been published. </w:t>
            </w:r>
            <w:r w:rsidRPr="00B33BE7">
              <w:rPr>
                <w:rFonts w:ascii="Arial" w:hAnsi="Arial" w:cs="Arial"/>
                <w:sz w:val="20"/>
                <w:szCs w:val="20"/>
              </w:rPr>
              <w:t>The report explores the optimal ways to provide travel time information at freeway entrance approaches to drivers and to evaluate the influence of travel time information on their route choices and diversion behaviors. The studies presented in this report provide both laboratory and field insights into message format and location, as well as resulting behaviors by commuters.</w:t>
            </w:r>
          </w:p>
          <w:p w:rsidR="008B0349" w:rsidRDefault="008B0349" w:rsidP="004D1943">
            <w:pPr>
              <w:rPr>
                <w:rFonts w:ascii="Arial" w:hAnsi="Arial" w:cs="Arial"/>
                <w:sz w:val="20"/>
                <w:szCs w:val="20"/>
              </w:rPr>
            </w:pPr>
          </w:p>
          <w:p w:rsidR="00580507" w:rsidRDefault="00806033" w:rsidP="004D1943">
            <w:pPr>
              <w:rPr>
                <w:rFonts w:ascii="Arial" w:hAnsi="Arial" w:cs="Arial"/>
                <w:sz w:val="20"/>
                <w:szCs w:val="20"/>
              </w:rPr>
            </w:pPr>
            <w:r>
              <w:rPr>
                <w:rFonts w:ascii="Arial" w:hAnsi="Arial" w:cs="Arial"/>
                <w:sz w:val="20"/>
                <w:szCs w:val="20"/>
              </w:rPr>
              <w:t>There have been 37 research efforts funded by this group that have helped advance transportation management and operations practices through the country.</w:t>
            </w: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AA6A8C" w:rsidRDefault="00AA6A8C" w:rsidP="004D1943">
            <w:pPr>
              <w:rPr>
                <w:rFonts w:ascii="Arial" w:hAnsi="Arial" w:cs="Arial"/>
                <w:b/>
                <w:sz w:val="20"/>
                <w:szCs w:val="20"/>
              </w:rPr>
            </w:pPr>
          </w:p>
          <w:p w:rsidR="00203962" w:rsidRDefault="00203962"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71E9B"/>
    <w:rsid w:val="000736BB"/>
    <w:rsid w:val="00094479"/>
    <w:rsid w:val="000B665A"/>
    <w:rsid w:val="000C089D"/>
    <w:rsid w:val="000F4253"/>
    <w:rsid w:val="000F5A9F"/>
    <w:rsid w:val="00106C83"/>
    <w:rsid w:val="00144FD9"/>
    <w:rsid w:val="001547D0"/>
    <w:rsid w:val="00161153"/>
    <w:rsid w:val="001616A0"/>
    <w:rsid w:val="001E25D1"/>
    <w:rsid w:val="001E77A6"/>
    <w:rsid w:val="00203808"/>
    <w:rsid w:val="00203962"/>
    <w:rsid w:val="00210DE8"/>
    <w:rsid w:val="0021446D"/>
    <w:rsid w:val="002361E2"/>
    <w:rsid w:val="002402DD"/>
    <w:rsid w:val="00293FD8"/>
    <w:rsid w:val="002A79C8"/>
    <w:rsid w:val="002C46E7"/>
    <w:rsid w:val="002D4EB7"/>
    <w:rsid w:val="002E5E30"/>
    <w:rsid w:val="002F54D6"/>
    <w:rsid w:val="003004C0"/>
    <w:rsid w:val="0030355F"/>
    <w:rsid w:val="00310E86"/>
    <w:rsid w:val="0032353B"/>
    <w:rsid w:val="00362CF7"/>
    <w:rsid w:val="003831F2"/>
    <w:rsid w:val="0038705A"/>
    <w:rsid w:val="00392834"/>
    <w:rsid w:val="003E14E3"/>
    <w:rsid w:val="004144E6"/>
    <w:rsid w:val="004156B2"/>
    <w:rsid w:val="00415D14"/>
    <w:rsid w:val="00437734"/>
    <w:rsid w:val="00484FC5"/>
    <w:rsid w:val="004863A0"/>
    <w:rsid w:val="0048783A"/>
    <w:rsid w:val="004B466C"/>
    <w:rsid w:val="004C3104"/>
    <w:rsid w:val="004D1943"/>
    <w:rsid w:val="004E14DC"/>
    <w:rsid w:val="004E6B34"/>
    <w:rsid w:val="005021A8"/>
    <w:rsid w:val="00535598"/>
    <w:rsid w:val="00536D0F"/>
    <w:rsid w:val="00545C06"/>
    <w:rsid w:val="00547EE3"/>
    <w:rsid w:val="00550F63"/>
    <w:rsid w:val="00551D8A"/>
    <w:rsid w:val="00580507"/>
    <w:rsid w:val="00581B36"/>
    <w:rsid w:val="00583E8E"/>
    <w:rsid w:val="005A24BC"/>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C7A4C"/>
    <w:rsid w:val="007D26F3"/>
    <w:rsid w:val="007E049B"/>
    <w:rsid w:val="007E5BD2"/>
    <w:rsid w:val="00806033"/>
    <w:rsid w:val="00835671"/>
    <w:rsid w:val="00857490"/>
    <w:rsid w:val="00861239"/>
    <w:rsid w:val="008633EC"/>
    <w:rsid w:val="00872F18"/>
    <w:rsid w:val="00874EF7"/>
    <w:rsid w:val="00886F96"/>
    <w:rsid w:val="008A04BE"/>
    <w:rsid w:val="008B0349"/>
    <w:rsid w:val="008E61F9"/>
    <w:rsid w:val="008F5307"/>
    <w:rsid w:val="00905DAC"/>
    <w:rsid w:val="0094066B"/>
    <w:rsid w:val="00953C2C"/>
    <w:rsid w:val="009552C5"/>
    <w:rsid w:val="0099705F"/>
    <w:rsid w:val="009A6E11"/>
    <w:rsid w:val="009D408F"/>
    <w:rsid w:val="009E15E5"/>
    <w:rsid w:val="009E24D8"/>
    <w:rsid w:val="009F370F"/>
    <w:rsid w:val="009F4646"/>
    <w:rsid w:val="00A01D08"/>
    <w:rsid w:val="00A301AD"/>
    <w:rsid w:val="00A43875"/>
    <w:rsid w:val="00A63677"/>
    <w:rsid w:val="00AA6A8C"/>
    <w:rsid w:val="00AB16B5"/>
    <w:rsid w:val="00AB2A58"/>
    <w:rsid w:val="00AE46B0"/>
    <w:rsid w:val="00B2185C"/>
    <w:rsid w:val="00B33BE7"/>
    <w:rsid w:val="00B350B7"/>
    <w:rsid w:val="00B358DC"/>
    <w:rsid w:val="00B66A21"/>
    <w:rsid w:val="00B73B47"/>
    <w:rsid w:val="00B74212"/>
    <w:rsid w:val="00BE1CE1"/>
    <w:rsid w:val="00BF263C"/>
    <w:rsid w:val="00C05B7A"/>
    <w:rsid w:val="00C10D97"/>
    <w:rsid w:val="00C13753"/>
    <w:rsid w:val="00C319B0"/>
    <w:rsid w:val="00C50FA4"/>
    <w:rsid w:val="00C54BB2"/>
    <w:rsid w:val="00C63B72"/>
    <w:rsid w:val="00C7711C"/>
    <w:rsid w:val="00C81123"/>
    <w:rsid w:val="00C83ADC"/>
    <w:rsid w:val="00CA5F36"/>
    <w:rsid w:val="00CB1464"/>
    <w:rsid w:val="00CB1CC6"/>
    <w:rsid w:val="00CC2697"/>
    <w:rsid w:val="00CD2D44"/>
    <w:rsid w:val="00CD7628"/>
    <w:rsid w:val="00CF2E32"/>
    <w:rsid w:val="00D176C8"/>
    <w:rsid w:val="00D37F0A"/>
    <w:rsid w:val="00D42A15"/>
    <w:rsid w:val="00D65545"/>
    <w:rsid w:val="00D72D45"/>
    <w:rsid w:val="00D72E92"/>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20601"/>
    <w:rsid w:val="00F32135"/>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7DD7F2C"/>
  <w15:docId w15:val="{C669E646-ECE1-4062-AA6E-249308C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7AB5-001B-4B7D-BF55-7C7EA294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2018-08-03T14:17:00Z</dcterms:created>
  <dcterms:modified xsi:type="dcterms:W3CDTF">2018-08-03T14:17:00Z</dcterms:modified>
</cp:coreProperties>
</file>