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0152F8">
        <w:rPr>
          <w:rFonts w:ascii="Arial" w:hAnsi="Arial" w:cs="Arial"/>
          <w:sz w:val="24"/>
          <w:szCs w:val="24"/>
        </w:rPr>
        <w:t>July 24</w:t>
      </w:r>
      <w:r w:rsidR="00262CB4">
        <w:rPr>
          <w:rFonts w:ascii="Arial" w:hAnsi="Arial" w:cs="Arial"/>
          <w:sz w:val="24"/>
          <w:szCs w:val="24"/>
        </w:rPr>
        <w:t>, 201</w:t>
      </w:r>
      <w:r w:rsidR="00930424">
        <w:rPr>
          <w:rFonts w:ascii="Arial" w:hAnsi="Arial" w:cs="Arial"/>
          <w:sz w:val="24"/>
          <w:szCs w:val="24"/>
        </w:rPr>
        <w:t>8</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152F8"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0152F8" w:rsidP="00037FBC">
            <w:pPr>
              <w:ind w:right="-720"/>
              <w:rPr>
                <w:rFonts w:ascii="Arial" w:hAnsi="Arial" w:cs="Arial"/>
                <w:sz w:val="20"/>
                <w:szCs w:val="20"/>
              </w:rPr>
            </w:pPr>
            <w:r>
              <w:rPr>
                <w:rFonts w:ascii="Arial" w:hAnsi="Arial" w:cs="Arial"/>
                <w:sz w:val="36"/>
                <w:szCs w:val="36"/>
              </w:rPr>
              <w:t>X</w:t>
            </w:r>
            <w:r>
              <w:rPr>
                <w:rFonts w:ascii="Arial" w:hAnsi="Arial" w:cs="Arial"/>
                <w:sz w:val="20"/>
                <w:szCs w:val="20"/>
              </w:rPr>
              <w:t xml:space="preserve"> </w:t>
            </w:r>
            <w:r w:rsidR="00551D8A">
              <w:rPr>
                <w:rFonts w:ascii="Arial" w:hAnsi="Arial" w:cs="Arial"/>
                <w:sz w:val="20"/>
                <w:szCs w:val="20"/>
              </w:rPr>
              <w:t>Quarter 2 (April 1 – June 30)</w:t>
            </w:r>
          </w:p>
          <w:p w:rsidR="00551D8A" w:rsidRDefault="0093042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942CE" w:rsidP="005238FF">
            <w:pPr>
              <w:ind w:right="-720"/>
              <w:rPr>
                <w:rFonts w:ascii="Arial" w:hAnsi="Arial" w:cs="Arial"/>
                <w:sz w:val="20"/>
                <w:szCs w:val="20"/>
              </w:rPr>
            </w:pPr>
            <w:r w:rsidRPr="00551D8A">
              <w:rPr>
                <w:rFonts w:ascii="Arial" w:hAnsi="Arial" w:cs="Arial"/>
                <w:sz w:val="36"/>
                <w:szCs w:val="36"/>
              </w:rPr>
              <w:t>□</w:t>
            </w:r>
            <w:r w:rsidR="0093042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0152F8">
            <w:pPr>
              <w:ind w:right="-720"/>
              <w:jc w:val="center"/>
              <w:rPr>
                <w:rFonts w:ascii="Arial" w:hAnsi="Arial" w:cs="Arial"/>
                <w:sz w:val="20"/>
                <w:szCs w:val="20"/>
              </w:rPr>
            </w:pPr>
            <w:r>
              <w:rPr>
                <w:rFonts w:ascii="Arial" w:hAnsi="Arial" w:cs="Arial"/>
                <w:sz w:val="20"/>
                <w:szCs w:val="20"/>
              </w:rPr>
              <w:t xml:space="preserve">$ </w:t>
            </w:r>
            <w:r w:rsidR="009942CE">
              <w:rPr>
                <w:rFonts w:ascii="Arial" w:hAnsi="Arial" w:cs="Arial"/>
                <w:sz w:val="20"/>
                <w:szCs w:val="20"/>
              </w:rPr>
              <w:t>4</w:t>
            </w:r>
            <w:r w:rsidR="000152F8">
              <w:rPr>
                <w:rFonts w:ascii="Arial" w:hAnsi="Arial" w:cs="Arial"/>
                <w:sz w:val="20"/>
                <w:szCs w:val="20"/>
              </w:rPr>
              <w:t>20</w:t>
            </w:r>
            <w:r w:rsidR="00930424">
              <w:rPr>
                <w:rFonts w:ascii="Arial" w:hAnsi="Arial" w:cs="Arial"/>
                <w:sz w:val="20"/>
                <w:szCs w:val="20"/>
              </w:rPr>
              <w:t>,000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0152F8">
            <w:pPr>
              <w:ind w:right="-720"/>
              <w:jc w:val="center"/>
              <w:rPr>
                <w:rFonts w:ascii="Arial" w:hAnsi="Arial" w:cs="Arial"/>
                <w:sz w:val="20"/>
                <w:szCs w:val="20"/>
              </w:rPr>
            </w:pPr>
            <w:r w:rsidRPr="002B254A">
              <w:rPr>
                <w:rFonts w:ascii="Arial" w:hAnsi="Arial" w:cs="Arial"/>
                <w:sz w:val="20"/>
                <w:szCs w:val="20"/>
              </w:rPr>
              <w:t>$</w:t>
            </w:r>
            <w:r w:rsidR="000152F8">
              <w:rPr>
                <w:rFonts w:ascii="Arial" w:hAnsi="Arial" w:cs="Arial"/>
                <w:sz w:val="20"/>
                <w:szCs w:val="20"/>
              </w:rPr>
              <w:t>420,000</w:t>
            </w:r>
            <w:r w:rsidR="005E19C9" w:rsidRPr="002B254A">
              <w:rPr>
                <w:rFonts w:ascii="Arial" w:hAnsi="Arial" w:cs="Arial"/>
                <w:sz w:val="20"/>
                <w:szCs w:val="20"/>
              </w:rPr>
              <w:t xml:space="preserve"> (</w:t>
            </w:r>
            <w:r w:rsidR="009942CE">
              <w:rPr>
                <w:rFonts w:ascii="Arial" w:hAnsi="Arial" w:cs="Arial"/>
                <w:sz w:val="20"/>
                <w:szCs w:val="20"/>
              </w:rPr>
              <w:t>72.5</w:t>
            </w:r>
            <w:r w:rsidR="005348F4" w:rsidRPr="002B254A">
              <w:rPr>
                <w:rFonts w:ascii="Arial" w:hAnsi="Arial" w:cs="Arial"/>
                <w:sz w:val="20"/>
                <w:szCs w:val="20"/>
              </w:rPr>
              <w:t>%)</w:t>
            </w:r>
          </w:p>
        </w:tc>
        <w:tc>
          <w:tcPr>
            <w:tcW w:w="3330" w:type="dxa"/>
          </w:tcPr>
          <w:p w:rsidR="00B66A21" w:rsidRPr="00B66A21" w:rsidRDefault="00404552" w:rsidP="000152F8">
            <w:pPr>
              <w:ind w:right="-720"/>
              <w:jc w:val="center"/>
              <w:rPr>
                <w:rFonts w:ascii="Arial" w:hAnsi="Arial" w:cs="Arial"/>
                <w:sz w:val="20"/>
                <w:szCs w:val="20"/>
              </w:rPr>
            </w:pPr>
            <w:r>
              <w:rPr>
                <w:rFonts w:ascii="Arial" w:hAnsi="Arial" w:cs="Arial"/>
                <w:sz w:val="20"/>
                <w:szCs w:val="20"/>
              </w:rPr>
              <w:t>$</w:t>
            </w:r>
            <w:r w:rsidR="000152F8">
              <w:rPr>
                <w:rFonts w:ascii="Arial" w:hAnsi="Arial" w:cs="Arial"/>
                <w:sz w:val="20"/>
                <w:szCs w:val="20"/>
              </w:rPr>
              <w:t>20,000</w:t>
            </w:r>
          </w:p>
        </w:tc>
        <w:tc>
          <w:tcPr>
            <w:tcW w:w="3420" w:type="dxa"/>
          </w:tcPr>
          <w:p w:rsidR="00B66A21" w:rsidRPr="00B66A21" w:rsidRDefault="000152F8" w:rsidP="001F03FA">
            <w:pPr>
              <w:ind w:right="-720"/>
              <w:jc w:val="center"/>
              <w:rPr>
                <w:rFonts w:ascii="Arial" w:hAnsi="Arial" w:cs="Arial"/>
                <w:sz w:val="20"/>
                <w:szCs w:val="20"/>
              </w:rPr>
            </w:pPr>
            <w:r>
              <w:rPr>
                <w:rFonts w:ascii="Arial" w:hAnsi="Arial" w:cs="Arial"/>
                <w:sz w:val="20"/>
                <w:szCs w:val="20"/>
              </w:rPr>
              <w:t>99</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0152F8" w:rsidRDefault="000152F8" w:rsidP="009942CE">
            <w:pPr>
              <w:pStyle w:val="ListParagraph"/>
              <w:numPr>
                <w:ilvl w:val="1"/>
                <w:numId w:val="2"/>
              </w:numPr>
              <w:rPr>
                <w:b/>
                <w:i/>
                <w:sz w:val="24"/>
                <w:szCs w:val="24"/>
              </w:rPr>
            </w:pPr>
            <w:r>
              <w:rPr>
                <w:b/>
                <w:i/>
                <w:sz w:val="24"/>
                <w:szCs w:val="24"/>
              </w:rPr>
              <w:t xml:space="preserve">The PI presented at the AASHTO RAC Region 2 and Value of Research Task Force Meetings at the AASHTO 2018 Summer Meeting in Wichita, KS.  </w:t>
            </w:r>
          </w:p>
          <w:p w:rsidR="000152F8" w:rsidRPr="009942CE" w:rsidRDefault="000152F8" w:rsidP="000152F8">
            <w:pPr>
              <w:pStyle w:val="ListParagraph"/>
              <w:numPr>
                <w:ilvl w:val="2"/>
                <w:numId w:val="2"/>
              </w:numPr>
              <w:rPr>
                <w:b/>
                <w:i/>
                <w:sz w:val="24"/>
                <w:szCs w:val="24"/>
              </w:rPr>
            </w:pPr>
            <w:r>
              <w:rPr>
                <w:b/>
                <w:i/>
                <w:sz w:val="24"/>
                <w:szCs w:val="24"/>
              </w:rPr>
              <w:t xml:space="preserve">During these presentations, several issues were highlighted noting that the results are probably more cumbersome and difficult to use for most DOT research managers.  </w:t>
            </w:r>
          </w:p>
          <w:p w:rsidR="00935128" w:rsidRDefault="000152F8" w:rsidP="00935128">
            <w:pPr>
              <w:rPr>
                <w:sz w:val="24"/>
                <w:szCs w:val="24"/>
              </w:rPr>
            </w:pPr>
            <w:r>
              <w:rPr>
                <w:sz w:val="24"/>
                <w:szCs w:val="24"/>
              </w:rPr>
              <w:t xml:space="preserve">The list of </w:t>
            </w:r>
            <w:r w:rsidR="009440AC">
              <w:rPr>
                <w:sz w:val="24"/>
                <w:szCs w:val="24"/>
              </w:rPr>
              <w:t>future synthesis studies</w:t>
            </w:r>
            <w:r>
              <w:rPr>
                <w:sz w:val="24"/>
                <w:szCs w:val="24"/>
              </w:rPr>
              <w:t xml:space="preserve"> to be funded at about $40,000 per project is as follows since the billing issue has now been resolved:</w:t>
            </w:r>
          </w:p>
          <w:p w:rsidR="009440AC" w:rsidRDefault="000152F8" w:rsidP="000152F8">
            <w:pPr>
              <w:pStyle w:val="ListParagraph"/>
              <w:numPr>
                <w:ilvl w:val="0"/>
                <w:numId w:val="2"/>
              </w:numPr>
              <w:rPr>
                <w:sz w:val="24"/>
                <w:szCs w:val="24"/>
              </w:rPr>
            </w:pPr>
            <w:r w:rsidRPr="000152F8">
              <w:rPr>
                <w:sz w:val="24"/>
                <w:szCs w:val="24"/>
              </w:rPr>
              <w:t>Synthesis on Documenting and Tracking Research Implementation</w:t>
            </w:r>
          </w:p>
          <w:p w:rsidR="000152F8" w:rsidRDefault="000152F8" w:rsidP="000152F8">
            <w:pPr>
              <w:pStyle w:val="ListParagraph"/>
              <w:numPr>
                <w:ilvl w:val="0"/>
                <w:numId w:val="2"/>
              </w:numPr>
              <w:rPr>
                <w:sz w:val="24"/>
                <w:szCs w:val="24"/>
              </w:rPr>
            </w:pPr>
            <w:r w:rsidRPr="000152F8">
              <w:rPr>
                <w:sz w:val="24"/>
                <w:szCs w:val="24"/>
              </w:rPr>
              <w:t>Synthesis on the Contributing Factors and Effective Countermeasures for Low Volume Roadway Fatality Rates in the Southeast</w:t>
            </w:r>
          </w:p>
          <w:p w:rsidR="000152F8" w:rsidRDefault="000152F8" w:rsidP="000152F8">
            <w:pPr>
              <w:pStyle w:val="ListParagraph"/>
              <w:numPr>
                <w:ilvl w:val="0"/>
                <w:numId w:val="2"/>
              </w:numPr>
              <w:rPr>
                <w:sz w:val="24"/>
                <w:szCs w:val="24"/>
              </w:rPr>
            </w:pPr>
            <w:r w:rsidRPr="000152F8">
              <w:rPr>
                <w:sz w:val="24"/>
                <w:szCs w:val="24"/>
              </w:rPr>
              <w:t>Synthesis on the Best Practices for State DOTs to Determine Project Delivery Time, Project Management, and Ratio of Consultant to In-House Design</w:t>
            </w:r>
          </w:p>
          <w:p w:rsidR="009942CE" w:rsidRDefault="009942CE" w:rsidP="009440AC">
            <w:pPr>
              <w:pStyle w:val="ListParagraph"/>
              <w:rPr>
                <w:sz w:val="24"/>
                <w:szCs w:val="24"/>
              </w:rPr>
            </w:pPr>
          </w:p>
          <w:p w:rsidR="009942CE" w:rsidRDefault="009942CE" w:rsidP="009440AC">
            <w:pPr>
              <w:pStyle w:val="ListParagraph"/>
              <w:rPr>
                <w:sz w:val="24"/>
                <w:szCs w:val="24"/>
              </w:rPr>
            </w:pPr>
          </w:p>
          <w:p w:rsidR="009942CE" w:rsidRPr="009440AC"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0152F8" w:rsidP="00743AF9">
            <w:pPr>
              <w:numPr>
                <w:ilvl w:val="0"/>
                <w:numId w:val="2"/>
              </w:numPr>
              <w:rPr>
                <w:sz w:val="24"/>
                <w:szCs w:val="24"/>
              </w:rPr>
            </w:pPr>
            <w:r>
              <w:rPr>
                <w:sz w:val="24"/>
                <w:szCs w:val="24"/>
              </w:rPr>
              <w:t xml:space="preserve">Advertise the three captioned RFP’s and start the contracting process to start the projects.  </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w:t>
            </w:r>
            <w:bookmarkStart w:id="0" w:name="_GoBack"/>
            <w:bookmarkEnd w:id="0"/>
            <w:r w:rsidRPr="009469F7">
              <w:rPr>
                <w:rFonts w:cs="Times New Roman"/>
                <w:sz w:val="24"/>
                <w:szCs w:val="24"/>
              </w:rPr>
              <w:t>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788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14:docId w14:val="34B4AEA8"/>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8297A-D4E0-4358-886B-20DC2792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2011-10-19T13:14:00Z</cp:lastPrinted>
  <dcterms:created xsi:type="dcterms:W3CDTF">2018-07-24T14:19:00Z</dcterms:created>
  <dcterms:modified xsi:type="dcterms:W3CDTF">2018-07-24T14:19:00Z</dcterms:modified>
</cp:coreProperties>
</file>