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D8A" w:rsidRPr="00E53738" w:rsidRDefault="00551D8A"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9A4B10">
        <w:rPr>
          <w:rFonts w:ascii="Arial" w:hAnsi="Arial" w:cs="Arial"/>
          <w:sz w:val="24"/>
          <w:szCs w:val="24"/>
        </w:rPr>
        <w:t>Alabama DOT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9A4B10" w:rsidP="0070592F">
            <w:pPr>
              <w:ind w:right="-720"/>
              <w:jc w:val="center"/>
              <w:rPr>
                <w:rFonts w:ascii="Arial" w:hAnsi="Arial" w:cs="Arial"/>
                <w:sz w:val="20"/>
                <w:szCs w:val="20"/>
              </w:rPr>
            </w:pPr>
            <w:r>
              <w:rPr>
                <w:rFonts w:ascii="Arial" w:hAnsi="Arial" w:cs="Arial"/>
                <w:sz w:val="20"/>
                <w:szCs w:val="20"/>
              </w:rPr>
              <w:t>TPF-5(228)</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9A4B10" w:rsidRDefault="009A4B10" w:rsidP="00037FBC">
            <w:pPr>
              <w:ind w:right="-720"/>
              <w:rPr>
                <w:rFonts w:ascii="Arial" w:hAnsi="Arial" w:cs="Arial"/>
                <w:sz w:val="20"/>
                <w:szCs w:val="20"/>
              </w:rPr>
            </w:pPr>
          </w:p>
          <w:p w:rsidR="009A4B10" w:rsidRDefault="00FB2264" w:rsidP="0070592F">
            <w:pPr>
              <w:spacing w:before="120"/>
              <w:ind w:right="-720"/>
              <w:rPr>
                <w:rFonts w:ascii="Arial" w:hAnsi="Arial" w:cs="Arial"/>
                <w:sz w:val="20"/>
                <w:szCs w:val="20"/>
              </w:rPr>
            </w:pPr>
            <w:r>
              <w:rPr>
                <w:rFonts w:ascii="Agency FB" w:hAnsi="Agency FB" w:cs="Arial"/>
                <w:b/>
                <w:sz w:val="20"/>
                <w:szCs w:val="20"/>
              </w:rPr>
              <w:t xml:space="preserve"> </w:t>
            </w:r>
            <w:r w:rsidR="006E2BEE">
              <w:rPr>
                <w:rFonts w:ascii="Agency FB" w:hAnsi="Agency FB" w:cs="Arial"/>
                <w:b/>
                <w:sz w:val="20"/>
                <w:szCs w:val="20"/>
              </w:rPr>
              <w:t xml:space="preserve"> </w:t>
            </w:r>
            <w:r w:rsidR="00B42C4A">
              <w:rPr>
                <w:rFonts w:ascii="Arial" w:hAnsi="Arial" w:cs="Arial"/>
                <w:b/>
                <w:sz w:val="20"/>
                <w:szCs w:val="20"/>
              </w:rPr>
              <w:t xml:space="preserve">√ </w:t>
            </w:r>
            <w:r w:rsidR="00551D8A">
              <w:rPr>
                <w:rFonts w:ascii="Arial" w:hAnsi="Arial" w:cs="Arial"/>
                <w:sz w:val="20"/>
                <w:szCs w:val="20"/>
              </w:rPr>
              <w:t>Quarter 1 (January 1 – March 31)</w:t>
            </w:r>
            <w:r w:rsidR="00B42C4A">
              <w:rPr>
                <w:rFonts w:ascii="Arial" w:hAnsi="Arial" w:cs="Arial"/>
                <w:sz w:val="20"/>
                <w:szCs w:val="20"/>
              </w:rPr>
              <w:t xml:space="preserve"> 2018</w:t>
            </w:r>
          </w:p>
          <w:p w:rsidR="009A4B10" w:rsidRDefault="008E7D21" w:rsidP="0070592F">
            <w:pPr>
              <w:spacing w:before="120"/>
              <w:ind w:right="-720"/>
              <w:rPr>
                <w:rFonts w:ascii="Arial" w:hAnsi="Arial" w:cs="Arial"/>
                <w:sz w:val="20"/>
                <w:szCs w:val="20"/>
              </w:rPr>
            </w:pPr>
            <w:r>
              <w:rPr>
                <w:rFonts w:ascii="Arial" w:hAnsi="Arial" w:cs="Arial"/>
                <w:b/>
                <w:sz w:val="20"/>
                <w:szCs w:val="20"/>
              </w:rPr>
              <w:t xml:space="preserve"> </w:t>
            </w:r>
            <w:r w:rsidR="008420B1">
              <w:rPr>
                <w:rFonts w:ascii="Arial" w:hAnsi="Arial" w:cs="Arial"/>
                <w:b/>
                <w:sz w:val="20"/>
                <w:szCs w:val="20"/>
              </w:rPr>
              <w:t xml:space="preserve">  </w:t>
            </w:r>
            <w:r w:rsidR="00DD62F8">
              <w:rPr>
                <w:rFonts w:ascii="Arial" w:hAnsi="Arial" w:cs="Arial"/>
                <w:b/>
                <w:sz w:val="20"/>
                <w:szCs w:val="20"/>
              </w:rPr>
              <w:t xml:space="preserve"> </w:t>
            </w:r>
            <w:r w:rsidR="006017D3">
              <w:rPr>
                <w:rFonts w:ascii="Arial" w:hAnsi="Arial" w:cs="Arial"/>
                <w:b/>
                <w:sz w:val="20"/>
                <w:szCs w:val="20"/>
              </w:rPr>
              <w:t xml:space="preserve"> </w:t>
            </w:r>
            <w:r w:rsidR="00551D8A">
              <w:rPr>
                <w:rFonts w:ascii="Arial" w:hAnsi="Arial" w:cs="Arial"/>
                <w:sz w:val="20"/>
                <w:szCs w:val="20"/>
              </w:rPr>
              <w:t>Quarter 2 (April 1 – June 30)</w:t>
            </w:r>
            <w:r w:rsidR="001745A9">
              <w:rPr>
                <w:rFonts w:ascii="Arial" w:hAnsi="Arial" w:cs="Arial"/>
                <w:sz w:val="20"/>
                <w:szCs w:val="20"/>
              </w:rPr>
              <w:t xml:space="preserve"> </w:t>
            </w:r>
          </w:p>
          <w:p w:rsidR="009A4B10" w:rsidRDefault="003B5E96" w:rsidP="0070592F">
            <w:pPr>
              <w:spacing w:before="120"/>
              <w:ind w:right="-720"/>
              <w:rPr>
                <w:rFonts w:ascii="Arial" w:hAnsi="Arial" w:cs="Arial"/>
                <w:sz w:val="20"/>
                <w:szCs w:val="20"/>
              </w:rPr>
            </w:pPr>
            <w:r>
              <w:rPr>
                <w:rFonts w:ascii="Malgun Gothic" w:eastAsia="Malgun Gothic" w:hAnsi="Malgun Gothic" w:cs="Arial" w:hint="eastAsia"/>
                <w:b/>
                <w:sz w:val="20"/>
                <w:szCs w:val="20"/>
              </w:rPr>
              <w:t xml:space="preserve"> </w:t>
            </w:r>
            <w:r w:rsidR="005F06C7">
              <w:rPr>
                <w:rFonts w:ascii="Malgun Gothic" w:eastAsia="Malgun Gothic" w:hAnsi="Malgun Gothic" w:cs="Arial"/>
                <w:b/>
                <w:sz w:val="20"/>
                <w:szCs w:val="20"/>
              </w:rPr>
              <w:t xml:space="preserve">  </w:t>
            </w:r>
            <w:r w:rsidR="006E2BEE">
              <w:rPr>
                <w:rFonts w:ascii="Malgun Gothic" w:eastAsia="Malgun Gothic" w:hAnsi="Malgun Gothic" w:cs="Arial"/>
                <w:b/>
                <w:sz w:val="20"/>
                <w:szCs w:val="20"/>
              </w:rPr>
              <w:t xml:space="preserve"> </w:t>
            </w:r>
            <w:r w:rsidR="00551D8A">
              <w:rPr>
                <w:rFonts w:ascii="Arial" w:hAnsi="Arial" w:cs="Arial"/>
                <w:sz w:val="20"/>
                <w:szCs w:val="20"/>
              </w:rPr>
              <w:t>Quarter 3 (July 1 – September 30)</w:t>
            </w:r>
          </w:p>
          <w:p w:rsidR="00551D8A" w:rsidRPr="00551D8A" w:rsidRDefault="008C3C6D" w:rsidP="00B42C4A">
            <w:pPr>
              <w:spacing w:before="120"/>
              <w:ind w:right="-720"/>
              <w:rPr>
                <w:rFonts w:ascii="Arial" w:hAnsi="Arial" w:cs="Arial"/>
                <w:sz w:val="20"/>
                <w:szCs w:val="20"/>
              </w:rPr>
            </w:pPr>
            <w:r>
              <w:rPr>
                <w:rFonts w:ascii="Arial" w:hAnsi="Arial" w:cs="Arial"/>
                <w:sz w:val="20"/>
                <w:szCs w:val="20"/>
              </w:rPr>
              <w:t xml:space="preserve"> </w:t>
            </w:r>
            <w:r w:rsidR="003B5E96">
              <w:rPr>
                <w:rFonts w:ascii="Arial" w:hAnsi="Arial" w:cs="Arial"/>
                <w:sz w:val="20"/>
                <w:szCs w:val="20"/>
              </w:rPr>
              <w:t xml:space="preserve"> </w:t>
            </w:r>
            <w:r w:rsidR="00B42C4A">
              <w:rPr>
                <w:rFonts w:ascii="Arial" w:hAnsi="Arial" w:cs="Arial"/>
                <w:sz w:val="20"/>
                <w:szCs w:val="20"/>
              </w:rPr>
              <w:t xml:space="preserve">  </w:t>
            </w:r>
            <w:r w:rsidR="006E2BEE">
              <w:rPr>
                <w:rFonts w:ascii="Arial" w:hAnsi="Arial" w:cs="Arial"/>
                <w:b/>
                <w:sz w:val="20"/>
                <w:szCs w:val="20"/>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9A4B10" w:rsidRDefault="009A4B10" w:rsidP="009A4B10">
            <w:pPr>
              <w:ind w:right="-720"/>
              <w:jc w:val="center"/>
              <w:rPr>
                <w:rFonts w:ascii="Arial" w:hAnsi="Arial" w:cs="Arial"/>
                <w:sz w:val="20"/>
                <w:szCs w:val="20"/>
              </w:rPr>
            </w:pPr>
            <w:r w:rsidRPr="009A4B10">
              <w:rPr>
                <w:rFonts w:ascii="Arial" w:hAnsi="Arial" w:cs="Arial"/>
                <w:sz w:val="20"/>
                <w:szCs w:val="20"/>
              </w:rPr>
              <w:t>Superpave Regional Center, Southeastern Region</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Don Watson and Randy West</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(334) 844-7306</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9A4B10" w:rsidP="0070592F">
            <w:pPr>
              <w:spacing w:before="120"/>
              <w:ind w:right="-720"/>
              <w:rPr>
                <w:rFonts w:ascii="Arial" w:hAnsi="Arial" w:cs="Arial"/>
                <w:sz w:val="20"/>
                <w:szCs w:val="20"/>
              </w:rPr>
            </w:pPr>
            <w:r>
              <w:rPr>
                <w:rFonts w:ascii="Arial" w:hAnsi="Arial" w:cs="Arial"/>
                <w:sz w:val="20"/>
                <w:szCs w:val="20"/>
              </w:rPr>
              <w:t>watsode@auburn.edu</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ALDOT Research Project No. 930-763P</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70592F" w:rsidRPr="0070592F" w:rsidRDefault="0070592F" w:rsidP="0070592F">
            <w:pPr>
              <w:spacing w:before="120"/>
              <w:ind w:right="-720"/>
              <w:rPr>
                <w:rFonts w:ascii="Arial" w:hAnsi="Arial" w:cs="Arial"/>
                <w:sz w:val="20"/>
                <w:szCs w:val="20"/>
              </w:rPr>
            </w:pPr>
            <w:r>
              <w:rPr>
                <w:rFonts w:ascii="Arial" w:hAnsi="Arial" w:cs="Arial"/>
                <w:sz w:val="20"/>
                <w:szCs w:val="20"/>
              </w:rPr>
              <w:t>224574</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70592F" w:rsidP="0070592F">
            <w:pPr>
              <w:spacing w:before="120"/>
              <w:ind w:right="-720"/>
              <w:rPr>
                <w:rFonts w:ascii="Arial" w:hAnsi="Arial" w:cs="Arial"/>
                <w:sz w:val="20"/>
                <w:szCs w:val="20"/>
              </w:rPr>
            </w:pPr>
            <w:r>
              <w:rPr>
                <w:rFonts w:ascii="Arial" w:hAnsi="Arial" w:cs="Arial"/>
                <w:sz w:val="20"/>
                <w:szCs w:val="20"/>
              </w:rPr>
              <w:t>April 28, 2010</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70592F" w:rsidRPr="0070592F" w:rsidRDefault="0070592F" w:rsidP="0070592F">
            <w:pPr>
              <w:spacing w:before="120"/>
              <w:ind w:right="-720"/>
              <w:rPr>
                <w:rFonts w:ascii="Arial" w:hAnsi="Arial" w:cs="Arial"/>
                <w:sz w:val="20"/>
                <w:szCs w:val="20"/>
              </w:rPr>
            </w:pPr>
            <w:r>
              <w:rPr>
                <w:rFonts w:ascii="Arial" w:hAnsi="Arial" w:cs="Arial"/>
                <w:sz w:val="20"/>
                <w:szCs w:val="20"/>
              </w:rPr>
              <w:t>September 30, 2012</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70592F" w:rsidRPr="0070592F" w:rsidRDefault="006017D3" w:rsidP="003556BB">
            <w:pPr>
              <w:spacing w:before="120"/>
              <w:ind w:right="-720"/>
              <w:rPr>
                <w:rFonts w:ascii="Arial" w:hAnsi="Arial" w:cs="Arial"/>
                <w:sz w:val="20"/>
                <w:szCs w:val="20"/>
              </w:rPr>
            </w:pPr>
            <w:r>
              <w:rPr>
                <w:rFonts w:ascii="Arial" w:hAnsi="Arial" w:cs="Arial"/>
                <w:sz w:val="20"/>
                <w:szCs w:val="20"/>
              </w:rPr>
              <w:t>February 28, 2020</w:t>
            </w:r>
            <w:r w:rsidR="00FF2199">
              <w:rPr>
                <w:rFonts w:ascii="Arial" w:hAnsi="Arial" w:cs="Arial"/>
                <w:sz w:val="20"/>
                <w:szCs w:val="20"/>
              </w:rPr>
              <w:t xml:space="preserve">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6017D3" w:rsidP="0003476C">
            <w:pPr>
              <w:ind w:right="-720"/>
              <w:rPr>
                <w:rFonts w:ascii="Arial" w:hAnsi="Arial" w:cs="Arial"/>
                <w:sz w:val="20"/>
                <w:szCs w:val="20"/>
              </w:rPr>
            </w:pPr>
            <w:r>
              <w:rPr>
                <w:rFonts w:ascii="Arial" w:hAnsi="Arial" w:cs="Arial"/>
                <w:sz w:val="20"/>
                <w:szCs w:val="20"/>
              </w:rPr>
              <w:t>4</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On schedule</w:t>
      </w:r>
      <w:r w:rsidRPr="00B66A21">
        <w:rPr>
          <w:rFonts w:ascii="Arial" w:hAnsi="Arial" w:cs="Arial"/>
          <w:sz w:val="20"/>
          <w:szCs w:val="20"/>
        </w:rPr>
        <w:tab/>
      </w:r>
      <w:r w:rsidR="008D1AB6">
        <w:rPr>
          <w:rFonts w:ascii="Arial" w:hAnsi="Arial" w:cs="Arial"/>
          <w:sz w:val="36"/>
          <w:szCs w:val="36"/>
        </w:rPr>
        <w:t xml:space="preserve">  </w:t>
      </w:r>
      <w:r w:rsidRPr="00B66A21">
        <w:rPr>
          <w:rFonts w:ascii="Arial" w:hAnsi="Arial" w:cs="Arial"/>
          <w:sz w:val="36"/>
          <w:szCs w:val="36"/>
        </w:rPr>
        <w:t xml:space="preserve"> </w:t>
      </w:r>
      <w:r w:rsidR="008D1AB6">
        <w:rPr>
          <w:rFonts w:ascii="Arial" w:hAnsi="Arial" w:cs="Arial"/>
          <w:sz w:val="36"/>
          <w:szCs w:val="36"/>
        </w:rPr>
        <w:t xml:space="preserve">   </w:t>
      </w:r>
      <w:r w:rsidR="00623334">
        <w:rPr>
          <w:rFonts w:ascii="Agency FB" w:hAnsi="Agency FB" w:cs="Arial"/>
          <w:sz w:val="36"/>
          <w:szCs w:val="36"/>
        </w:rPr>
        <w:t>√</w:t>
      </w:r>
      <w:r w:rsidR="008D1AB6">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6017D3" w:rsidP="00A33242">
            <w:pPr>
              <w:spacing w:before="120"/>
              <w:ind w:right="-720"/>
              <w:jc w:val="center"/>
              <w:rPr>
                <w:rFonts w:ascii="Arial" w:hAnsi="Arial" w:cs="Arial"/>
                <w:sz w:val="20"/>
                <w:szCs w:val="20"/>
              </w:rPr>
            </w:pPr>
            <w:r>
              <w:rPr>
                <w:rFonts w:ascii="Arial" w:hAnsi="Arial" w:cs="Arial"/>
                <w:sz w:val="20"/>
                <w:szCs w:val="20"/>
              </w:rPr>
              <w:t>$2,000,353</w:t>
            </w:r>
            <w:r w:rsidR="00642352">
              <w:rPr>
                <w:rFonts w:ascii="Arial" w:hAnsi="Arial" w:cs="Arial"/>
                <w:sz w:val="20"/>
                <w:szCs w:val="20"/>
              </w:rPr>
              <w:t xml:space="preserve"> </w:t>
            </w:r>
          </w:p>
        </w:tc>
        <w:tc>
          <w:tcPr>
            <w:tcW w:w="3330" w:type="dxa"/>
          </w:tcPr>
          <w:p w:rsidR="00874EF7" w:rsidRPr="00B66A21" w:rsidRDefault="008C3C6D" w:rsidP="00BA0AF7">
            <w:pPr>
              <w:spacing w:before="120"/>
              <w:ind w:right="-720"/>
              <w:jc w:val="center"/>
              <w:rPr>
                <w:rFonts w:ascii="Arial" w:hAnsi="Arial" w:cs="Arial"/>
                <w:sz w:val="20"/>
                <w:szCs w:val="20"/>
              </w:rPr>
            </w:pPr>
            <w:r>
              <w:rPr>
                <w:rFonts w:ascii="Arial" w:hAnsi="Arial" w:cs="Arial"/>
                <w:sz w:val="20"/>
                <w:szCs w:val="20"/>
              </w:rPr>
              <w:t>$</w:t>
            </w:r>
            <w:r w:rsidR="00B42C4A">
              <w:rPr>
                <w:rFonts w:ascii="Arial" w:hAnsi="Arial" w:cs="Arial"/>
                <w:sz w:val="20"/>
                <w:szCs w:val="20"/>
              </w:rPr>
              <w:t>1,317,140</w:t>
            </w:r>
          </w:p>
        </w:tc>
        <w:tc>
          <w:tcPr>
            <w:tcW w:w="3420" w:type="dxa"/>
          </w:tcPr>
          <w:p w:rsidR="00874EF7" w:rsidRDefault="00624F0E" w:rsidP="008D1AB6">
            <w:pPr>
              <w:spacing w:before="120"/>
              <w:ind w:right="-720"/>
              <w:jc w:val="center"/>
              <w:rPr>
                <w:rFonts w:ascii="Arial" w:hAnsi="Arial" w:cs="Arial"/>
                <w:sz w:val="20"/>
                <w:szCs w:val="20"/>
              </w:rPr>
            </w:pPr>
            <w:r>
              <w:rPr>
                <w:rFonts w:ascii="Arial" w:hAnsi="Arial" w:cs="Arial"/>
                <w:sz w:val="20"/>
                <w:szCs w:val="20"/>
              </w:rPr>
              <w:t>75</w:t>
            </w:r>
          </w:p>
          <w:p w:rsidR="008D1AB6" w:rsidRPr="00B66A21" w:rsidRDefault="008D1AB6" w:rsidP="008D1AB6">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B25F8">
        <w:rPr>
          <w:rFonts w:ascii="Arial" w:hAnsi="Arial" w:cs="Arial"/>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w:t>
            </w:r>
            <w:r w:rsidR="003413CE">
              <w:rPr>
                <w:rFonts w:ascii="Arial" w:hAnsi="Arial" w:cs="Arial"/>
                <w:b/>
                <w:sz w:val="20"/>
                <w:szCs w:val="20"/>
              </w:rPr>
              <w:t xml:space="preserve"> as of</w:t>
            </w:r>
            <w:r w:rsidR="00547EE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8E7D21" w:rsidP="001745A9">
            <w:pPr>
              <w:spacing w:before="120"/>
              <w:ind w:right="-720"/>
              <w:jc w:val="center"/>
              <w:rPr>
                <w:rFonts w:ascii="Arial" w:hAnsi="Arial" w:cs="Arial"/>
                <w:sz w:val="20"/>
                <w:szCs w:val="20"/>
              </w:rPr>
            </w:pPr>
            <w:r>
              <w:rPr>
                <w:rFonts w:ascii="Arial" w:hAnsi="Arial" w:cs="Arial"/>
                <w:sz w:val="20"/>
                <w:szCs w:val="20"/>
              </w:rPr>
              <w:t>$</w:t>
            </w:r>
            <w:r w:rsidR="00B42C4A">
              <w:rPr>
                <w:rFonts w:ascii="Arial" w:hAnsi="Arial" w:cs="Arial"/>
                <w:sz w:val="20"/>
                <w:szCs w:val="20"/>
              </w:rPr>
              <w:t>1,317,1</w:t>
            </w:r>
            <w:r w:rsidR="006E2BEE">
              <w:rPr>
                <w:rFonts w:ascii="Arial" w:hAnsi="Arial" w:cs="Arial"/>
                <w:sz w:val="20"/>
                <w:szCs w:val="20"/>
              </w:rPr>
              <w:t>40 (64</w:t>
            </w:r>
            <w:r w:rsidR="00014344">
              <w:rPr>
                <w:rFonts w:ascii="Arial" w:hAnsi="Arial" w:cs="Arial"/>
                <w:sz w:val="20"/>
                <w:szCs w:val="20"/>
              </w:rPr>
              <w:t>% of budget)</w:t>
            </w:r>
          </w:p>
        </w:tc>
        <w:tc>
          <w:tcPr>
            <w:tcW w:w="3330" w:type="dxa"/>
          </w:tcPr>
          <w:p w:rsidR="00B66A21" w:rsidRPr="00B66A21" w:rsidRDefault="00D838A4" w:rsidP="00131BC3">
            <w:pPr>
              <w:spacing w:before="120"/>
              <w:ind w:right="-720"/>
              <w:jc w:val="center"/>
              <w:rPr>
                <w:rFonts w:ascii="Arial" w:hAnsi="Arial" w:cs="Arial"/>
                <w:sz w:val="20"/>
                <w:szCs w:val="20"/>
              </w:rPr>
            </w:pPr>
            <w:r>
              <w:rPr>
                <w:rFonts w:ascii="Arial" w:hAnsi="Arial" w:cs="Arial"/>
                <w:sz w:val="20"/>
                <w:szCs w:val="20"/>
              </w:rPr>
              <w:t>$</w:t>
            </w:r>
            <w:r w:rsidR="00B42C4A">
              <w:rPr>
                <w:rFonts w:ascii="Arial" w:hAnsi="Arial" w:cs="Arial"/>
                <w:sz w:val="20"/>
                <w:szCs w:val="20"/>
              </w:rPr>
              <w:t>43599</w:t>
            </w:r>
          </w:p>
        </w:tc>
        <w:tc>
          <w:tcPr>
            <w:tcW w:w="3420" w:type="dxa"/>
          </w:tcPr>
          <w:p w:rsidR="00B66A21" w:rsidRDefault="00624F0E" w:rsidP="00014344">
            <w:pPr>
              <w:spacing w:before="120"/>
              <w:ind w:right="-720"/>
              <w:jc w:val="center"/>
              <w:rPr>
                <w:rFonts w:ascii="Arial" w:hAnsi="Arial" w:cs="Arial"/>
                <w:sz w:val="20"/>
                <w:szCs w:val="20"/>
              </w:rPr>
            </w:pPr>
            <w:r>
              <w:rPr>
                <w:rFonts w:ascii="Arial" w:hAnsi="Arial" w:cs="Arial"/>
                <w:sz w:val="20"/>
                <w:szCs w:val="20"/>
              </w:rPr>
              <w:t>80</w:t>
            </w:r>
          </w:p>
          <w:p w:rsidR="008D1AB6" w:rsidRPr="00B66A21" w:rsidRDefault="008D1AB6" w:rsidP="00014344">
            <w:pPr>
              <w:ind w:right="-720"/>
              <w:jc w:val="cente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8A7FB0" w:rsidRDefault="008A7FB0" w:rsidP="008A7FB0">
            <w:r w:rsidRPr="00E608EB">
              <w:t xml:space="preserve">The Southeastern Superpave Center </w:t>
            </w:r>
            <w:r>
              <w:t>has been</w:t>
            </w:r>
            <w:r w:rsidRPr="00E608EB">
              <w:t xml:space="preserve"> supported by </w:t>
            </w:r>
            <w:r>
              <w:t>state</w:t>
            </w:r>
            <w:r w:rsidRPr="00E608EB">
              <w:t xml:space="preserve"> agencies through a pooled-fund project </w:t>
            </w:r>
            <w:r>
              <w:t xml:space="preserve">that has </w:t>
            </w:r>
            <w:r w:rsidRPr="00E608EB">
              <w:t xml:space="preserve">been largely used to provide training, verify ruggedness of equipment, check equipment calibrations, provide materials research, and aid in keeping agency personnel abreast of changes in asphalt technology. In order to continue the efforts in training, technology transfer, and </w:t>
            </w:r>
            <w:r>
              <w:t>implementable</w:t>
            </w:r>
            <w:r w:rsidRPr="00E608EB">
              <w:t xml:space="preserve"> research, it is essential that the pooled-fund effort be continued. </w:t>
            </w:r>
          </w:p>
          <w:p w:rsidR="008A7FB0" w:rsidRDefault="008A7FB0" w:rsidP="008A7FB0"/>
          <w:p w:rsidR="008A7FB0" w:rsidRPr="00046643" w:rsidRDefault="008A7FB0" w:rsidP="008A7FB0">
            <w:pPr>
              <w:rPr>
                <w:i/>
              </w:rPr>
            </w:pPr>
            <w:r w:rsidRPr="00046643">
              <w:rPr>
                <w:b/>
                <w:i/>
              </w:rPr>
              <w:t>NOTE:</w:t>
            </w:r>
            <w:r>
              <w:t xml:space="preserve"> </w:t>
            </w:r>
            <w:r w:rsidRPr="00046643">
              <w:rPr>
                <w:i/>
              </w:rPr>
              <w:t>This pooled-fund</w:t>
            </w:r>
            <w:r>
              <w:rPr>
                <w:i/>
              </w:rPr>
              <w:t xml:space="preserve"> project</w:t>
            </w:r>
            <w:r w:rsidRPr="00046643">
              <w:rPr>
                <w:i/>
              </w:rPr>
              <w:t xml:space="preserve"> is not limited to states located in the southeast. Agencies throughout the country are invited to participate and take advantage of the research and training opportunities provided by the Southeastern Superpave Center.</w:t>
            </w:r>
          </w:p>
          <w:p w:rsidR="008A7FB0" w:rsidRPr="00E608EB" w:rsidRDefault="008A7FB0" w:rsidP="008A7FB0"/>
          <w:p w:rsidR="008A7FB0" w:rsidRPr="00E608EB" w:rsidRDefault="008A7FB0" w:rsidP="008A7FB0">
            <w:pPr>
              <w:rPr>
                <w:b/>
              </w:rPr>
            </w:pPr>
            <w:r w:rsidRPr="00E608EB">
              <w:rPr>
                <w:b/>
              </w:rPr>
              <w:t>OBJECTIVES</w:t>
            </w:r>
          </w:p>
          <w:p w:rsidR="008A7FB0" w:rsidRPr="00E608EB" w:rsidRDefault="008A7FB0" w:rsidP="008A7FB0">
            <w:pPr>
              <w:rPr>
                <w:b/>
              </w:rPr>
            </w:pPr>
          </w:p>
          <w:p w:rsidR="008A7FB0" w:rsidRDefault="008A7FB0" w:rsidP="008A7FB0">
            <w:r>
              <w:t>Several short-term and long-term objectives of the Southeastern Superpave Center are listed below. Several objectives deal with evaluating recently-developed performance test equipment and conducting research to address materials and tests issues. Objectives of the Center are:</w:t>
            </w:r>
          </w:p>
          <w:p w:rsidR="008A7FB0" w:rsidRDefault="008A7FB0" w:rsidP="008A7FB0">
            <w:pPr>
              <w:numPr>
                <w:ilvl w:val="0"/>
                <w:numId w:val="1"/>
              </w:numPr>
              <w:spacing w:before="120"/>
            </w:pPr>
            <w:r>
              <w:t>Conduct training in regard to Superpave binders, mix design, and performance testing. Provide training on special topics as requested by participating agencies at their on-site locations.</w:t>
            </w:r>
          </w:p>
          <w:p w:rsidR="008A7FB0" w:rsidRDefault="008A7FB0" w:rsidP="008A7FB0">
            <w:pPr>
              <w:numPr>
                <w:ilvl w:val="0"/>
                <w:numId w:val="1"/>
              </w:numPr>
              <w:spacing w:before="120"/>
            </w:pPr>
            <w:r>
              <w:t>Perform research, both cooperatively and agency-specific, sponsored by members of the pooled-fund.</w:t>
            </w:r>
          </w:p>
          <w:p w:rsidR="008A7FB0" w:rsidRDefault="008A7FB0" w:rsidP="008A7FB0">
            <w:pPr>
              <w:numPr>
                <w:ilvl w:val="0"/>
                <w:numId w:val="1"/>
              </w:numPr>
              <w:spacing w:before="120"/>
            </w:pPr>
            <w:r>
              <w:t>Perform precision and bias testing for asphalt-related performance test equipment.</w:t>
            </w:r>
          </w:p>
          <w:p w:rsidR="008A7FB0" w:rsidRDefault="008A7FB0" w:rsidP="008A7FB0">
            <w:pPr>
              <w:numPr>
                <w:ilvl w:val="0"/>
                <w:numId w:val="1"/>
              </w:numPr>
              <w:spacing w:before="120"/>
            </w:pPr>
            <w:r>
              <w:t>Conduct noise studies in an effort to develop quieter pavements.</w:t>
            </w:r>
          </w:p>
          <w:p w:rsidR="008A7FB0" w:rsidRDefault="008A7FB0" w:rsidP="008A7FB0">
            <w:pPr>
              <w:numPr>
                <w:ilvl w:val="0"/>
                <w:numId w:val="1"/>
              </w:numPr>
              <w:spacing w:before="120"/>
            </w:pPr>
            <w:r>
              <w:t>Perform forensic evaluations on materials or projects that have experienced premature distress.</w:t>
            </w:r>
          </w:p>
          <w:p w:rsidR="008A7FB0" w:rsidRDefault="008A7FB0" w:rsidP="008A7FB0">
            <w:pPr>
              <w:numPr>
                <w:ilvl w:val="0"/>
                <w:numId w:val="1"/>
              </w:numPr>
              <w:spacing w:before="120"/>
            </w:pPr>
            <w:r>
              <w:t xml:space="preserve">Prepare research articles of regional and national interest.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1088" w:type="dxa"/>
        <w:tblInd w:w="-720" w:type="dxa"/>
        <w:tblLayout w:type="fixed"/>
        <w:tblLook w:val="04A0" w:firstRow="1" w:lastRow="0" w:firstColumn="1" w:lastColumn="0" w:noHBand="0" w:noVBand="1"/>
      </w:tblPr>
      <w:tblGrid>
        <w:gridCol w:w="11088"/>
      </w:tblGrid>
      <w:tr w:rsidR="00601EBD" w:rsidTr="0098234D">
        <w:tc>
          <w:tcPr>
            <w:tcW w:w="11088" w:type="dxa"/>
            <w:tcBorders>
              <w:bottom w:val="single" w:sz="4" w:space="0" w:color="auto"/>
            </w:tcBorders>
          </w:tcPr>
          <w:p w:rsidR="00E35E0F" w:rsidRDefault="00E54459" w:rsidP="00551D8A">
            <w:pPr>
              <w:ind w:right="-720"/>
              <w:rPr>
                <w:rFonts w:ascii="Arial" w:hAnsi="Arial" w:cs="Arial"/>
                <w:b/>
                <w:sz w:val="20"/>
                <w:szCs w:val="20"/>
              </w:rPr>
            </w:pPr>
            <w:r>
              <w:br w:type="page"/>
            </w:r>
          </w:p>
          <w:p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2B45C9" w:rsidRDefault="002B45C9" w:rsidP="00551D8A">
            <w:pPr>
              <w:ind w:right="-720"/>
              <w:rPr>
                <w:rFonts w:ascii="Arial" w:hAnsi="Arial" w:cs="Arial"/>
                <w:b/>
                <w:sz w:val="20"/>
                <w:szCs w:val="20"/>
              </w:rPr>
            </w:pPr>
          </w:p>
          <w:p w:rsidR="005F06C7" w:rsidRPr="00FF2199" w:rsidRDefault="005F06C7" w:rsidP="005F2550">
            <w:pPr>
              <w:spacing w:after="120"/>
              <w:ind w:right="-720"/>
              <w:rPr>
                <w:rFonts w:cs="Arial"/>
                <w:b/>
              </w:rPr>
            </w:pPr>
            <w:r w:rsidRPr="00FF2199">
              <w:rPr>
                <w:rFonts w:cs="Arial"/>
                <w:b/>
              </w:rPr>
              <w:t>TRAINING</w:t>
            </w:r>
          </w:p>
          <w:p w:rsidR="006E2BEE" w:rsidRDefault="004B5199" w:rsidP="006E2BEE">
            <w:pPr>
              <w:ind w:right="-720"/>
              <w:rPr>
                <w:rFonts w:ascii="Arial" w:hAnsi="Arial" w:cs="Arial"/>
                <w:sz w:val="20"/>
                <w:szCs w:val="20"/>
              </w:rPr>
            </w:pPr>
            <w:r>
              <w:rPr>
                <w:rFonts w:ascii="Arial" w:hAnsi="Arial" w:cs="Arial"/>
                <w:sz w:val="20"/>
                <w:szCs w:val="20"/>
              </w:rPr>
              <w:t>This quarter</w:t>
            </w:r>
            <w:r w:rsidR="00A72F36">
              <w:rPr>
                <w:rFonts w:ascii="Arial" w:hAnsi="Arial" w:cs="Arial"/>
                <w:sz w:val="20"/>
                <w:szCs w:val="20"/>
              </w:rPr>
              <w:t xml:space="preserve"> t</w:t>
            </w:r>
            <w:r>
              <w:rPr>
                <w:rFonts w:ascii="Arial" w:hAnsi="Arial" w:cs="Arial"/>
                <w:sz w:val="20"/>
                <w:szCs w:val="20"/>
              </w:rPr>
              <w:t xml:space="preserve">echnician certification courses were </w:t>
            </w:r>
            <w:r w:rsidR="006E2BEE">
              <w:rPr>
                <w:rFonts w:ascii="Arial" w:hAnsi="Arial" w:cs="Arial"/>
                <w:sz w:val="20"/>
                <w:szCs w:val="20"/>
              </w:rPr>
              <w:t>conducted</w:t>
            </w:r>
            <w:r w:rsidR="00624F0E">
              <w:rPr>
                <w:rFonts w:ascii="Arial" w:hAnsi="Arial" w:cs="Arial"/>
                <w:sz w:val="20"/>
                <w:szCs w:val="20"/>
              </w:rPr>
              <w:t xml:space="preserve"> for Puerto Rico,</w:t>
            </w:r>
            <w:r w:rsidR="006E2BEE">
              <w:rPr>
                <w:rFonts w:ascii="Arial" w:hAnsi="Arial" w:cs="Arial"/>
                <w:sz w:val="20"/>
                <w:szCs w:val="20"/>
              </w:rPr>
              <w:t xml:space="preserve"> Pavement Preservation courses were held</w:t>
            </w:r>
          </w:p>
          <w:p w:rsidR="00624F0E" w:rsidRDefault="006E2BEE" w:rsidP="006E2BEE">
            <w:pPr>
              <w:ind w:right="-720"/>
              <w:rPr>
                <w:rFonts w:ascii="Arial" w:hAnsi="Arial" w:cs="Arial"/>
                <w:sz w:val="20"/>
                <w:szCs w:val="20"/>
              </w:rPr>
            </w:pPr>
            <w:r>
              <w:rPr>
                <w:rFonts w:ascii="Arial" w:hAnsi="Arial" w:cs="Arial"/>
                <w:sz w:val="20"/>
                <w:szCs w:val="20"/>
              </w:rPr>
              <w:t>for Alabama</w:t>
            </w:r>
            <w:r w:rsidR="00624F0E">
              <w:rPr>
                <w:rFonts w:ascii="Arial" w:hAnsi="Arial" w:cs="Arial"/>
                <w:sz w:val="20"/>
                <w:szCs w:val="20"/>
              </w:rPr>
              <w:t>, and an Asphalt Engineers Workshop was held for Georgia</w:t>
            </w:r>
            <w:r w:rsidR="004B5199">
              <w:rPr>
                <w:rFonts w:ascii="Arial" w:hAnsi="Arial" w:cs="Arial"/>
                <w:sz w:val="20"/>
                <w:szCs w:val="20"/>
              </w:rPr>
              <w:t>.</w:t>
            </w:r>
            <w:r w:rsidR="00624F0E">
              <w:rPr>
                <w:rFonts w:ascii="Arial" w:hAnsi="Arial" w:cs="Arial"/>
                <w:sz w:val="20"/>
                <w:szCs w:val="20"/>
              </w:rPr>
              <w:t xml:space="preserve"> A total of 142 personnel participated in training </w:t>
            </w:r>
          </w:p>
          <w:p w:rsidR="005F06C7" w:rsidRPr="005F06C7" w:rsidRDefault="00624F0E" w:rsidP="006E2BEE">
            <w:pPr>
              <w:ind w:right="-720"/>
              <w:rPr>
                <w:rFonts w:ascii="Arial" w:hAnsi="Arial" w:cs="Arial"/>
                <w:sz w:val="20"/>
                <w:szCs w:val="20"/>
              </w:rPr>
            </w:pPr>
            <w:r>
              <w:rPr>
                <w:rFonts w:ascii="Arial" w:hAnsi="Arial" w:cs="Arial"/>
                <w:sz w:val="20"/>
                <w:szCs w:val="20"/>
              </w:rPr>
              <w:t>courses this quarter.</w:t>
            </w:r>
            <w:r w:rsidR="005F06C7">
              <w:rPr>
                <w:rFonts w:ascii="Arial" w:hAnsi="Arial" w:cs="Arial"/>
                <w:sz w:val="20"/>
                <w:szCs w:val="20"/>
              </w:rPr>
              <w:t xml:space="preserve"> </w:t>
            </w:r>
          </w:p>
          <w:p w:rsidR="005F06C7" w:rsidRDefault="005F06C7" w:rsidP="00551D8A">
            <w:pPr>
              <w:ind w:right="-720"/>
              <w:rPr>
                <w:rFonts w:ascii="Arial" w:hAnsi="Arial" w:cs="Arial"/>
                <w:b/>
                <w:sz w:val="20"/>
                <w:szCs w:val="20"/>
              </w:rPr>
            </w:pPr>
          </w:p>
          <w:p w:rsidR="00131BC3" w:rsidRPr="004B5199" w:rsidRDefault="004B5199" w:rsidP="004B5199">
            <w:pPr>
              <w:tabs>
                <w:tab w:val="left" w:pos="3330"/>
                <w:tab w:val="left" w:pos="3960"/>
              </w:tabs>
              <w:spacing w:after="120"/>
              <w:jc w:val="both"/>
              <w:rPr>
                <w:rFonts w:cstheme="minorHAnsi"/>
                <w:b/>
              </w:rPr>
            </w:pPr>
            <w:r w:rsidRPr="004B5199">
              <w:rPr>
                <w:rFonts w:cstheme="minorHAnsi"/>
                <w:b/>
              </w:rPr>
              <w:t>TRAVEL</w:t>
            </w:r>
          </w:p>
          <w:p w:rsidR="00131BC3" w:rsidRDefault="00624F0E" w:rsidP="008A7FB0">
            <w:pPr>
              <w:tabs>
                <w:tab w:val="left" w:pos="3330"/>
                <w:tab w:val="left" w:pos="3960"/>
              </w:tabs>
              <w:jc w:val="both"/>
              <w:rPr>
                <w:rFonts w:cstheme="minorHAnsi"/>
              </w:rPr>
            </w:pPr>
            <w:r>
              <w:rPr>
                <w:rFonts w:cstheme="minorHAnsi"/>
              </w:rPr>
              <w:t>SC</w:t>
            </w:r>
            <w:r w:rsidR="006E2BEE">
              <w:rPr>
                <w:rFonts w:cstheme="minorHAnsi"/>
              </w:rPr>
              <w:t xml:space="preserve">DOT used funds for personnel to attend </w:t>
            </w:r>
            <w:r>
              <w:rPr>
                <w:rFonts w:cstheme="minorHAnsi"/>
              </w:rPr>
              <w:t>the annual TRB meeting and a MEPDG workshop.</w:t>
            </w:r>
          </w:p>
          <w:p w:rsidR="00131BC3" w:rsidRDefault="00131BC3" w:rsidP="008A7FB0">
            <w:pPr>
              <w:tabs>
                <w:tab w:val="left" w:pos="3330"/>
                <w:tab w:val="left" w:pos="3960"/>
              </w:tabs>
              <w:jc w:val="both"/>
              <w:rPr>
                <w:rFonts w:cstheme="minorHAnsi"/>
              </w:rPr>
            </w:pPr>
          </w:p>
          <w:p w:rsidR="00801263" w:rsidRPr="00801263" w:rsidRDefault="00801263" w:rsidP="004B5199">
            <w:pPr>
              <w:tabs>
                <w:tab w:val="left" w:pos="3330"/>
                <w:tab w:val="left" w:pos="3960"/>
              </w:tabs>
              <w:spacing w:after="120"/>
              <w:jc w:val="both"/>
              <w:rPr>
                <w:rFonts w:cstheme="minorHAnsi"/>
                <w:b/>
              </w:rPr>
            </w:pPr>
            <w:r w:rsidRPr="00801263">
              <w:rPr>
                <w:rFonts w:cstheme="minorHAnsi"/>
                <w:b/>
              </w:rPr>
              <w:t>TESTING</w:t>
            </w:r>
          </w:p>
          <w:p w:rsidR="004B5199" w:rsidRDefault="006E2BEE" w:rsidP="004B5199">
            <w:pPr>
              <w:tabs>
                <w:tab w:val="left" w:pos="3330"/>
                <w:tab w:val="left" w:pos="3960"/>
              </w:tabs>
              <w:jc w:val="both"/>
              <w:rPr>
                <w:rFonts w:cstheme="minorHAnsi"/>
              </w:rPr>
            </w:pPr>
            <w:r>
              <w:rPr>
                <w:rFonts w:cstheme="minorHAnsi"/>
              </w:rPr>
              <w:t>Puerto Rico used funds for asphalt binder PG classification tests for terminal supplied binders.</w:t>
            </w:r>
          </w:p>
          <w:p w:rsidR="005C20F1" w:rsidRDefault="005C20F1" w:rsidP="008A7FB0">
            <w:pPr>
              <w:tabs>
                <w:tab w:val="left" w:pos="3330"/>
                <w:tab w:val="left" w:pos="3960"/>
              </w:tabs>
              <w:jc w:val="both"/>
              <w:rPr>
                <w:rFonts w:cstheme="minorHAnsi"/>
              </w:rPr>
            </w:pPr>
          </w:p>
          <w:p w:rsidR="00624F0E" w:rsidRDefault="00624F0E" w:rsidP="008A7FB0">
            <w:pPr>
              <w:tabs>
                <w:tab w:val="left" w:pos="3330"/>
                <w:tab w:val="left" w:pos="3960"/>
              </w:tabs>
              <w:jc w:val="both"/>
              <w:rPr>
                <w:rFonts w:cstheme="minorHAnsi"/>
              </w:rPr>
            </w:pPr>
          </w:p>
          <w:p w:rsidR="00624F0E" w:rsidRDefault="00624F0E" w:rsidP="008A7FB0">
            <w:pPr>
              <w:tabs>
                <w:tab w:val="left" w:pos="3330"/>
                <w:tab w:val="left" w:pos="3960"/>
              </w:tabs>
              <w:jc w:val="both"/>
              <w:rPr>
                <w:rFonts w:cstheme="minorHAnsi"/>
                <w:b/>
              </w:rPr>
            </w:pPr>
          </w:p>
          <w:p w:rsidR="00624F0E" w:rsidRDefault="00624F0E" w:rsidP="008A7FB0">
            <w:pPr>
              <w:tabs>
                <w:tab w:val="left" w:pos="3330"/>
                <w:tab w:val="left" w:pos="3960"/>
              </w:tabs>
              <w:jc w:val="both"/>
              <w:rPr>
                <w:rFonts w:cstheme="minorHAnsi"/>
                <w:b/>
              </w:rPr>
            </w:pPr>
          </w:p>
          <w:p w:rsidR="00624F0E" w:rsidRDefault="00624F0E" w:rsidP="008A7FB0">
            <w:pPr>
              <w:tabs>
                <w:tab w:val="left" w:pos="3330"/>
                <w:tab w:val="left" w:pos="3960"/>
              </w:tabs>
              <w:jc w:val="both"/>
              <w:rPr>
                <w:rFonts w:cstheme="minorHAnsi"/>
                <w:b/>
              </w:rPr>
            </w:pPr>
          </w:p>
          <w:p w:rsidR="00624F0E" w:rsidRDefault="00624F0E" w:rsidP="008A7FB0">
            <w:pPr>
              <w:tabs>
                <w:tab w:val="left" w:pos="3330"/>
                <w:tab w:val="left" w:pos="3960"/>
              </w:tabs>
              <w:jc w:val="both"/>
              <w:rPr>
                <w:rFonts w:cstheme="minorHAnsi"/>
                <w:b/>
              </w:rPr>
            </w:pPr>
          </w:p>
          <w:p w:rsidR="00624F0E" w:rsidRDefault="00624F0E" w:rsidP="008A7FB0">
            <w:pPr>
              <w:tabs>
                <w:tab w:val="left" w:pos="3330"/>
                <w:tab w:val="left" w:pos="3960"/>
              </w:tabs>
              <w:jc w:val="both"/>
              <w:rPr>
                <w:rFonts w:cstheme="minorHAnsi"/>
                <w:b/>
              </w:rPr>
            </w:pPr>
          </w:p>
          <w:p w:rsidR="00624F0E" w:rsidRDefault="00624F0E" w:rsidP="00624F0E">
            <w:pPr>
              <w:tabs>
                <w:tab w:val="left" w:pos="3330"/>
                <w:tab w:val="left" w:pos="3960"/>
              </w:tabs>
              <w:spacing w:after="120"/>
              <w:jc w:val="both"/>
              <w:rPr>
                <w:rFonts w:cstheme="minorHAnsi"/>
                <w:b/>
              </w:rPr>
            </w:pPr>
            <w:r w:rsidRPr="00624F0E">
              <w:rPr>
                <w:rFonts w:cstheme="minorHAnsi"/>
                <w:b/>
              </w:rPr>
              <w:t>Research</w:t>
            </w:r>
          </w:p>
          <w:p w:rsidR="00624F0E" w:rsidRDefault="00624F0E" w:rsidP="008A7FB0">
            <w:pPr>
              <w:tabs>
                <w:tab w:val="left" w:pos="3330"/>
                <w:tab w:val="left" w:pos="3960"/>
              </w:tabs>
              <w:jc w:val="both"/>
              <w:rPr>
                <w:rFonts w:cstheme="minorHAnsi"/>
              </w:rPr>
            </w:pPr>
            <w:r w:rsidRPr="00624F0E">
              <w:rPr>
                <w:rFonts w:cstheme="minorHAnsi"/>
              </w:rPr>
              <w:t xml:space="preserve">A plan was approved </w:t>
            </w:r>
            <w:r>
              <w:rPr>
                <w:rFonts w:cstheme="minorHAnsi"/>
              </w:rPr>
              <w:t>to assist ALDOT with implementation of pavement preservation. The project will involve conducting regional workshops</w:t>
            </w:r>
            <w:r w:rsidR="00B70D04">
              <w:rPr>
                <w:rFonts w:cstheme="minorHAnsi"/>
              </w:rPr>
              <w:t xml:space="preserve"> for pavement condition assessment and project selection. Pavement management data collected since 2010 will be used to develop pavement performance curves for the southeast region of the state. To motivate implementation of the preservation program, a mechanism will be developed to recognize those Districts that achieve outstanding performance.</w:t>
            </w:r>
          </w:p>
          <w:p w:rsidR="00B70D04" w:rsidRDefault="00B70D04" w:rsidP="008A7FB0">
            <w:pPr>
              <w:tabs>
                <w:tab w:val="left" w:pos="3330"/>
                <w:tab w:val="left" w:pos="3960"/>
              </w:tabs>
              <w:jc w:val="both"/>
              <w:rPr>
                <w:rFonts w:cstheme="minorHAnsi"/>
              </w:rPr>
            </w:pPr>
          </w:p>
          <w:p w:rsidR="00B70D04" w:rsidRDefault="00C32DD5" w:rsidP="008A7FB0">
            <w:pPr>
              <w:tabs>
                <w:tab w:val="left" w:pos="3330"/>
                <w:tab w:val="left" w:pos="3960"/>
              </w:tabs>
              <w:jc w:val="both"/>
              <w:rPr>
                <w:rFonts w:cstheme="minorHAnsi"/>
              </w:rPr>
            </w:pPr>
            <w:r>
              <w:rPr>
                <w:rFonts w:cstheme="minorHAnsi"/>
              </w:rPr>
              <w:t>M</w:t>
            </w:r>
            <w:r w:rsidR="00B70D04">
              <w:rPr>
                <w:rFonts w:cstheme="minorHAnsi"/>
              </w:rPr>
              <w:t>DOT has approved three research projects:</w:t>
            </w:r>
          </w:p>
          <w:p w:rsidR="00B70D04" w:rsidRPr="00624F0E" w:rsidRDefault="00C32DD5" w:rsidP="00B70D04">
            <w:pPr>
              <w:tabs>
                <w:tab w:val="left" w:pos="3330"/>
                <w:tab w:val="left" w:pos="3960"/>
              </w:tabs>
              <w:ind w:firstLine="337"/>
              <w:jc w:val="both"/>
              <w:rPr>
                <w:rFonts w:cstheme="minorHAnsi"/>
              </w:rPr>
            </w:pPr>
            <w:r>
              <w:rPr>
                <w:rFonts w:cstheme="minorHAnsi"/>
              </w:rPr>
              <w:t>Mississippi plans to conduct a</w:t>
            </w:r>
            <w:r w:rsidR="00B70D04">
              <w:rPr>
                <w:rFonts w:cstheme="minorHAnsi"/>
              </w:rPr>
              <w:t xml:space="preserve"> study to evaluate thermal properties of asphalt mixtures.</w:t>
            </w:r>
            <w:r w:rsidR="00B70D04" w:rsidRPr="00385BE5">
              <w:rPr>
                <w:rFonts w:cstheme="minorHAnsi"/>
              </w:rPr>
              <w:t xml:space="preserve"> In Pave ME, the thermal parameters constitute the </w:t>
            </w:r>
            <w:r w:rsidR="00B70D04">
              <w:rPr>
                <w:rFonts w:cstheme="minorHAnsi"/>
              </w:rPr>
              <w:t xml:space="preserve">required </w:t>
            </w:r>
            <w:r w:rsidR="00B70D04" w:rsidRPr="00385BE5">
              <w:rPr>
                <w:rFonts w:cstheme="minorHAnsi"/>
              </w:rPr>
              <w:t>inputs to the Enhanced Integrated Climatic Model (EICM), and include parameters such as the mix coefficient of thermal contraction, thermal conductivity, heat capacity, and surface shortwave absorpt</w:t>
            </w:r>
            <w:r w:rsidR="00B70D04">
              <w:rPr>
                <w:rFonts w:cstheme="minorHAnsi"/>
              </w:rPr>
              <w:t>ivity for Hot Mix Asphalt (HMA)</w:t>
            </w:r>
            <w:r w:rsidR="00B70D04" w:rsidRPr="00385BE5">
              <w:rPr>
                <w:rFonts w:cstheme="minorHAnsi"/>
              </w:rPr>
              <w:t>.</w:t>
            </w:r>
            <w:r w:rsidR="00B70D04">
              <w:rPr>
                <w:rFonts w:cstheme="minorHAnsi"/>
              </w:rPr>
              <w:t xml:space="preserve"> The default values used in the software may not be representative of pavements in Mississippi and could result in errors in performance predictions by up to 15% so it is important that properties related to Mississippi asphalt mixtures be determined.</w:t>
            </w:r>
          </w:p>
          <w:p w:rsidR="00624F0E" w:rsidRDefault="00B70D04" w:rsidP="00B70D04">
            <w:pPr>
              <w:tabs>
                <w:tab w:val="left" w:pos="3330"/>
                <w:tab w:val="left" w:pos="3960"/>
              </w:tabs>
              <w:ind w:firstLine="337"/>
              <w:jc w:val="both"/>
              <w:rPr>
                <w:rFonts w:cstheme="minorHAnsi"/>
              </w:rPr>
            </w:pPr>
            <w:r w:rsidRPr="00B70D04">
              <w:rPr>
                <w:rFonts w:cstheme="minorHAnsi"/>
              </w:rPr>
              <w:t xml:space="preserve">Current </w:t>
            </w:r>
            <w:r>
              <w:rPr>
                <w:rFonts w:cstheme="minorHAnsi"/>
              </w:rPr>
              <w:t>pavement condition ratings</w:t>
            </w:r>
            <w:r w:rsidR="00C32DD5">
              <w:rPr>
                <w:rFonts w:cstheme="minorHAnsi"/>
              </w:rPr>
              <w:t xml:space="preserve"> (PCR)</w:t>
            </w:r>
            <w:r>
              <w:rPr>
                <w:rFonts w:cstheme="minorHAnsi"/>
              </w:rPr>
              <w:t xml:space="preserve"> are based on</w:t>
            </w:r>
            <w:r w:rsidR="00C32DD5">
              <w:rPr>
                <w:rFonts w:cstheme="minorHAnsi"/>
              </w:rPr>
              <w:t xml:space="preserve"> deduct values for various distresses and severity levels from</w:t>
            </w:r>
            <w:r>
              <w:rPr>
                <w:rFonts w:cstheme="minorHAnsi"/>
              </w:rPr>
              <w:t xml:space="preserve"> data developed </w:t>
            </w:r>
            <w:r w:rsidR="00C32DD5">
              <w:rPr>
                <w:rFonts w:cstheme="minorHAnsi"/>
              </w:rPr>
              <w:t>over 30 years ago. Due to changes in asphalt mixture design procedures and in technological methods and equipment used for conducting and evaluating pavement condition, there is a need to revisit the accuracy of the rating procedure.</w:t>
            </w:r>
          </w:p>
          <w:p w:rsidR="00C32DD5" w:rsidRPr="00B70D04" w:rsidRDefault="00C32DD5" w:rsidP="00B70D04">
            <w:pPr>
              <w:tabs>
                <w:tab w:val="left" w:pos="3330"/>
                <w:tab w:val="left" w:pos="3960"/>
              </w:tabs>
              <w:ind w:firstLine="337"/>
              <w:jc w:val="both"/>
              <w:rPr>
                <w:rFonts w:cstheme="minorHAnsi"/>
              </w:rPr>
            </w:pPr>
            <w:r>
              <w:rPr>
                <w:rFonts w:cstheme="minorHAnsi"/>
              </w:rPr>
              <w:t xml:space="preserve">MDOT is implementing a new pavement management system that will include optimization strategies by modeling and analyzing pavement conditions. The distress models used to assess pavement deterioration were developed using the Markov transition probability matrix and need to be reviewed and verified for accuracy as more data and collection methods have been added. </w:t>
            </w:r>
          </w:p>
          <w:p w:rsidR="00624F0E" w:rsidRDefault="00624F0E" w:rsidP="008A7FB0">
            <w:pPr>
              <w:tabs>
                <w:tab w:val="left" w:pos="3330"/>
                <w:tab w:val="left" w:pos="3960"/>
              </w:tabs>
              <w:jc w:val="both"/>
              <w:rPr>
                <w:rFonts w:cstheme="minorHAnsi"/>
                <w:b/>
              </w:rPr>
            </w:pPr>
          </w:p>
          <w:p w:rsidR="005C20F1" w:rsidRDefault="005C20F1" w:rsidP="004B5199">
            <w:pPr>
              <w:spacing w:after="120"/>
              <w:ind w:right="-720"/>
              <w:rPr>
                <w:rFonts w:ascii="Arial" w:hAnsi="Arial" w:cs="Arial"/>
                <w:sz w:val="20"/>
                <w:szCs w:val="20"/>
              </w:rPr>
            </w:pPr>
            <w:r w:rsidRPr="00601EBD">
              <w:rPr>
                <w:rFonts w:ascii="Arial" w:hAnsi="Arial" w:cs="Arial"/>
                <w:b/>
                <w:sz w:val="20"/>
                <w:szCs w:val="20"/>
              </w:rPr>
              <w:t>Anticipated work next quarter</w:t>
            </w:r>
          </w:p>
          <w:p w:rsidR="00C24F00" w:rsidRDefault="0093289F" w:rsidP="00131BC3">
            <w:pPr>
              <w:ind w:right="-720"/>
            </w:pPr>
            <w:r>
              <w:t>Additional</w:t>
            </w:r>
            <w:r w:rsidR="00224D37">
              <w:t xml:space="preserve"> </w:t>
            </w:r>
            <w:r w:rsidR="00131BC3">
              <w:t xml:space="preserve">training opportunities will be presented next quarter. </w:t>
            </w:r>
            <w:r w:rsidR="006E2BEE">
              <w:t>A schedule for</w:t>
            </w:r>
            <w:r w:rsidR="004B5199">
              <w:t xml:space="preserve"> </w:t>
            </w:r>
            <w:r w:rsidR="006E2BEE">
              <w:t xml:space="preserve">Puerto Rico training has been approved </w:t>
            </w:r>
          </w:p>
          <w:p w:rsidR="00403010" w:rsidRDefault="006E2BEE" w:rsidP="00131BC3">
            <w:pPr>
              <w:ind w:right="-720"/>
            </w:pPr>
            <w:r>
              <w:t xml:space="preserve">and will </w:t>
            </w:r>
            <w:r w:rsidR="00C32DD5">
              <w:t>continue through summer months</w:t>
            </w:r>
            <w:r>
              <w:t xml:space="preserve"> </w:t>
            </w:r>
            <w:r w:rsidR="004B5199">
              <w:t>for roadway technicians</w:t>
            </w:r>
            <w:r w:rsidR="00C32DD5">
              <w:t xml:space="preserve">, asphalt plant technicians and technicians on </w:t>
            </w:r>
          </w:p>
          <w:p w:rsidR="00403010" w:rsidRDefault="00C32DD5" w:rsidP="00131BC3">
            <w:pPr>
              <w:ind w:right="-720"/>
            </w:pPr>
            <w:r>
              <w:t>earthwork and base projects</w:t>
            </w:r>
            <w:r w:rsidR="004B5199">
              <w:t xml:space="preserve">. </w:t>
            </w:r>
            <w:r w:rsidR="00403010">
              <w:t xml:space="preserve">Work will begin on the </w:t>
            </w:r>
            <w:r w:rsidR="00131BC3">
              <w:t xml:space="preserve">ALDOT </w:t>
            </w:r>
            <w:r w:rsidR="006E2BEE">
              <w:t xml:space="preserve">pavement preservation </w:t>
            </w:r>
            <w:r w:rsidR="00403010">
              <w:t xml:space="preserve">project </w:t>
            </w:r>
            <w:r w:rsidR="00C24F00">
              <w:t xml:space="preserve">that will involve training, </w:t>
            </w:r>
          </w:p>
          <w:p w:rsidR="00C24F00" w:rsidRDefault="00C24F00" w:rsidP="00131BC3">
            <w:pPr>
              <w:ind w:right="-720"/>
            </w:pPr>
            <w:r>
              <w:t>project condition surveys, and evaluation of survey data.</w:t>
            </w:r>
            <w:r w:rsidR="00403010">
              <w:t xml:space="preserve"> Work will continue on the three MDOT projects.</w:t>
            </w:r>
          </w:p>
          <w:p w:rsidR="00FF2199" w:rsidRDefault="00FF2199" w:rsidP="008A527D">
            <w:pPr>
              <w:ind w:right="-720"/>
            </w:pPr>
          </w:p>
          <w:p w:rsidR="00B85B80" w:rsidRDefault="00B85B80" w:rsidP="008A527D">
            <w:pPr>
              <w:ind w:right="-720"/>
            </w:pPr>
          </w:p>
          <w:p w:rsidR="004B4BDE" w:rsidRDefault="004B4BDE" w:rsidP="004B4BDE">
            <w:pPr>
              <w:ind w:right="-720"/>
              <w:rPr>
                <w:rFonts w:ascii="Arial" w:hAnsi="Arial" w:cs="Arial"/>
                <w:sz w:val="20"/>
                <w:szCs w:val="20"/>
              </w:rPr>
            </w:pPr>
          </w:p>
        </w:tc>
      </w:tr>
      <w:tr w:rsidR="00601EBD" w:rsidTr="0098234D">
        <w:tc>
          <w:tcPr>
            <w:tcW w:w="11088" w:type="dxa"/>
            <w:tcBorders>
              <w:top w:val="single" w:sz="4" w:space="0" w:color="auto"/>
            </w:tcBorders>
          </w:tcPr>
          <w:p w:rsidR="00E35E0F" w:rsidRDefault="00E35E0F" w:rsidP="00551D8A">
            <w:pPr>
              <w:ind w:right="-720"/>
              <w:rPr>
                <w:rFonts w:ascii="Arial" w:hAnsi="Arial" w:cs="Arial"/>
                <w:b/>
                <w:sz w:val="20"/>
                <w:szCs w:val="20"/>
              </w:rPr>
            </w:pPr>
          </w:p>
          <w:p w:rsidR="00403010" w:rsidRDefault="00601EBD" w:rsidP="00131BC3">
            <w:pPr>
              <w:ind w:right="-720"/>
            </w:pPr>
            <w:r>
              <w:rPr>
                <w:rFonts w:ascii="Arial" w:hAnsi="Arial" w:cs="Arial"/>
                <w:b/>
                <w:sz w:val="20"/>
                <w:szCs w:val="20"/>
              </w:rPr>
              <w:t>Significant Results:</w:t>
            </w:r>
            <w:r w:rsidR="00B85B80">
              <w:rPr>
                <w:rFonts w:ascii="Arial" w:hAnsi="Arial" w:cs="Arial"/>
                <w:b/>
                <w:sz w:val="20"/>
                <w:szCs w:val="20"/>
              </w:rPr>
              <w:t xml:space="preserve"> </w:t>
            </w:r>
            <w:r w:rsidR="00403010">
              <w:t xml:space="preserve">Pavement preservation workshops have been successful for ALDOT by educating and challenging </w:t>
            </w:r>
          </w:p>
          <w:p w:rsidR="00403010" w:rsidRDefault="00403010" w:rsidP="00131BC3">
            <w:pPr>
              <w:ind w:right="-720"/>
            </w:pPr>
            <w:r>
              <w:t xml:space="preserve">engineers in the evaluation of pavement condition surveys and determination of appropriate preservation treatments to </w:t>
            </w:r>
          </w:p>
          <w:p w:rsidR="0093289F" w:rsidRDefault="00403010" w:rsidP="00131BC3">
            <w:pPr>
              <w:ind w:right="-720"/>
            </w:pPr>
            <w:r>
              <w:t>extend pavement serviceability.</w:t>
            </w:r>
          </w:p>
          <w:p w:rsidR="00601EBD" w:rsidRPr="00B85B80" w:rsidRDefault="00601EBD" w:rsidP="005F2550">
            <w:pPr>
              <w:ind w:right="-720"/>
              <w:rPr>
                <w:rFonts w:ascii="Arial" w:hAnsi="Arial" w:cs="Arial"/>
                <w:sz w:val="20"/>
                <w:szCs w:val="20"/>
              </w:rPr>
            </w:pPr>
          </w:p>
          <w:p w:rsidR="00C33C15" w:rsidRDefault="00C33C15" w:rsidP="00551D8A">
            <w:pPr>
              <w:ind w:right="-720"/>
              <w:rPr>
                <w:rFonts w:ascii="Arial" w:hAnsi="Arial" w:cs="Arial"/>
                <w:b/>
                <w:sz w:val="20"/>
                <w:szCs w:val="20"/>
              </w:rPr>
            </w:pPr>
          </w:p>
          <w:p w:rsidR="00601EBD" w:rsidRDefault="00601EBD" w:rsidP="001F05B1">
            <w:pPr>
              <w:ind w:right="-720"/>
              <w:rPr>
                <w:rFonts w:ascii="Arial" w:hAnsi="Arial" w:cs="Arial"/>
                <w:b/>
                <w:sz w:val="20"/>
                <w:szCs w:val="20"/>
              </w:rPr>
            </w:pPr>
          </w:p>
        </w:tc>
      </w:tr>
      <w:tr w:rsidR="00601EBD" w:rsidTr="0098234D">
        <w:tc>
          <w:tcPr>
            <w:tcW w:w="1108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Pr="0021489A" w:rsidRDefault="00C24F00" w:rsidP="0005714A">
            <w:pPr>
              <w:ind w:right="-720"/>
              <w:rPr>
                <w:rFonts w:ascii="Arial" w:hAnsi="Arial" w:cs="Arial"/>
                <w:sz w:val="20"/>
                <w:szCs w:val="20"/>
              </w:rPr>
            </w:pPr>
            <w:r>
              <w:rPr>
                <w:rFonts w:ascii="Arial" w:hAnsi="Arial" w:cs="Arial"/>
                <w:sz w:val="20"/>
                <w:szCs w:val="20"/>
              </w:rPr>
              <w:t>NA</w:t>
            </w:r>
            <w:r w:rsidR="004B5199">
              <w:rPr>
                <w:rFonts w:ascii="Arial" w:hAnsi="Arial" w:cs="Arial"/>
                <w:sz w:val="20"/>
                <w:szCs w:val="20"/>
              </w:rPr>
              <w:t>.</w:t>
            </w:r>
          </w:p>
        </w:tc>
      </w:tr>
      <w:tr w:rsidR="00E35E0F" w:rsidTr="0098234D">
        <w:tc>
          <w:tcPr>
            <w:tcW w:w="1108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FF2199" w:rsidRDefault="00FF2199" w:rsidP="005F2550">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23CE" w:rsidRDefault="001123CE" w:rsidP="00106C83">
      <w:pPr>
        <w:spacing w:after="0" w:line="240" w:lineRule="auto"/>
      </w:pPr>
      <w:r>
        <w:separator/>
      </w:r>
    </w:p>
  </w:endnote>
  <w:endnote w:type="continuationSeparator" w:id="0">
    <w:p w:rsidR="001123CE" w:rsidRDefault="001123C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gency FB">
    <w:altName w:val="Malgun Gothic"/>
    <w:panose1 w:val="020B0503020202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3362265"/>
      <w:docPartObj>
        <w:docPartGallery w:val="Page Numbers (Bottom of Page)"/>
        <w:docPartUnique/>
      </w:docPartObj>
    </w:sdtPr>
    <w:sdtEndPr>
      <w:rPr>
        <w:noProof/>
      </w:rPr>
    </w:sdtEndPr>
    <w:sdtContent>
      <w:p w:rsidR="00300F3E" w:rsidRDefault="00300F3E">
        <w:pPr>
          <w:pStyle w:val="Footer"/>
          <w:jc w:val="center"/>
        </w:pPr>
        <w:r>
          <w:fldChar w:fldCharType="begin"/>
        </w:r>
        <w:r>
          <w:instrText xml:space="preserve"> PAGE   \* MERGEFORMAT </w:instrText>
        </w:r>
        <w:r>
          <w:fldChar w:fldCharType="separate"/>
        </w:r>
        <w:r w:rsidR="00D35C6D">
          <w:rPr>
            <w:noProof/>
          </w:rPr>
          <w:t>1</w:t>
        </w:r>
        <w:r>
          <w:rPr>
            <w:noProof/>
          </w:rPr>
          <w:fldChar w:fldCharType="end"/>
        </w:r>
      </w:p>
    </w:sdtContent>
  </w:sdt>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23CE" w:rsidRDefault="001123CE" w:rsidP="00106C83">
      <w:pPr>
        <w:spacing w:after="0" w:line="240" w:lineRule="auto"/>
      </w:pPr>
      <w:r>
        <w:separator/>
      </w:r>
    </w:p>
  </w:footnote>
  <w:footnote w:type="continuationSeparator" w:id="0">
    <w:p w:rsidR="001123CE" w:rsidRDefault="001123CE"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F45DD"/>
    <w:multiLevelType w:val="hybridMultilevel"/>
    <w:tmpl w:val="C6568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94E1937"/>
    <w:multiLevelType w:val="hybridMultilevel"/>
    <w:tmpl w:val="FF842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300408"/>
    <w:multiLevelType w:val="hybridMultilevel"/>
    <w:tmpl w:val="F4D4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72B0"/>
    <w:rsid w:val="00014344"/>
    <w:rsid w:val="00022040"/>
    <w:rsid w:val="000271DC"/>
    <w:rsid w:val="00037FBC"/>
    <w:rsid w:val="00040DFF"/>
    <w:rsid w:val="0005714A"/>
    <w:rsid w:val="000736BB"/>
    <w:rsid w:val="00092711"/>
    <w:rsid w:val="00094A80"/>
    <w:rsid w:val="000A479C"/>
    <w:rsid w:val="000A5509"/>
    <w:rsid w:val="000B665A"/>
    <w:rsid w:val="000D763D"/>
    <w:rsid w:val="000E7489"/>
    <w:rsid w:val="000F1C8D"/>
    <w:rsid w:val="000F2782"/>
    <w:rsid w:val="00106C83"/>
    <w:rsid w:val="001079A8"/>
    <w:rsid w:val="00107E31"/>
    <w:rsid w:val="001123CE"/>
    <w:rsid w:val="00131BC3"/>
    <w:rsid w:val="001547D0"/>
    <w:rsid w:val="00161153"/>
    <w:rsid w:val="001745A9"/>
    <w:rsid w:val="001D11A4"/>
    <w:rsid w:val="001D28CF"/>
    <w:rsid w:val="001F05B1"/>
    <w:rsid w:val="00206FCD"/>
    <w:rsid w:val="0021446D"/>
    <w:rsid w:val="0021489A"/>
    <w:rsid w:val="00220C60"/>
    <w:rsid w:val="00224D37"/>
    <w:rsid w:val="00224E48"/>
    <w:rsid w:val="0022593F"/>
    <w:rsid w:val="0023274B"/>
    <w:rsid w:val="00234BCE"/>
    <w:rsid w:val="00254CD4"/>
    <w:rsid w:val="00293FD8"/>
    <w:rsid w:val="0029510E"/>
    <w:rsid w:val="002A79C8"/>
    <w:rsid w:val="002B45C9"/>
    <w:rsid w:val="002C3D43"/>
    <w:rsid w:val="002E7F24"/>
    <w:rsid w:val="002F0C9E"/>
    <w:rsid w:val="00300F3E"/>
    <w:rsid w:val="00312B9C"/>
    <w:rsid w:val="003413CE"/>
    <w:rsid w:val="003478FB"/>
    <w:rsid w:val="003556BB"/>
    <w:rsid w:val="00361543"/>
    <w:rsid w:val="0038705A"/>
    <w:rsid w:val="003A3034"/>
    <w:rsid w:val="003B2B8F"/>
    <w:rsid w:val="003B5E96"/>
    <w:rsid w:val="003D69D8"/>
    <w:rsid w:val="003F57C8"/>
    <w:rsid w:val="00403010"/>
    <w:rsid w:val="0040720F"/>
    <w:rsid w:val="00407C07"/>
    <w:rsid w:val="004144E6"/>
    <w:rsid w:val="004156B2"/>
    <w:rsid w:val="00417A94"/>
    <w:rsid w:val="00437734"/>
    <w:rsid w:val="00463B3D"/>
    <w:rsid w:val="00492F9A"/>
    <w:rsid w:val="004B0BF4"/>
    <w:rsid w:val="004B25F8"/>
    <w:rsid w:val="004B4BDE"/>
    <w:rsid w:val="004B5199"/>
    <w:rsid w:val="004E14DC"/>
    <w:rsid w:val="004E2F3A"/>
    <w:rsid w:val="004E3AA9"/>
    <w:rsid w:val="004E46C6"/>
    <w:rsid w:val="004E75D6"/>
    <w:rsid w:val="005140AD"/>
    <w:rsid w:val="005229ED"/>
    <w:rsid w:val="00522C8F"/>
    <w:rsid w:val="00535598"/>
    <w:rsid w:val="005370EC"/>
    <w:rsid w:val="00547EE3"/>
    <w:rsid w:val="00551D8A"/>
    <w:rsid w:val="005631AF"/>
    <w:rsid w:val="00571ED2"/>
    <w:rsid w:val="00581B36"/>
    <w:rsid w:val="00581B95"/>
    <w:rsid w:val="00583E8E"/>
    <w:rsid w:val="005C20F1"/>
    <w:rsid w:val="005F06C7"/>
    <w:rsid w:val="005F2550"/>
    <w:rsid w:val="005F2FDD"/>
    <w:rsid w:val="006005B0"/>
    <w:rsid w:val="006017D3"/>
    <w:rsid w:val="00601EBD"/>
    <w:rsid w:val="00623334"/>
    <w:rsid w:val="00624F0E"/>
    <w:rsid w:val="00634462"/>
    <w:rsid w:val="00642352"/>
    <w:rsid w:val="00655415"/>
    <w:rsid w:val="00682C5E"/>
    <w:rsid w:val="006B03C1"/>
    <w:rsid w:val="006B6D68"/>
    <w:rsid w:val="006C550E"/>
    <w:rsid w:val="006D0942"/>
    <w:rsid w:val="006D6317"/>
    <w:rsid w:val="006E2BEE"/>
    <w:rsid w:val="006E323B"/>
    <w:rsid w:val="006E6621"/>
    <w:rsid w:val="006E713B"/>
    <w:rsid w:val="006F27A2"/>
    <w:rsid w:val="007048C1"/>
    <w:rsid w:val="0070592F"/>
    <w:rsid w:val="00743C01"/>
    <w:rsid w:val="007802B9"/>
    <w:rsid w:val="007835FC"/>
    <w:rsid w:val="00790C4A"/>
    <w:rsid w:val="007B090E"/>
    <w:rsid w:val="007C72E3"/>
    <w:rsid w:val="007E2786"/>
    <w:rsid w:val="007E5BD2"/>
    <w:rsid w:val="007E70C1"/>
    <w:rsid w:val="007F5974"/>
    <w:rsid w:val="00801263"/>
    <w:rsid w:val="00821973"/>
    <w:rsid w:val="00826EB8"/>
    <w:rsid w:val="00835F96"/>
    <w:rsid w:val="008420B1"/>
    <w:rsid w:val="00846B06"/>
    <w:rsid w:val="00853673"/>
    <w:rsid w:val="0085367B"/>
    <w:rsid w:val="00872F18"/>
    <w:rsid w:val="00874EF7"/>
    <w:rsid w:val="00896EE4"/>
    <w:rsid w:val="008A527D"/>
    <w:rsid w:val="008A72B7"/>
    <w:rsid w:val="008A7FB0"/>
    <w:rsid w:val="008B7A4E"/>
    <w:rsid w:val="008C3C6D"/>
    <w:rsid w:val="008D1AB6"/>
    <w:rsid w:val="008E7D21"/>
    <w:rsid w:val="008F3821"/>
    <w:rsid w:val="00911522"/>
    <w:rsid w:val="00913A78"/>
    <w:rsid w:val="00923908"/>
    <w:rsid w:val="0093289F"/>
    <w:rsid w:val="00946CA6"/>
    <w:rsid w:val="0094770B"/>
    <w:rsid w:val="009574E5"/>
    <w:rsid w:val="00962BEC"/>
    <w:rsid w:val="0098234D"/>
    <w:rsid w:val="009A394E"/>
    <w:rsid w:val="009A4B10"/>
    <w:rsid w:val="009C7BEA"/>
    <w:rsid w:val="009D2405"/>
    <w:rsid w:val="009E1E27"/>
    <w:rsid w:val="009F7E97"/>
    <w:rsid w:val="00A10F7B"/>
    <w:rsid w:val="00A20753"/>
    <w:rsid w:val="00A31437"/>
    <w:rsid w:val="00A33242"/>
    <w:rsid w:val="00A43372"/>
    <w:rsid w:val="00A43875"/>
    <w:rsid w:val="00A61B04"/>
    <w:rsid w:val="00A63677"/>
    <w:rsid w:val="00A7193F"/>
    <w:rsid w:val="00A72F36"/>
    <w:rsid w:val="00A87952"/>
    <w:rsid w:val="00A955F3"/>
    <w:rsid w:val="00AD7FC2"/>
    <w:rsid w:val="00AE46B0"/>
    <w:rsid w:val="00AF14C3"/>
    <w:rsid w:val="00B15545"/>
    <w:rsid w:val="00B157DF"/>
    <w:rsid w:val="00B2185C"/>
    <w:rsid w:val="00B40749"/>
    <w:rsid w:val="00B41A3A"/>
    <w:rsid w:val="00B42C4A"/>
    <w:rsid w:val="00B47800"/>
    <w:rsid w:val="00B62B84"/>
    <w:rsid w:val="00B66A21"/>
    <w:rsid w:val="00B70D04"/>
    <w:rsid w:val="00B777F4"/>
    <w:rsid w:val="00B80B95"/>
    <w:rsid w:val="00B81259"/>
    <w:rsid w:val="00B85B80"/>
    <w:rsid w:val="00B86930"/>
    <w:rsid w:val="00B923DF"/>
    <w:rsid w:val="00B931E2"/>
    <w:rsid w:val="00B93DF4"/>
    <w:rsid w:val="00BA0AF7"/>
    <w:rsid w:val="00BB65DC"/>
    <w:rsid w:val="00BC7CAA"/>
    <w:rsid w:val="00BD258C"/>
    <w:rsid w:val="00BD77F3"/>
    <w:rsid w:val="00C04DFF"/>
    <w:rsid w:val="00C13753"/>
    <w:rsid w:val="00C24F00"/>
    <w:rsid w:val="00C32DD5"/>
    <w:rsid w:val="00C3342B"/>
    <w:rsid w:val="00C33C15"/>
    <w:rsid w:val="00C360D4"/>
    <w:rsid w:val="00C70809"/>
    <w:rsid w:val="00C9575A"/>
    <w:rsid w:val="00CB5BC5"/>
    <w:rsid w:val="00CC1ED0"/>
    <w:rsid w:val="00CC3793"/>
    <w:rsid w:val="00D22480"/>
    <w:rsid w:val="00D26E02"/>
    <w:rsid w:val="00D35C6D"/>
    <w:rsid w:val="00D46921"/>
    <w:rsid w:val="00D53A5C"/>
    <w:rsid w:val="00D7133B"/>
    <w:rsid w:val="00D72C82"/>
    <w:rsid w:val="00D838A4"/>
    <w:rsid w:val="00D86230"/>
    <w:rsid w:val="00DA38D9"/>
    <w:rsid w:val="00DB19D2"/>
    <w:rsid w:val="00DB42DF"/>
    <w:rsid w:val="00DB5B59"/>
    <w:rsid w:val="00DD5AD2"/>
    <w:rsid w:val="00DD62F8"/>
    <w:rsid w:val="00DE1E59"/>
    <w:rsid w:val="00DE6888"/>
    <w:rsid w:val="00DF04FD"/>
    <w:rsid w:val="00E12DBB"/>
    <w:rsid w:val="00E20ED3"/>
    <w:rsid w:val="00E35E0F"/>
    <w:rsid w:val="00E371D1"/>
    <w:rsid w:val="00E53738"/>
    <w:rsid w:val="00E54459"/>
    <w:rsid w:val="00E623A8"/>
    <w:rsid w:val="00E70887"/>
    <w:rsid w:val="00E73363"/>
    <w:rsid w:val="00E90052"/>
    <w:rsid w:val="00EA3847"/>
    <w:rsid w:val="00EA783E"/>
    <w:rsid w:val="00ED5F67"/>
    <w:rsid w:val="00ED7D1C"/>
    <w:rsid w:val="00EF08AE"/>
    <w:rsid w:val="00EF25BC"/>
    <w:rsid w:val="00EF5790"/>
    <w:rsid w:val="00F03318"/>
    <w:rsid w:val="00F05679"/>
    <w:rsid w:val="00F17990"/>
    <w:rsid w:val="00F21F77"/>
    <w:rsid w:val="00F22A73"/>
    <w:rsid w:val="00F35B72"/>
    <w:rsid w:val="00F46C3D"/>
    <w:rsid w:val="00F50A15"/>
    <w:rsid w:val="00F601D5"/>
    <w:rsid w:val="00F717AC"/>
    <w:rsid w:val="00F75259"/>
    <w:rsid w:val="00F776FA"/>
    <w:rsid w:val="00F90A6F"/>
    <w:rsid w:val="00F90F97"/>
    <w:rsid w:val="00F978E4"/>
    <w:rsid w:val="00FB2264"/>
    <w:rsid w:val="00FB3705"/>
    <w:rsid w:val="00FD1930"/>
    <w:rsid w:val="00FF1872"/>
    <w:rsid w:val="00FF2199"/>
    <w:rsid w:val="00FF32BE"/>
    <w:rsid w:val="00FF3B57"/>
    <w:rsid w:val="00FF4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1E710ED-0AA7-422C-AE65-03EE2469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PlainText">
    <w:name w:val="Plain Text"/>
    <w:basedOn w:val="Normal"/>
    <w:link w:val="PlainTextChar"/>
    <w:uiPriority w:val="99"/>
    <w:semiHidden/>
    <w:unhideWhenUsed/>
    <w:rsid w:val="00D838A4"/>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D838A4"/>
    <w:rPr>
      <w:rFonts w:ascii="Calibri" w:eastAsiaTheme="minorHAnsi" w:hAnsi="Calibri"/>
      <w:szCs w:val="21"/>
    </w:rPr>
  </w:style>
  <w:style w:type="paragraph" w:styleId="ListParagraph">
    <w:name w:val="List Paragraph"/>
    <w:basedOn w:val="Normal"/>
    <w:uiPriority w:val="34"/>
    <w:qFormat/>
    <w:rsid w:val="00E20ED3"/>
    <w:pPr>
      <w:spacing w:after="0"/>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139439">
      <w:bodyDiv w:val="1"/>
      <w:marLeft w:val="0"/>
      <w:marRight w:val="0"/>
      <w:marTop w:val="0"/>
      <w:marBottom w:val="0"/>
      <w:divBdr>
        <w:top w:val="none" w:sz="0" w:space="0" w:color="auto"/>
        <w:left w:val="none" w:sz="0" w:space="0" w:color="auto"/>
        <w:bottom w:val="none" w:sz="0" w:space="0" w:color="auto"/>
        <w:right w:val="none" w:sz="0" w:space="0" w:color="auto"/>
      </w:divBdr>
    </w:div>
    <w:div w:id="402722003">
      <w:bodyDiv w:val="1"/>
      <w:marLeft w:val="0"/>
      <w:marRight w:val="0"/>
      <w:marTop w:val="0"/>
      <w:marBottom w:val="0"/>
      <w:divBdr>
        <w:top w:val="none" w:sz="0" w:space="0" w:color="auto"/>
        <w:left w:val="none" w:sz="0" w:space="0" w:color="auto"/>
        <w:bottom w:val="none" w:sz="0" w:space="0" w:color="auto"/>
        <w:right w:val="none" w:sz="0" w:space="0" w:color="auto"/>
      </w:divBdr>
    </w:div>
    <w:div w:id="443354674">
      <w:bodyDiv w:val="1"/>
      <w:marLeft w:val="0"/>
      <w:marRight w:val="0"/>
      <w:marTop w:val="0"/>
      <w:marBottom w:val="0"/>
      <w:divBdr>
        <w:top w:val="none" w:sz="0" w:space="0" w:color="auto"/>
        <w:left w:val="none" w:sz="0" w:space="0" w:color="auto"/>
        <w:bottom w:val="none" w:sz="0" w:space="0" w:color="auto"/>
        <w:right w:val="none" w:sz="0" w:space="0" w:color="auto"/>
      </w:divBdr>
    </w:div>
    <w:div w:id="723063621">
      <w:bodyDiv w:val="1"/>
      <w:marLeft w:val="0"/>
      <w:marRight w:val="0"/>
      <w:marTop w:val="0"/>
      <w:marBottom w:val="0"/>
      <w:divBdr>
        <w:top w:val="none" w:sz="0" w:space="0" w:color="auto"/>
        <w:left w:val="none" w:sz="0" w:space="0" w:color="auto"/>
        <w:bottom w:val="none" w:sz="0" w:space="0" w:color="auto"/>
        <w:right w:val="none" w:sz="0" w:space="0" w:color="auto"/>
      </w:divBdr>
    </w:div>
    <w:div w:id="754280909">
      <w:bodyDiv w:val="1"/>
      <w:marLeft w:val="0"/>
      <w:marRight w:val="0"/>
      <w:marTop w:val="0"/>
      <w:marBottom w:val="0"/>
      <w:divBdr>
        <w:top w:val="none" w:sz="0" w:space="0" w:color="auto"/>
        <w:left w:val="none" w:sz="0" w:space="0" w:color="auto"/>
        <w:bottom w:val="none" w:sz="0" w:space="0" w:color="auto"/>
        <w:right w:val="none" w:sz="0" w:space="0" w:color="auto"/>
      </w:divBdr>
    </w:div>
    <w:div w:id="1943679656">
      <w:bodyDiv w:val="1"/>
      <w:marLeft w:val="0"/>
      <w:marRight w:val="0"/>
      <w:marTop w:val="0"/>
      <w:marBottom w:val="0"/>
      <w:divBdr>
        <w:top w:val="none" w:sz="0" w:space="0" w:color="auto"/>
        <w:left w:val="none" w:sz="0" w:space="0" w:color="auto"/>
        <w:bottom w:val="none" w:sz="0" w:space="0" w:color="auto"/>
        <w:right w:val="none" w:sz="0" w:space="0" w:color="auto"/>
      </w:divBdr>
    </w:div>
    <w:div w:id="203195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C53B3-DF3E-4657-BB08-271929715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1065</Words>
  <Characters>6074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Johnson, Ron</cp:lastModifiedBy>
  <cp:revision>2</cp:revision>
  <cp:lastPrinted>2011-06-21T20:32:00Z</cp:lastPrinted>
  <dcterms:created xsi:type="dcterms:W3CDTF">2018-04-27T13:36:00Z</dcterms:created>
  <dcterms:modified xsi:type="dcterms:W3CDTF">2018-04-27T13:36:00Z</dcterms:modified>
</cp:coreProperties>
</file>