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76B42"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F76B42" w:rsidRPr="00F76B42">
              <w:rPr>
                <w:rFonts w:ascii="Arial" w:hAnsi="Arial" w:cs="Arial"/>
                <w:sz w:val="36"/>
                <w:szCs w:val="36"/>
              </w:rPr>
              <w:t>_</w:t>
            </w:r>
            <w:r w:rsidRPr="00F76B42">
              <w:rPr>
                <w:rFonts w:ascii="Arial" w:hAnsi="Arial" w:cs="Arial"/>
                <w:sz w:val="36"/>
                <w:szCs w:val="36"/>
              </w:rPr>
              <w:t xml:space="preserve"> </w:t>
            </w:r>
            <w:r w:rsidRPr="00F76B42">
              <w:rPr>
                <w:rFonts w:ascii="Arial" w:hAnsi="Arial" w:cs="Arial"/>
                <w:sz w:val="20"/>
                <w:szCs w:val="20"/>
              </w:rPr>
              <w:t>Quarter 1 (January 1 – March 31</w:t>
            </w:r>
            <w:r w:rsidR="005C75FE" w:rsidRPr="00F76B42">
              <w:rPr>
                <w:rFonts w:ascii="Arial" w:hAnsi="Arial" w:cs="Arial"/>
                <w:sz w:val="20"/>
                <w:szCs w:val="20"/>
              </w:rPr>
              <w:t>, 201</w:t>
            </w:r>
            <w:r w:rsidR="00A00ADB" w:rsidRPr="00F76B42">
              <w:rPr>
                <w:rFonts w:ascii="Arial" w:hAnsi="Arial" w:cs="Arial"/>
                <w:sz w:val="20"/>
                <w:szCs w:val="20"/>
              </w:rPr>
              <w:t>7</w:t>
            </w:r>
            <w:r w:rsidRPr="00F76B42">
              <w:rPr>
                <w:rFonts w:ascii="Arial" w:hAnsi="Arial" w:cs="Arial"/>
                <w:sz w:val="20"/>
                <w:szCs w:val="20"/>
              </w:rPr>
              <w:t>)</w:t>
            </w:r>
          </w:p>
          <w:p w:rsidR="000C209F" w:rsidRPr="002D724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2D724F" w:rsidRPr="002D724F">
              <w:rPr>
                <w:rFonts w:ascii="Arial" w:hAnsi="Arial" w:cs="Arial"/>
                <w:sz w:val="36"/>
                <w:szCs w:val="36"/>
              </w:rPr>
              <w:t>_</w:t>
            </w:r>
            <w:r w:rsidR="00FE4167" w:rsidRPr="002D724F">
              <w:rPr>
                <w:rFonts w:ascii="Arial" w:hAnsi="Arial" w:cs="Arial"/>
                <w:sz w:val="36"/>
                <w:szCs w:val="36"/>
              </w:rPr>
              <w:t xml:space="preserve"> </w:t>
            </w:r>
            <w:r w:rsidRPr="002D724F">
              <w:rPr>
                <w:rFonts w:ascii="Arial" w:hAnsi="Arial" w:cs="Arial"/>
                <w:sz w:val="20"/>
                <w:szCs w:val="20"/>
              </w:rPr>
              <w:t>Quarter 2 (April 1 – June 30</w:t>
            </w:r>
            <w:r w:rsidR="0020693E" w:rsidRPr="002D724F">
              <w:rPr>
                <w:rFonts w:ascii="Arial" w:hAnsi="Arial" w:cs="Arial"/>
                <w:sz w:val="20"/>
                <w:szCs w:val="20"/>
              </w:rPr>
              <w:t>, 201</w:t>
            </w:r>
            <w:r w:rsidR="00A00ADB" w:rsidRPr="002D724F">
              <w:rPr>
                <w:rFonts w:ascii="Arial" w:hAnsi="Arial" w:cs="Arial"/>
                <w:sz w:val="20"/>
                <w:szCs w:val="20"/>
              </w:rPr>
              <w:t>7</w:t>
            </w:r>
            <w:r w:rsidRPr="002D724F">
              <w:rPr>
                <w:rFonts w:ascii="Arial" w:hAnsi="Arial" w:cs="Arial"/>
                <w:sz w:val="20"/>
                <w:szCs w:val="20"/>
              </w:rPr>
              <w:t>)</w:t>
            </w:r>
          </w:p>
          <w:p w:rsidR="009B2A2C" w:rsidRPr="006D61F3" w:rsidRDefault="005953D2" w:rsidP="009B2A2C">
            <w:pPr>
              <w:spacing w:after="0" w:line="240" w:lineRule="auto"/>
              <w:ind w:right="-720"/>
              <w:rPr>
                <w:rFonts w:ascii="Arial" w:hAnsi="Arial" w:cs="Arial"/>
                <w:sz w:val="20"/>
                <w:szCs w:val="20"/>
              </w:rPr>
            </w:pPr>
            <w:r w:rsidRPr="006D61F3">
              <w:rPr>
                <w:rFonts w:ascii="Arial" w:hAnsi="Arial" w:cs="Arial"/>
                <w:sz w:val="36"/>
                <w:szCs w:val="36"/>
              </w:rPr>
              <w:t>_</w:t>
            </w:r>
            <w:r w:rsidR="009B2A2C" w:rsidRPr="006D61F3">
              <w:rPr>
                <w:rFonts w:ascii="Arial" w:hAnsi="Arial" w:cs="Arial"/>
                <w:sz w:val="36"/>
                <w:szCs w:val="36"/>
              </w:rPr>
              <w:t xml:space="preserve"> </w:t>
            </w:r>
            <w:r w:rsidR="009B2A2C" w:rsidRPr="006D61F3">
              <w:rPr>
                <w:rFonts w:ascii="Arial" w:hAnsi="Arial" w:cs="Arial"/>
                <w:sz w:val="20"/>
                <w:szCs w:val="20"/>
              </w:rPr>
              <w:t>Quarter 3 (July 1 – September 30, 201</w:t>
            </w:r>
            <w:r w:rsidR="00A00ADB" w:rsidRPr="006D61F3">
              <w:rPr>
                <w:rFonts w:ascii="Arial" w:hAnsi="Arial" w:cs="Arial"/>
                <w:sz w:val="20"/>
                <w:szCs w:val="20"/>
              </w:rPr>
              <w:t>7</w:t>
            </w:r>
            <w:r w:rsidR="009B2A2C" w:rsidRPr="006D61F3">
              <w:rPr>
                <w:rFonts w:ascii="Arial" w:hAnsi="Arial" w:cs="Arial"/>
                <w:sz w:val="20"/>
                <w:szCs w:val="20"/>
              </w:rPr>
              <w:t>)</w:t>
            </w:r>
          </w:p>
          <w:p w:rsidR="000C209F" w:rsidRPr="006D61F3" w:rsidRDefault="005953D2" w:rsidP="00A00ADB">
            <w:pPr>
              <w:spacing w:after="0" w:line="240" w:lineRule="auto"/>
              <w:ind w:right="-720"/>
              <w:rPr>
                <w:rFonts w:ascii="Arial" w:hAnsi="Arial" w:cs="Arial"/>
                <w:b/>
                <w:sz w:val="20"/>
                <w:szCs w:val="20"/>
              </w:rPr>
            </w:pPr>
            <w:r w:rsidRPr="006D61F3">
              <w:rPr>
                <w:rFonts w:ascii="Arial" w:hAnsi="Arial" w:cs="Arial"/>
                <w:b/>
                <w:sz w:val="36"/>
                <w:szCs w:val="36"/>
                <w:u w:val="single"/>
              </w:rPr>
              <w:t>x</w:t>
            </w:r>
            <w:r w:rsidR="009B2A2C" w:rsidRPr="006D61F3">
              <w:rPr>
                <w:rFonts w:ascii="Arial" w:hAnsi="Arial" w:cs="Arial"/>
                <w:b/>
                <w:sz w:val="36"/>
                <w:szCs w:val="36"/>
              </w:rPr>
              <w:t xml:space="preserve"> </w:t>
            </w:r>
            <w:r w:rsidR="009B2A2C" w:rsidRPr="006D61F3">
              <w:rPr>
                <w:rFonts w:ascii="Arial" w:hAnsi="Arial" w:cs="Arial"/>
                <w:b/>
                <w:sz w:val="20"/>
                <w:szCs w:val="20"/>
              </w:rPr>
              <w:t>Quarter 4 (October 1 – December 31, 201</w:t>
            </w:r>
            <w:r w:rsidR="00A00ADB" w:rsidRPr="006D61F3">
              <w:rPr>
                <w:rFonts w:ascii="Arial" w:hAnsi="Arial" w:cs="Arial"/>
                <w:b/>
                <w:sz w:val="20"/>
                <w:szCs w:val="20"/>
              </w:rPr>
              <w:t>7</w:t>
            </w:r>
            <w:r w:rsidR="009B2A2C" w:rsidRPr="006D61F3">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A96C6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A96C64">
              <w:rPr>
                <w:rFonts w:ascii="Arial" w:hAnsi="Arial" w:cs="Arial"/>
                <w:sz w:val="20"/>
                <w:szCs w:val="20"/>
              </w:rPr>
              <w:t>3</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F000E0" w:rsidP="00AA3A0A">
            <w:pPr>
              <w:spacing w:after="0" w:line="240" w:lineRule="auto"/>
              <w:ind w:left="-108" w:right="-108"/>
              <w:jc w:val="center"/>
              <w:rPr>
                <w:rFonts w:ascii="Arial" w:hAnsi="Arial" w:cs="Arial"/>
                <w:sz w:val="20"/>
                <w:szCs w:val="20"/>
              </w:rPr>
            </w:pPr>
            <w:r>
              <w:rPr>
                <w:rFonts w:ascii="Arial" w:hAnsi="Arial" w:cs="Arial"/>
                <w:sz w:val="20"/>
                <w:szCs w:val="20"/>
              </w:rPr>
              <w:t>7</w:t>
            </w:r>
            <w:r w:rsidR="00AA3A0A">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A3A0A"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A3A0A">
            <w:pPr>
              <w:spacing w:after="0" w:line="240" w:lineRule="auto"/>
              <w:ind w:right="-108"/>
              <w:jc w:val="center"/>
              <w:rPr>
                <w:rFonts w:ascii="Arial" w:hAnsi="Arial" w:cs="Arial"/>
                <w:sz w:val="20"/>
                <w:szCs w:val="20"/>
              </w:rPr>
            </w:pPr>
            <w:r w:rsidRPr="00360664">
              <w:rPr>
                <w:rFonts w:ascii="Arial" w:hAnsi="Arial" w:cs="Arial"/>
                <w:sz w:val="20"/>
                <w:szCs w:val="20"/>
              </w:rPr>
              <w:t>$</w:t>
            </w:r>
            <w:r w:rsidR="00AA3A0A">
              <w:rPr>
                <w:rFonts w:ascii="Arial" w:hAnsi="Arial" w:cs="Arial"/>
                <w:sz w:val="20"/>
                <w:szCs w:val="20"/>
              </w:rPr>
              <w:t>0</w:t>
            </w:r>
          </w:p>
        </w:tc>
        <w:tc>
          <w:tcPr>
            <w:tcW w:w="3420" w:type="dxa"/>
          </w:tcPr>
          <w:p w:rsidR="000C209F" w:rsidRPr="00360664" w:rsidRDefault="00D86971" w:rsidP="00F01CF6">
            <w:pPr>
              <w:spacing w:after="0" w:line="240" w:lineRule="auto"/>
              <w:ind w:left="-108" w:right="-108"/>
              <w:jc w:val="center"/>
              <w:rPr>
                <w:rFonts w:ascii="Arial" w:hAnsi="Arial" w:cs="Arial"/>
                <w:sz w:val="20"/>
                <w:szCs w:val="20"/>
              </w:rPr>
            </w:pPr>
            <w:r>
              <w:rPr>
                <w:rFonts w:ascii="Arial" w:hAnsi="Arial" w:cs="Arial"/>
                <w:sz w:val="20"/>
                <w:szCs w:val="20"/>
              </w:rPr>
              <w:t>80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EC0F93">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shared 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Draft task report was shared with 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II-4 – </w:t>
            </w:r>
            <w:r w:rsidR="008A10CC">
              <w:rPr>
                <w:rFonts w:ascii="Arial" w:hAnsi="Arial" w:cs="Arial"/>
                <w:sz w:val="20"/>
                <w:szCs w:val="20"/>
              </w:rPr>
              <w:t>8</w:t>
            </w:r>
            <w:r w:rsidR="000C642F">
              <w:rPr>
                <w:rFonts w:ascii="Arial" w:hAnsi="Arial" w:cs="Arial"/>
                <w:sz w:val="20"/>
                <w:szCs w:val="20"/>
              </w:rPr>
              <w:t xml:space="preserve">0% complete.  </w:t>
            </w:r>
            <w:r w:rsidR="009D6174">
              <w:rPr>
                <w:rFonts w:ascii="Arial" w:hAnsi="Arial" w:cs="Arial"/>
                <w:sz w:val="20"/>
                <w:szCs w:val="20"/>
              </w:rPr>
              <w:t xml:space="preserve">Field tests </w:t>
            </w:r>
            <w:r w:rsidR="00F74B78">
              <w:rPr>
                <w:rFonts w:ascii="Arial" w:hAnsi="Arial" w:cs="Arial"/>
                <w:sz w:val="20"/>
                <w:szCs w:val="20"/>
              </w:rPr>
              <w:t xml:space="preserve">have been </w:t>
            </w:r>
            <w:r w:rsidR="009D6174">
              <w:rPr>
                <w:rFonts w:ascii="Arial" w:hAnsi="Arial" w:cs="Arial"/>
                <w:sz w:val="20"/>
                <w:szCs w:val="20"/>
              </w:rPr>
              <w:t>completed.</w:t>
            </w:r>
            <w:r w:rsidR="00F11324">
              <w:rPr>
                <w:rFonts w:ascii="Arial" w:hAnsi="Arial" w:cs="Arial"/>
                <w:sz w:val="20"/>
                <w:szCs w:val="20"/>
              </w:rPr>
              <w:t xml:space="preserve">  Progress was made on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6444CB">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Continue work on RC Wingwall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w:t>
            </w:r>
            <w:r w:rsidR="006F2433">
              <w:rPr>
                <w:rFonts w:ascii="Arial" w:hAnsi="Arial" w:cs="Arial"/>
                <w:sz w:val="20"/>
                <w:szCs w:val="20"/>
              </w:rPr>
              <w:t>2018</w:t>
            </w:r>
            <w:r w:rsidR="00A13BBF">
              <w:rPr>
                <w:rFonts w:ascii="Arial" w:hAnsi="Arial" w:cs="Arial"/>
                <w:sz w:val="20"/>
                <w:szCs w:val="20"/>
              </w:rPr>
              <w:t xml:space="preserve">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863D44">
              <w:rPr>
                <w:rFonts w:ascii="Arial" w:hAnsi="Arial" w:cs="Arial"/>
                <w:sz w:val="20"/>
                <w:szCs w:val="20"/>
              </w:rPr>
              <w:t>Complete</w:t>
            </w:r>
            <w:r w:rsidR="006F2433">
              <w:rPr>
                <w:rFonts w:ascii="Arial" w:hAnsi="Arial" w:cs="Arial"/>
                <w:sz w:val="20"/>
                <w:szCs w:val="20"/>
              </w:rPr>
              <w:t xml:space="preserve"> work on</w:t>
            </w:r>
            <w:r w:rsidR="00863D44">
              <w:rPr>
                <w:rFonts w:ascii="Arial" w:hAnsi="Arial" w:cs="Arial"/>
                <w:sz w:val="20"/>
                <w:szCs w:val="20"/>
              </w:rPr>
              <w:t xml:space="preserve"> the task report and share with TAC for review.</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in </w:t>
            </w:r>
            <w:r w:rsidR="00C00BD1">
              <w:rPr>
                <w:rFonts w:ascii="Arial" w:hAnsi="Arial" w:cs="Arial"/>
                <w:sz w:val="20"/>
                <w:szCs w:val="20"/>
              </w:rPr>
              <w:t xml:space="preserve">Spring </w:t>
            </w:r>
            <w:r w:rsidR="006F2433">
              <w:rPr>
                <w:rFonts w:ascii="Arial" w:hAnsi="Arial" w:cs="Arial"/>
                <w:sz w:val="20"/>
                <w:szCs w:val="20"/>
              </w:rPr>
              <w:t>201</w:t>
            </w:r>
            <w:r w:rsidR="0015772E">
              <w:rPr>
                <w:rFonts w:ascii="Arial" w:hAnsi="Arial" w:cs="Arial"/>
                <w:sz w:val="20"/>
                <w:szCs w:val="20"/>
              </w:rPr>
              <w:t>8</w:t>
            </w:r>
            <w:r w:rsidR="006F2433">
              <w:rPr>
                <w:rFonts w:ascii="Arial" w:hAnsi="Arial" w:cs="Arial"/>
                <w:sz w:val="20"/>
                <w:szCs w:val="20"/>
              </w:rPr>
              <w:t xml:space="preserve"> 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242F45" w:rsidRDefault="00F22829" w:rsidP="00F46848">
            <w:pPr>
              <w:spacing w:after="0" w:line="240" w:lineRule="auto"/>
              <w:rPr>
                <w:rFonts w:ascii="Arial" w:hAnsi="Arial" w:cs="Arial"/>
                <w:b/>
                <w:sz w:val="20"/>
                <w:szCs w:val="20"/>
              </w:rPr>
            </w:pPr>
            <w:r w:rsidRPr="006444CB">
              <w:rPr>
                <w:rFonts w:ascii="Arial" w:hAnsi="Arial" w:cs="Arial"/>
                <w:b/>
                <w:sz w:val="20"/>
                <w:szCs w:val="20"/>
              </w:rPr>
              <w:t>Significant Results</w:t>
            </w:r>
            <w:r w:rsidR="008650FA" w:rsidRPr="006444CB">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5724C5" w:rsidRDefault="005953D2" w:rsidP="00F46848">
            <w:pPr>
              <w:spacing w:after="0" w:line="240" w:lineRule="auto"/>
              <w:rPr>
                <w:rFonts w:ascii="Arial" w:hAnsi="Arial" w:cs="Arial"/>
                <w:sz w:val="20"/>
                <w:szCs w:val="20"/>
              </w:rPr>
            </w:pPr>
            <w:r>
              <w:rPr>
                <w:rFonts w:ascii="Arial" w:hAnsi="Arial" w:cs="Arial"/>
                <w:sz w:val="20"/>
                <w:szCs w:val="20"/>
              </w:rPr>
              <w:t>During this quarter, a draft final report was completed for the passive force-deflection tests with sand backfill using an inclined loading (rotation of</w:t>
            </w:r>
            <w:r w:rsidR="005724C5">
              <w:rPr>
                <w:rFonts w:ascii="Arial" w:hAnsi="Arial" w:cs="Arial"/>
                <w:sz w:val="20"/>
                <w:szCs w:val="20"/>
              </w:rPr>
              <w:t xml:space="preserve"> abutment).  These tests were in contrast with previous tests where a longitudinal load was applied with essentially no rotation of the abutment.  This draft final report will now be submitted to TAC members for review and comment.  The abstract is provided below.</w:t>
            </w:r>
          </w:p>
          <w:p w:rsidR="0031696A" w:rsidRDefault="0031696A" w:rsidP="00F46848">
            <w:pPr>
              <w:spacing w:after="0" w:line="240" w:lineRule="auto"/>
              <w:rPr>
                <w:rFonts w:ascii="Arial" w:hAnsi="Arial" w:cs="Arial"/>
                <w:sz w:val="20"/>
                <w:szCs w:val="20"/>
              </w:rPr>
            </w:pPr>
          </w:p>
          <w:p w:rsidR="0031696A" w:rsidRPr="0031696A" w:rsidRDefault="0031696A" w:rsidP="0031696A">
            <w:pPr>
              <w:spacing w:after="0" w:line="240" w:lineRule="auto"/>
              <w:jc w:val="center"/>
              <w:rPr>
                <w:rFonts w:ascii="Arial" w:hAnsi="Arial" w:cs="Arial"/>
                <w:b/>
                <w:sz w:val="20"/>
                <w:szCs w:val="20"/>
                <w:u w:val="single"/>
              </w:rPr>
            </w:pPr>
            <w:r w:rsidRPr="0031696A">
              <w:rPr>
                <w:rFonts w:ascii="Arial" w:hAnsi="Arial" w:cs="Arial"/>
                <w:b/>
                <w:sz w:val="20"/>
                <w:szCs w:val="20"/>
                <w:u w:val="single"/>
              </w:rPr>
              <w:t>ABS</w:t>
            </w:r>
            <w:r>
              <w:rPr>
                <w:rFonts w:ascii="Arial" w:hAnsi="Arial" w:cs="Arial"/>
                <w:b/>
                <w:sz w:val="20"/>
                <w:szCs w:val="20"/>
                <w:u w:val="single"/>
              </w:rPr>
              <w:t>T</w:t>
            </w:r>
            <w:r w:rsidRPr="0031696A">
              <w:rPr>
                <w:rFonts w:ascii="Arial" w:hAnsi="Arial" w:cs="Arial"/>
                <w:b/>
                <w:sz w:val="20"/>
                <w:szCs w:val="20"/>
                <w:u w:val="single"/>
              </w:rPr>
              <w:t>RACT</w:t>
            </w:r>
          </w:p>
          <w:p w:rsidR="0031696A" w:rsidRDefault="0031696A" w:rsidP="00F46848">
            <w:pPr>
              <w:spacing w:after="0" w:line="240" w:lineRule="auto"/>
              <w:rPr>
                <w:rFonts w:ascii="Arial" w:hAnsi="Arial" w:cs="Arial"/>
                <w:sz w:val="20"/>
                <w:szCs w:val="20"/>
              </w:rPr>
            </w:pPr>
          </w:p>
          <w:p w:rsidR="008650FA" w:rsidRPr="007C638B" w:rsidRDefault="0031696A" w:rsidP="007C638B">
            <w:pPr>
              <w:spacing w:line="240" w:lineRule="auto"/>
              <w:rPr>
                <w:rFonts w:ascii="Arial" w:hAnsi="Arial" w:cs="Arial"/>
                <w:sz w:val="20"/>
                <w:szCs w:val="20"/>
              </w:rPr>
            </w:pPr>
            <w:r w:rsidRPr="0031696A">
              <w:rPr>
                <w:rFonts w:ascii="Arial" w:hAnsi="Arial" w:cs="Arial"/>
                <w:sz w:val="20"/>
                <w:szCs w:val="20"/>
              </w:rPr>
              <w:t xml:space="preserve">Accounting for seismic forces and thermal expansion in bridge design requires an accurate passive force versus deflection relationship for the abutment wall. Many current design codes make no allowance for skew effects on passive force. However, many large-scale and laboratory tests indicate that there is a significant reduction in passive force as skew angle increases. Before this research, all tests had been performed by applying a longitudinal force and preventing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rotation. However, </w:t>
            </w:r>
            <w:r w:rsidR="000A1E95">
              <w:rPr>
                <w:rFonts w:ascii="Arial" w:hAnsi="Arial" w:cs="Arial"/>
                <w:sz w:val="20"/>
                <w:szCs w:val="20"/>
              </w:rPr>
              <w:t xml:space="preserve">in these tests the </w:t>
            </w:r>
            <w:proofErr w:type="spellStart"/>
            <w:r w:rsidR="000A1E95">
              <w:rPr>
                <w:rFonts w:ascii="Arial" w:hAnsi="Arial" w:cs="Arial"/>
                <w:sz w:val="20"/>
                <w:szCs w:val="20"/>
              </w:rPr>
              <w:t>backwall</w:t>
            </w:r>
            <w:proofErr w:type="spellEnd"/>
            <w:r w:rsidR="000A1E95">
              <w:rPr>
                <w:rFonts w:ascii="Arial" w:hAnsi="Arial" w:cs="Arial"/>
                <w:sz w:val="20"/>
                <w:szCs w:val="20"/>
              </w:rPr>
              <w:t xml:space="preserve"> was</w:t>
            </w:r>
            <w:r w:rsidRPr="0031696A">
              <w:rPr>
                <w:rFonts w:ascii="Arial" w:hAnsi="Arial" w:cs="Arial"/>
                <w:sz w:val="20"/>
                <w:szCs w:val="20"/>
              </w:rPr>
              <w:t xml:space="preserve"> at an angle or with an inclined loading, which more accurately simulates earthquake loading. The focus of this research was to determine the impacts of inclined loading on passive force displacement curves and skew adjustment factors. Two large-scale field tests were performed with skew angles of 0° and 30°. Inclined loading was applied to the 30° skew test. The peak passive force for the 30° skew test was found to be 69% of the peak passive force for the 0° skew case. This skew reduction factor is somewhat higher than the skew reduction curve recommended for passive force reduction based on skew angle but at the edge of scatter in previous tests. Longitudinal displacement of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necessary to mobilize the peak passive force was found to be between 4% and 6% of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height for the 0° and 30° skew tests, respectively, which is consistent with previously reported values for large-scale passive force-deflection tests. Passive pressure across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was higher on the obtuse side where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was pushed slightly farther to produce an inclined loading. PYCAP was used to analytically compute passive resistance curves and the results were in acceptable agreement with the measured curves for the 0° and 30° skew tests. Soil parameters including stiffness, friction angle, cohesion, and wall friction determined from the PYCAP analysis were similar to those determined from previous passive force-deflection analyses.</w:t>
            </w: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8650FA" w:rsidRPr="00360664" w:rsidRDefault="004E6CA7" w:rsidP="007C638B">
            <w:pPr>
              <w:keepNext/>
              <w:keepLines/>
              <w:spacing w:after="0" w:line="240" w:lineRule="auto"/>
              <w:rPr>
                <w:rFonts w:ascii="Arial" w:hAnsi="Arial" w:cs="Arial"/>
                <w:b/>
                <w:sz w:val="20"/>
                <w:szCs w:val="20"/>
              </w:rPr>
            </w:pPr>
            <w:r>
              <w:rPr>
                <w:rFonts w:ascii="Arial" w:hAnsi="Arial" w:cs="Arial"/>
                <w:sz w:val="20"/>
                <w:szCs w:val="20"/>
              </w:rPr>
              <w:t xml:space="preserve"> </w:t>
            </w:r>
          </w:p>
        </w:tc>
      </w:tr>
      <w:tr w:rsidR="00066E30" w:rsidRPr="00360664" w:rsidTr="006F3E43">
        <w:tc>
          <w:tcPr>
            <w:tcW w:w="10908" w:type="dxa"/>
          </w:tcPr>
          <w:p w:rsidR="00066E30" w:rsidRPr="00360664" w:rsidRDefault="00066E30"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bookmarkStart w:id="0" w:name="_GoBack"/>
      <w:bookmarkEnd w:id="0"/>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4E" w:rsidRDefault="0065684E" w:rsidP="00106C83">
      <w:pPr>
        <w:spacing w:after="0" w:line="240" w:lineRule="auto"/>
      </w:pPr>
      <w:r>
        <w:separator/>
      </w:r>
    </w:p>
  </w:endnote>
  <w:endnote w:type="continuationSeparator" w:id="0">
    <w:p w:rsidR="0065684E" w:rsidRDefault="0065684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4E" w:rsidRDefault="0065684E" w:rsidP="00106C83">
      <w:pPr>
        <w:spacing w:after="0" w:line="240" w:lineRule="auto"/>
      </w:pPr>
      <w:r>
        <w:separator/>
      </w:r>
    </w:p>
  </w:footnote>
  <w:footnote w:type="continuationSeparator" w:id="0">
    <w:p w:rsidR="0065684E" w:rsidRDefault="0065684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7E93"/>
    <w:rsid w:val="00060908"/>
    <w:rsid w:val="00061268"/>
    <w:rsid w:val="00062C59"/>
    <w:rsid w:val="000653BA"/>
    <w:rsid w:val="00066E30"/>
    <w:rsid w:val="00067847"/>
    <w:rsid w:val="00067C4B"/>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353E"/>
    <w:rsid w:val="002D724F"/>
    <w:rsid w:val="002D7576"/>
    <w:rsid w:val="002D7EAE"/>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669E3"/>
    <w:rsid w:val="00372367"/>
    <w:rsid w:val="003724D6"/>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05EA"/>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66BF"/>
    <w:rsid w:val="00460A15"/>
    <w:rsid w:val="004629CB"/>
    <w:rsid w:val="004700F8"/>
    <w:rsid w:val="00472C8D"/>
    <w:rsid w:val="0047332E"/>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E0D"/>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2F2"/>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3372"/>
    <w:rsid w:val="006E6CC8"/>
    <w:rsid w:val="006F0C85"/>
    <w:rsid w:val="006F0E6D"/>
    <w:rsid w:val="006F152A"/>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10CC"/>
    <w:rsid w:val="008A1733"/>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33D6"/>
    <w:rsid w:val="00BE4365"/>
    <w:rsid w:val="00BE6CA6"/>
    <w:rsid w:val="00BE7D4A"/>
    <w:rsid w:val="00BF5FD7"/>
    <w:rsid w:val="00BF6E2C"/>
    <w:rsid w:val="00BF6F98"/>
    <w:rsid w:val="00C00BD1"/>
    <w:rsid w:val="00C028D7"/>
    <w:rsid w:val="00C02D95"/>
    <w:rsid w:val="00C02ECD"/>
    <w:rsid w:val="00C03106"/>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4B19"/>
    <w:rsid w:val="00E2520C"/>
    <w:rsid w:val="00E2742E"/>
    <w:rsid w:val="00E3095B"/>
    <w:rsid w:val="00E311CA"/>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22AF"/>
    <w:rsid w:val="00E82370"/>
    <w:rsid w:val="00E829CF"/>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6FCE"/>
    <w:rsid w:val="00FD72BB"/>
    <w:rsid w:val="00FD7A44"/>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1CF1-1067-4504-9EC4-1BA4FBF9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2149</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140</cp:revision>
  <cp:lastPrinted>2011-06-21T20:32:00Z</cp:lastPrinted>
  <dcterms:created xsi:type="dcterms:W3CDTF">2018-02-06T16:12:00Z</dcterms:created>
  <dcterms:modified xsi:type="dcterms:W3CDTF">2018-03-01T23:16:00Z</dcterms:modified>
</cp:coreProperties>
</file>