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FB2264">
              <w:rPr>
                <w:rFonts w:ascii="Agency FB" w:hAnsi="Agency FB" w:cs="Arial"/>
                <w:b/>
                <w:sz w:val="20"/>
                <w:szCs w:val="20"/>
              </w:rPr>
              <w:t xml:space="preserve">  </w:t>
            </w:r>
            <w:r w:rsidR="006E2BEE">
              <w:rPr>
                <w:rFonts w:ascii="Agency FB" w:hAnsi="Agency FB" w:cs="Arial"/>
                <w:b/>
                <w:sz w:val="20"/>
                <w:szCs w:val="20"/>
              </w:rPr>
              <w:t xml:space="preserve"> </w:t>
            </w:r>
            <w:r w:rsidR="00551D8A">
              <w:rPr>
                <w:rFonts w:ascii="Arial" w:hAnsi="Arial" w:cs="Arial"/>
                <w:sz w:val="20"/>
                <w:szCs w:val="20"/>
              </w:rPr>
              <w:t>Quarter 1 (January 1 – March 31)</w:t>
            </w:r>
            <w:r w:rsidR="0040720F">
              <w:rPr>
                <w:rFonts w:ascii="Arial" w:hAnsi="Arial" w:cs="Arial"/>
                <w:sz w:val="20"/>
                <w:szCs w:val="20"/>
              </w:rPr>
              <w:t xml:space="preserve"> 2017</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DD62F8">
              <w:rPr>
                <w:rFonts w:ascii="Arial" w:hAnsi="Arial" w:cs="Arial"/>
                <w:b/>
                <w:sz w:val="20"/>
                <w:szCs w:val="20"/>
              </w:rPr>
              <w:t xml:space="preserve"> </w:t>
            </w:r>
            <w:r w:rsidR="006017D3">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5F06C7">
              <w:rPr>
                <w:rFonts w:ascii="Malgun Gothic" w:eastAsia="Malgun Gothic" w:hAnsi="Malgun Gothic" w:cs="Arial"/>
                <w:b/>
                <w:sz w:val="20"/>
                <w:szCs w:val="20"/>
              </w:rPr>
              <w:t xml:space="preserve">  </w:t>
            </w:r>
            <w:r w:rsidR="006E2BEE">
              <w:rPr>
                <w:rFonts w:ascii="Malgun Gothic" w:eastAsia="Malgun Gothic" w:hAnsi="Malgun Gothic" w:cs="Arial"/>
                <w:b/>
                <w:sz w:val="20"/>
                <w:szCs w:val="20"/>
              </w:rPr>
              <w:t xml:space="preserve"> </w:t>
            </w:r>
            <w:r w:rsidR="00551D8A">
              <w:rPr>
                <w:rFonts w:ascii="Arial" w:hAnsi="Arial" w:cs="Arial"/>
                <w:sz w:val="20"/>
                <w:szCs w:val="20"/>
              </w:rPr>
              <w:t>Quarter 3 (July 1 – September 30)</w:t>
            </w:r>
          </w:p>
          <w:p w:rsidR="00551D8A" w:rsidRPr="00551D8A" w:rsidRDefault="008C3C6D" w:rsidP="0040720F">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6E2BEE">
              <w:rPr>
                <w:rFonts w:ascii="Arial" w:hAnsi="Arial" w:cs="Arial"/>
                <w:b/>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2020</w:t>
            </w:r>
            <w:r w:rsidR="00FF2199">
              <w:rPr>
                <w:rFonts w:ascii="Arial" w:hAnsi="Arial" w:cs="Arial"/>
                <w:sz w:val="20"/>
                <w:szCs w:val="20"/>
              </w:rPr>
              <w:t xml:space="preserve">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6017D3" w:rsidP="0003476C">
            <w:pPr>
              <w:ind w:right="-720"/>
              <w:rPr>
                <w:rFonts w:ascii="Arial" w:hAnsi="Arial" w:cs="Arial"/>
                <w:sz w:val="20"/>
                <w:szCs w:val="20"/>
              </w:rPr>
            </w:pPr>
            <w:r>
              <w:rPr>
                <w:rFonts w:ascii="Arial" w:hAnsi="Arial" w:cs="Arial"/>
                <w:sz w:val="20"/>
                <w:szCs w:val="20"/>
              </w:rPr>
              <w:t>4</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6017D3" w:rsidP="00A33242">
            <w:pPr>
              <w:spacing w:before="120"/>
              <w:ind w:right="-720"/>
              <w:jc w:val="center"/>
              <w:rPr>
                <w:rFonts w:ascii="Arial" w:hAnsi="Arial" w:cs="Arial"/>
                <w:sz w:val="20"/>
                <w:szCs w:val="20"/>
              </w:rPr>
            </w:pPr>
            <w:r>
              <w:rPr>
                <w:rFonts w:ascii="Arial" w:hAnsi="Arial" w:cs="Arial"/>
                <w:sz w:val="20"/>
                <w:szCs w:val="20"/>
              </w:rPr>
              <w:t>$2,000,353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6E2BEE">
              <w:rPr>
                <w:rFonts w:ascii="Arial" w:hAnsi="Arial" w:cs="Arial"/>
                <w:sz w:val="20"/>
                <w:szCs w:val="20"/>
              </w:rPr>
              <w:t>1,273,540</w:t>
            </w:r>
          </w:p>
        </w:tc>
        <w:tc>
          <w:tcPr>
            <w:tcW w:w="3420" w:type="dxa"/>
          </w:tcPr>
          <w:p w:rsidR="00874EF7" w:rsidRDefault="006E2BEE" w:rsidP="008D1AB6">
            <w:pPr>
              <w:spacing w:before="120"/>
              <w:ind w:right="-720"/>
              <w:jc w:val="center"/>
              <w:rPr>
                <w:rFonts w:ascii="Arial" w:hAnsi="Arial" w:cs="Arial"/>
                <w:sz w:val="20"/>
                <w:szCs w:val="20"/>
              </w:rPr>
            </w:pPr>
            <w:r>
              <w:rPr>
                <w:rFonts w:ascii="Arial" w:hAnsi="Arial" w:cs="Arial"/>
                <w:sz w:val="20"/>
                <w:szCs w:val="20"/>
              </w:rPr>
              <w:t>64</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6E2BEE">
              <w:rPr>
                <w:rFonts w:ascii="Arial" w:hAnsi="Arial" w:cs="Arial"/>
                <w:sz w:val="20"/>
                <w:szCs w:val="20"/>
              </w:rPr>
              <w:t>1,273,540 (64</w:t>
            </w:r>
            <w:r w:rsidR="00014344">
              <w:rPr>
                <w:rFonts w:ascii="Arial" w:hAnsi="Arial" w:cs="Arial"/>
                <w:sz w:val="20"/>
                <w:szCs w:val="20"/>
              </w:rPr>
              <w:t>% of budget)</w:t>
            </w:r>
          </w:p>
        </w:tc>
        <w:tc>
          <w:tcPr>
            <w:tcW w:w="3330" w:type="dxa"/>
          </w:tcPr>
          <w:p w:rsidR="00B66A21" w:rsidRPr="00B66A21" w:rsidRDefault="00D838A4" w:rsidP="00131BC3">
            <w:pPr>
              <w:spacing w:before="120"/>
              <w:ind w:right="-720"/>
              <w:jc w:val="center"/>
              <w:rPr>
                <w:rFonts w:ascii="Arial" w:hAnsi="Arial" w:cs="Arial"/>
                <w:sz w:val="20"/>
                <w:szCs w:val="20"/>
              </w:rPr>
            </w:pPr>
            <w:r>
              <w:rPr>
                <w:rFonts w:ascii="Arial" w:hAnsi="Arial" w:cs="Arial"/>
                <w:sz w:val="20"/>
                <w:szCs w:val="20"/>
              </w:rPr>
              <w:t>$</w:t>
            </w:r>
            <w:r w:rsidR="00492F9A">
              <w:rPr>
                <w:rFonts w:ascii="Arial" w:hAnsi="Arial" w:cs="Arial"/>
                <w:sz w:val="20"/>
                <w:szCs w:val="20"/>
              </w:rPr>
              <w:t>26,543</w:t>
            </w:r>
          </w:p>
        </w:tc>
        <w:tc>
          <w:tcPr>
            <w:tcW w:w="3420" w:type="dxa"/>
          </w:tcPr>
          <w:p w:rsidR="00B66A21" w:rsidRDefault="006E2BEE" w:rsidP="00014344">
            <w:pPr>
              <w:spacing w:before="120"/>
              <w:ind w:right="-720"/>
              <w:jc w:val="center"/>
              <w:rPr>
                <w:rFonts w:ascii="Arial" w:hAnsi="Arial" w:cs="Arial"/>
                <w:sz w:val="20"/>
                <w:szCs w:val="20"/>
              </w:rPr>
            </w:pPr>
            <w:r>
              <w:rPr>
                <w:rFonts w:ascii="Arial" w:hAnsi="Arial" w:cs="Arial"/>
                <w:sz w:val="20"/>
                <w:szCs w:val="20"/>
              </w:rPr>
              <w:t>78</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6E2BEE" w:rsidRDefault="00C24F00" w:rsidP="005F2550">
            <w:pPr>
              <w:spacing w:after="120"/>
              <w:ind w:right="-720"/>
              <w:rPr>
                <w:rFonts w:cs="Arial"/>
                <w:b/>
              </w:rPr>
            </w:pPr>
            <w:r>
              <w:rPr>
                <w:rFonts w:cs="Arial"/>
                <w:b/>
              </w:rPr>
              <w:t>MEETING</w:t>
            </w:r>
          </w:p>
          <w:p w:rsidR="006E2BEE" w:rsidRDefault="006E2BEE" w:rsidP="006E2BEE">
            <w:pPr>
              <w:ind w:right="-720"/>
            </w:pPr>
            <w:r>
              <w:t xml:space="preserve">A Superpave Center Management Committee meeting was held at the annual SEAUPG meeting in Jacksonville, Fla. in </w:t>
            </w:r>
          </w:p>
          <w:p w:rsidR="006E2BEE" w:rsidRDefault="006E2BEE" w:rsidP="006E2BEE">
            <w:pPr>
              <w:ind w:right="-720"/>
            </w:pPr>
            <w:r>
              <w:t>November</w:t>
            </w:r>
            <w:r w:rsidR="00C24F00">
              <w:t>, 2017</w:t>
            </w:r>
            <w:r>
              <w:t>.</w:t>
            </w:r>
            <w:r w:rsidR="00C24F00">
              <w:t xml:space="preserve"> A summary of annual activities including research, training, and travel were presented and an updated </w:t>
            </w:r>
          </w:p>
          <w:p w:rsidR="00C24F00" w:rsidRDefault="00C24F00" w:rsidP="006E2BEE">
            <w:pPr>
              <w:ind w:right="-720"/>
            </w:pPr>
            <w:r>
              <w:t>financial status report for each state was presented.</w:t>
            </w:r>
          </w:p>
          <w:p w:rsidR="00C24F00" w:rsidRPr="006E2BEE" w:rsidRDefault="00C24F00" w:rsidP="006E2BEE">
            <w:pPr>
              <w:ind w:right="-720"/>
              <w:rPr>
                <w:rFonts w:cs="Arial"/>
              </w:rPr>
            </w:pPr>
          </w:p>
          <w:p w:rsidR="005F06C7" w:rsidRPr="00FF2199" w:rsidRDefault="005F06C7" w:rsidP="005F2550">
            <w:pPr>
              <w:spacing w:after="120"/>
              <w:ind w:right="-720"/>
              <w:rPr>
                <w:rFonts w:cs="Arial"/>
                <w:b/>
              </w:rPr>
            </w:pPr>
            <w:r w:rsidRPr="00FF2199">
              <w:rPr>
                <w:rFonts w:cs="Arial"/>
                <w:b/>
              </w:rPr>
              <w:t>TRAINING</w:t>
            </w:r>
          </w:p>
          <w:p w:rsidR="006E2BEE" w:rsidRDefault="004B5199" w:rsidP="006E2BEE">
            <w:pPr>
              <w:ind w:right="-720"/>
              <w:rPr>
                <w:rFonts w:ascii="Arial" w:hAnsi="Arial" w:cs="Arial"/>
                <w:sz w:val="20"/>
                <w:szCs w:val="20"/>
              </w:rPr>
            </w:pPr>
            <w:r>
              <w:rPr>
                <w:rFonts w:ascii="Arial" w:hAnsi="Arial" w:cs="Arial"/>
                <w:sz w:val="20"/>
                <w:szCs w:val="20"/>
              </w:rPr>
              <w:t>This quarter</w:t>
            </w:r>
            <w:r w:rsidR="00A72F36">
              <w:rPr>
                <w:rFonts w:ascii="Arial" w:hAnsi="Arial" w:cs="Arial"/>
                <w:sz w:val="20"/>
                <w:szCs w:val="20"/>
              </w:rPr>
              <w:t xml:space="preserve"> t</w:t>
            </w:r>
            <w:r>
              <w:rPr>
                <w:rFonts w:ascii="Arial" w:hAnsi="Arial" w:cs="Arial"/>
                <w:sz w:val="20"/>
                <w:szCs w:val="20"/>
              </w:rPr>
              <w:t xml:space="preserve">echnician certification courses were </w:t>
            </w:r>
            <w:r w:rsidR="006E2BEE">
              <w:rPr>
                <w:rFonts w:ascii="Arial" w:hAnsi="Arial" w:cs="Arial"/>
                <w:sz w:val="20"/>
                <w:szCs w:val="20"/>
              </w:rPr>
              <w:t>conducted</w:t>
            </w:r>
            <w:r>
              <w:rPr>
                <w:rFonts w:ascii="Arial" w:hAnsi="Arial" w:cs="Arial"/>
                <w:sz w:val="20"/>
                <w:szCs w:val="20"/>
              </w:rPr>
              <w:t xml:space="preserve"> for Puerto Rico </w:t>
            </w:r>
            <w:r w:rsidR="006E2BEE">
              <w:rPr>
                <w:rFonts w:ascii="Arial" w:hAnsi="Arial" w:cs="Arial"/>
                <w:sz w:val="20"/>
                <w:szCs w:val="20"/>
              </w:rPr>
              <w:t>and Pavement Preservation courses were held</w:t>
            </w:r>
          </w:p>
          <w:p w:rsidR="005F06C7" w:rsidRPr="005F06C7" w:rsidRDefault="006E2BEE" w:rsidP="006E2BEE">
            <w:pPr>
              <w:ind w:right="-720"/>
              <w:rPr>
                <w:rFonts w:ascii="Arial" w:hAnsi="Arial" w:cs="Arial"/>
                <w:sz w:val="20"/>
                <w:szCs w:val="20"/>
              </w:rPr>
            </w:pPr>
            <w:r>
              <w:rPr>
                <w:rFonts w:ascii="Arial" w:hAnsi="Arial" w:cs="Arial"/>
                <w:sz w:val="20"/>
                <w:szCs w:val="20"/>
              </w:rPr>
              <w:t>for Alabama</w:t>
            </w:r>
            <w:r w:rsidR="004B5199">
              <w:rPr>
                <w:rFonts w:ascii="Arial" w:hAnsi="Arial" w:cs="Arial"/>
                <w:sz w:val="20"/>
                <w:szCs w:val="20"/>
              </w:rPr>
              <w:t>.</w:t>
            </w:r>
            <w:r w:rsidR="005F06C7">
              <w:rPr>
                <w:rFonts w:ascii="Arial" w:hAnsi="Arial" w:cs="Arial"/>
                <w:sz w:val="20"/>
                <w:szCs w:val="20"/>
              </w:rPr>
              <w:t xml:space="preserve"> </w:t>
            </w:r>
          </w:p>
          <w:p w:rsidR="005F06C7" w:rsidRDefault="005F06C7" w:rsidP="00551D8A">
            <w:pPr>
              <w:ind w:right="-720"/>
              <w:rPr>
                <w:rFonts w:ascii="Arial" w:hAnsi="Arial" w:cs="Arial"/>
                <w:b/>
                <w:sz w:val="20"/>
                <w:szCs w:val="20"/>
              </w:rPr>
            </w:pPr>
          </w:p>
          <w:p w:rsidR="00131BC3" w:rsidRPr="004B5199" w:rsidRDefault="004B5199" w:rsidP="004B5199">
            <w:pPr>
              <w:tabs>
                <w:tab w:val="left" w:pos="3330"/>
                <w:tab w:val="left" w:pos="3960"/>
              </w:tabs>
              <w:spacing w:after="120"/>
              <w:jc w:val="both"/>
              <w:rPr>
                <w:rFonts w:cstheme="minorHAnsi"/>
                <w:b/>
              </w:rPr>
            </w:pPr>
            <w:r w:rsidRPr="004B5199">
              <w:rPr>
                <w:rFonts w:cstheme="minorHAnsi"/>
                <w:b/>
              </w:rPr>
              <w:t>TRAVEL</w:t>
            </w:r>
          </w:p>
          <w:p w:rsidR="00131BC3" w:rsidRDefault="006E2BEE" w:rsidP="008A7FB0">
            <w:pPr>
              <w:tabs>
                <w:tab w:val="left" w:pos="3330"/>
                <w:tab w:val="left" w:pos="3960"/>
              </w:tabs>
              <w:jc w:val="both"/>
              <w:rPr>
                <w:rFonts w:cstheme="minorHAnsi"/>
              </w:rPr>
            </w:pPr>
            <w:r>
              <w:rPr>
                <w:rFonts w:cstheme="minorHAnsi"/>
              </w:rPr>
              <w:t xml:space="preserve">KYDOT used funds for three personnel to attend SEAUPG. NCDOT used funds for one person to attend SEAUPG. </w:t>
            </w:r>
            <w:r w:rsidR="00312B9C">
              <w:rPr>
                <w:rFonts w:cstheme="minorHAnsi"/>
              </w:rPr>
              <w:t>SC</w:t>
            </w:r>
            <w:r w:rsidR="00131BC3">
              <w:rPr>
                <w:rFonts w:cstheme="minorHAnsi"/>
              </w:rPr>
              <w:t xml:space="preserve">DOT used funds for </w:t>
            </w:r>
            <w:r w:rsidR="00C24F00">
              <w:rPr>
                <w:rFonts w:cstheme="minorHAnsi"/>
              </w:rPr>
              <w:t xml:space="preserve">two </w:t>
            </w:r>
            <w:r w:rsidR="00312B9C">
              <w:rPr>
                <w:rFonts w:cstheme="minorHAnsi"/>
              </w:rPr>
              <w:t>personnel</w:t>
            </w:r>
            <w:r w:rsidR="00131BC3">
              <w:rPr>
                <w:rFonts w:cstheme="minorHAnsi"/>
              </w:rPr>
              <w:t xml:space="preserve"> to attend </w:t>
            </w:r>
            <w:r w:rsidR="00C24F00">
              <w:rPr>
                <w:rFonts w:cstheme="minorHAnsi"/>
              </w:rPr>
              <w:t>a Cold Recycling workshop and for two to attend SEAUPG.</w:t>
            </w:r>
          </w:p>
          <w:p w:rsidR="00131BC3" w:rsidRDefault="00131BC3" w:rsidP="008A7FB0">
            <w:pPr>
              <w:tabs>
                <w:tab w:val="left" w:pos="3330"/>
                <w:tab w:val="left" w:pos="3960"/>
              </w:tabs>
              <w:jc w:val="both"/>
              <w:rPr>
                <w:rFonts w:cstheme="minorHAnsi"/>
              </w:rPr>
            </w:pPr>
          </w:p>
          <w:p w:rsidR="00C24F00" w:rsidRDefault="00C24F00" w:rsidP="004B5199">
            <w:pPr>
              <w:tabs>
                <w:tab w:val="left" w:pos="3330"/>
                <w:tab w:val="left" w:pos="3960"/>
              </w:tabs>
              <w:spacing w:after="120"/>
              <w:jc w:val="both"/>
              <w:rPr>
                <w:rFonts w:cstheme="minorHAnsi"/>
                <w:b/>
              </w:rPr>
            </w:pPr>
          </w:p>
          <w:p w:rsidR="00C24F00" w:rsidRDefault="00C24F00" w:rsidP="004B5199">
            <w:pPr>
              <w:tabs>
                <w:tab w:val="left" w:pos="3330"/>
                <w:tab w:val="left" w:pos="3960"/>
              </w:tabs>
              <w:spacing w:after="120"/>
              <w:jc w:val="both"/>
              <w:rPr>
                <w:rFonts w:cstheme="minorHAnsi"/>
                <w:b/>
              </w:rPr>
            </w:pPr>
          </w:p>
          <w:p w:rsidR="00C24F00" w:rsidRDefault="00C24F00" w:rsidP="004B5199">
            <w:pPr>
              <w:tabs>
                <w:tab w:val="left" w:pos="3330"/>
                <w:tab w:val="left" w:pos="3960"/>
              </w:tabs>
              <w:spacing w:after="120"/>
              <w:jc w:val="both"/>
              <w:rPr>
                <w:rFonts w:cstheme="minorHAnsi"/>
                <w:b/>
              </w:rPr>
            </w:pPr>
          </w:p>
          <w:p w:rsidR="00801263" w:rsidRPr="00801263" w:rsidRDefault="00801263" w:rsidP="004B5199">
            <w:pPr>
              <w:tabs>
                <w:tab w:val="left" w:pos="3330"/>
                <w:tab w:val="left" w:pos="3960"/>
              </w:tabs>
              <w:spacing w:after="120"/>
              <w:jc w:val="both"/>
              <w:rPr>
                <w:rFonts w:cstheme="minorHAnsi"/>
                <w:b/>
              </w:rPr>
            </w:pPr>
            <w:r w:rsidRPr="00801263">
              <w:rPr>
                <w:rFonts w:cstheme="minorHAnsi"/>
                <w:b/>
              </w:rPr>
              <w:t>TESTING</w:t>
            </w:r>
          </w:p>
          <w:p w:rsidR="004B5199" w:rsidRDefault="004B5199" w:rsidP="004B5199">
            <w:pPr>
              <w:tabs>
                <w:tab w:val="left" w:pos="3330"/>
                <w:tab w:val="left" w:pos="3960"/>
              </w:tabs>
              <w:jc w:val="both"/>
              <w:rPr>
                <w:rFonts w:cstheme="minorHAnsi"/>
              </w:rPr>
            </w:pPr>
            <w:r>
              <w:rPr>
                <w:rFonts w:cstheme="minorHAnsi"/>
              </w:rPr>
              <w:t>MDOT used funds to have a NCAT technician conduct FWD testing on several projects.</w:t>
            </w:r>
            <w:r w:rsidR="006E2BEE">
              <w:rPr>
                <w:rFonts w:cstheme="minorHAnsi"/>
              </w:rPr>
              <w:t xml:space="preserve"> Puerto Rico used funds for asphalt binder PG classification tests for terminal supplied binders.</w:t>
            </w:r>
          </w:p>
          <w:p w:rsidR="005C20F1" w:rsidRDefault="005C20F1" w:rsidP="008A7FB0">
            <w:pPr>
              <w:tabs>
                <w:tab w:val="left" w:pos="3330"/>
                <w:tab w:val="left" w:pos="3960"/>
              </w:tabs>
              <w:jc w:val="both"/>
              <w:rPr>
                <w:rFonts w:cstheme="minorHAnsi"/>
              </w:rPr>
            </w:pPr>
          </w:p>
          <w:p w:rsidR="005C20F1" w:rsidRDefault="005C20F1" w:rsidP="004B5199">
            <w:pPr>
              <w:spacing w:after="120"/>
              <w:ind w:right="-720"/>
              <w:rPr>
                <w:rFonts w:ascii="Arial" w:hAnsi="Arial" w:cs="Arial"/>
                <w:sz w:val="20"/>
                <w:szCs w:val="20"/>
              </w:rPr>
            </w:pPr>
            <w:r w:rsidRPr="00601EBD">
              <w:rPr>
                <w:rFonts w:ascii="Arial" w:hAnsi="Arial" w:cs="Arial"/>
                <w:b/>
                <w:sz w:val="20"/>
                <w:szCs w:val="20"/>
              </w:rPr>
              <w:t>Anticipated work next quarter</w:t>
            </w:r>
          </w:p>
          <w:p w:rsidR="00C24F00" w:rsidRDefault="0093289F" w:rsidP="00131BC3">
            <w:pPr>
              <w:ind w:right="-720"/>
            </w:pPr>
            <w:r>
              <w:t>Additional</w:t>
            </w:r>
            <w:r w:rsidR="00224D37">
              <w:t xml:space="preserve"> </w:t>
            </w:r>
            <w:r w:rsidR="00131BC3">
              <w:t xml:space="preserve">training opportunities will be presented next quarter. </w:t>
            </w:r>
            <w:r w:rsidR="006E2BEE">
              <w:t>A schedule for</w:t>
            </w:r>
            <w:r w:rsidR="004B5199">
              <w:t xml:space="preserve"> </w:t>
            </w:r>
            <w:r w:rsidR="006E2BEE">
              <w:t xml:space="preserve">Puerto Rico training has been approved </w:t>
            </w:r>
          </w:p>
          <w:p w:rsidR="00492F9A" w:rsidRDefault="006E2BEE" w:rsidP="00131BC3">
            <w:pPr>
              <w:ind w:right="-720"/>
            </w:pPr>
            <w:r>
              <w:t xml:space="preserve">and will begin in January </w:t>
            </w:r>
            <w:r w:rsidR="004B5199">
              <w:t xml:space="preserve">for roadway technicians. </w:t>
            </w:r>
            <w:r w:rsidR="00131BC3">
              <w:t xml:space="preserve">ALDOT is planning </w:t>
            </w:r>
            <w:r>
              <w:t>another pavement preservation course</w:t>
            </w:r>
            <w:r w:rsidR="00131BC3">
              <w:t xml:space="preserve"> for region </w:t>
            </w:r>
            <w:r>
              <w:t xml:space="preserve">maintenance </w:t>
            </w:r>
            <w:r w:rsidR="00131BC3">
              <w:t>personnel.</w:t>
            </w:r>
            <w:r w:rsidR="00BD77F3">
              <w:t xml:space="preserve"> </w:t>
            </w:r>
            <w:r w:rsidR="00C24F00">
              <w:t>Work will begin for assisting ALDOT with implementation o</w:t>
            </w:r>
            <w:r w:rsidR="00492F9A">
              <w:t>f a pavement preservation plan</w:t>
            </w:r>
            <w:r w:rsidR="00C24F00">
              <w:t xml:space="preserve"> that </w:t>
            </w:r>
          </w:p>
          <w:p w:rsidR="00BD77F3" w:rsidRDefault="00C24F00" w:rsidP="00131BC3">
            <w:pPr>
              <w:ind w:right="-720"/>
            </w:pPr>
            <w:r>
              <w:t>will involve training, project condition surveys, and evaluation of survey data.</w:t>
            </w:r>
          </w:p>
          <w:p w:rsidR="00BD77F3" w:rsidRDefault="00BD77F3" w:rsidP="00131BC3">
            <w:pPr>
              <w:ind w:right="-720"/>
            </w:pPr>
          </w:p>
          <w:p w:rsidR="00C24F00" w:rsidRDefault="00C24F00" w:rsidP="00131BC3">
            <w:pPr>
              <w:ind w:right="-720"/>
            </w:pPr>
            <w:r>
              <w:t>A few agencies plan to use funds to send personnel to a materials engineer workshop at NCAT in February.</w:t>
            </w:r>
          </w:p>
          <w:p w:rsidR="00FF2199" w:rsidRDefault="00FF2199" w:rsidP="008A527D">
            <w:pPr>
              <w:ind w:right="-720"/>
            </w:pPr>
          </w:p>
          <w:p w:rsidR="00B85B80" w:rsidRDefault="00B85B80" w:rsidP="008A527D">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93289F" w:rsidRDefault="00601EBD" w:rsidP="00131BC3">
            <w:pPr>
              <w:ind w:right="-720"/>
            </w:pPr>
            <w:r>
              <w:rPr>
                <w:rFonts w:ascii="Arial" w:hAnsi="Arial" w:cs="Arial"/>
                <w:b/>
                <w:sz w:val="20"/>
                <w:szCs w:val="20"/>
              </w:rPr>
              <w:t>Significant Results:</w:t>
            </w:r>
            <w:r w:rsidR="00B85B80">
              <w:rPr>
                <w:rFonts w:ascii="Arial" w:hAnsi="Arial" w:cs="Arial"/>
                <w:b/>
                <w:sz w:val="20"/>
                <w:szCs w:val="20"/>
              </w:rPr>
              <w:t xml:space="preserve"> </w:t>
            </w:r>
            <w:r w:rsidR="00131BC3">
              <w:t>NA</w:t>
            </w:r>
          </w:p>
          <w:p w:rsidR="00601EBD" w:rsidRPr="00B85B80" w:rsidRDefault="00601EBD" w:rsidP="005F2550">
            <w:pPr>
              <w:ind w:right="-720"/>
              <w:rPr>
                <w:rFonts w:ascii="Arial" w:hAnsi="Arial" w:cs="Arial"/>
                <w:sz w:val="20"/>
                <w:szCs w:val="20"/>
              </w:rPr>
            </w:pP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1489A" w:rsidRDefault="00C24F00" w:rsidP="0005714A">
            <w:pPr>
              <w:ind w:right="-720"/>
              <w:rPr>
                <w:rFonts w:ascii="Arial" w:hAnsi="Arial" w:cs="Arial"/>
                <w:sz w:val="20"/>
                <w:szCs w:val="20"/>
              </w:rPr>
            </w:pPr>
            <w:r>
              <w:rPr>
                <w:rFonts w:ascii="Arial" w:hAnsi="Arial" w:cs="Arial"/>
                <w:sz w:val="20"/>
                <w:szCs w:val="20"/>
              </w:rPr>
              <w:t>NA</w:t>
            </w:r>
            <w:r w:rsidR="004B5199">
              <w:rPr>
                <w:rFonts w:ascii="Arial" w:hAnsi="Arial" w:cs="Arial"/>
                <w:sz w:val="20"/>
                <w:szCs w:val="20"/>
              </w:rPr>
              <w:t>.</w:t>
            </w: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FF2199" w:rsidRDefault="00FF2199" w:rsidP="005F2550">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CA6" w:rsidRDefault="00946CA6" w:rsidP="00106C83">
      <w:pPr>
        <w:spacing w:after="0" w:line="240" w:lineRule="auto"/>
      </w:pPr>
      <w:r>
        <w:separator/>
      </w:r>
    </w:p>
  </w:endnote>
  <w:endnote w:type="continuationSeparator" w:id="0">
    <w:p w:rsidR="00946CA6" w:rsidRDefault="00946CA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DC21F9">
          <w:rPr>
            <w:noProof/>
          </w:rPr>
          <w:t>2</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CA6" w:rsidRDefault="00946CA6" w:rsidP="00106C83">
      <w:pPr>
        <w:spacing w:after="0" w:line="240" w:lineRule="auto"/>
      </w:pPr>
      <w:r>
        <w:separator/>
      </w:r>
    </w:p>
  </w:footnote>
  <w:footnote w:type="continuationSeparator" w:id="0">
    <w:p w:rsidR="00946CA6" w:rsidRDefault="00946CA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B0"/>
    <w:rsid w:val="00014344"/>
    <w:rsid w:val="00022040"/>
    <w:rsid w:val="000271DC"/>
    <w:rsid w:val="00037FBC"/>
    <w:rsid w:val="00040DFF"/>
    <w:rsid w:val="0005714A"/>
    <w:rsid w:val="000736BB"/>
    <w:rsid w:val="00092711"/>
    <w:rsid w:val="00094A80"/>
    <w:rsid w:val="000A479C"/>
    <w:rsid w:val="000A5509"/>
    <w:rsid w:val="000B665A"/>
    <w:rsid w:val="000D763D"/>
    <w:rsid w:val="000E7489"/>
    <w:rsid w:val="000F1C8D"/>
    <w:rsid w:val="000F2782"/>
    <w:rsid w:val="00106C83"/>
    <w:rsid w:val="001079A8"/>
    <w:rsid w:val="00107E31"/>
    <w:rsid w:val="00131BC3"/>
    <w:rsid w:val="001547D0"/>
    <w:rsid w:val="00161153"/>
    <w:rsid w:val="001745A9"/>
    <w:rsid w:val="001D11A4"/>
    <w:rsid w:val="001D28CF"/>
    <w:rsid w:val="001F05B1"/>
    <w:rsid w:val="00206FCD"/>
    <w:rsid w:val="0021446D"/>
    <w:rsid w:val="0021489A"/>
    <w:rsid w:val="00220C60"/>
    <w:rsid w:val="00224D37"/>
    <w:rsid w:val="00224E48"/>
    <w:rsid w:val="0022593F"/>
    <w:rsid w:val="0023274B"/>
    <w:rsid w:val="00234BCE"/>
    <w:rsid w:val="00254CD4"/>
    <w:rsid w:val="00293FD8"/>
    <w:rsid w:val="0029510E"/>
    <w:rsid w:val="002A79C8"/>
    <w:rsid w:val="002B45C9"/>
    <w:rsid w:val="002C3D43"/>
    <w:rsid w:val="002E7F24"/>
    <w:rsid w:val="002F0C9E"/>
    <w:rsid w:val="00300F3E"/>
    <w:rsid w:val="00312B9C"/>
    <w:rsid w:val="003413CE"/>
    <w:rsid w:val="003478FB"/>
    <w:rsid w:val="003556BB"/>
    <w:rsid w:val="00361543"/>
    <w:rsid w:val="0038705A"/>
    <w:rsid w:val="003A3034"/>
    <w:rsid w:val="003B2B8F"/>
    <w:rsid w:val="003B5E96"/>
    <w:rsid w:val="003D69D8"/>
    <w:rsid w:val="003F57C8"/>
    <w:rsid w:val="0040720F"/>
    <w:rsid w:val="00407C07"/>
    <w:rsid w:val="004144E6"/>
    <w:rsid w:val="004156B2"/>
    <w:rsid w:val="00417A94"/>
    <w:rsid w:val="00437734"/>
    <w:rsid w:val="00463B3D"/>
    <w:rsid w:val="00492F9A"/>
    <w:rsid w:val="004B0BF4"/>
    <w:rsid w:val="004B25F8"/>
    <w:rsid w:val="004B4BDE"/>
    <w:rsid w:val="004B5199"/>
    <w:rsid w:val="004E14DC"/>
    <w:rsid w:val="004E2F3A"/>
    <w:rsid w:val="004E3AA9"/>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C20F1"/>
    <w:rsid w:val="005F06C7"/>
    <w:rsid w:val="005F2550"/>
    <w:rsid w:val="005F2FDD"/>
    <w:rsid w:val="006005B0"/>
    <w:rsid w:val="006017D3"/>
    <w:rsid w:val="00601EBD"/>
    <w:rsid w:val="00623334"/>
    <w:rsid w:val="00634462"/>
    <w:rsid w:val="00642352"/>
    <w:rsid w:val="00655415"/>
    <w:rsid w:val="00682C5E"/>
    <w:rsid w:val="006B03C1"/>
    <w:rsid w:val="006B6D68"/>
    <w:rsid w:val="006C550E"/>
    <w:rsid w:val="006D0942"/>
    <w:rsid w:val="006D6317"/>
    <w:rsid w:val="006E2BEE"/>
    <w:rsid w:val="006E323B"/>
    <w:rsid w:val="006E6621"/>
    <w:rsid w:val="006E713B"/>
    <w:rsid w:val="006F27A2"/>
    <w:rsid w:val="007048C1"/>
    <w:rsid w:val="0070592F"/>
    <w:rsid w:val="00743C01"/>
    <w:rsid w:val="007802B9"/>
    <w:rsid w:val="007835FC"/>
    <w:rsid w:val="00790C4A"/>
    <w:rsid w:val="007B090E"/>
    <w:rsid w:val="007C72E3"/>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96EE4"/>
    <w:rsid w:val="008A527D"/>
    <w:rsid w:val="008A72B7"/>
    <w:rsid w:val="008A7FB0"/>
    <w:rsid w:val="008B7A4E"/>
    <w:rsid w:val="008C3C6D"/>
    <w:rsid w:val="008D1AB6"/>
    <w:rsid w:val="008E7D21"/>
    <w:rsid w:val="008F3821"/>
    <w:rsid w:val="00911522"/>
    <w:rsid w:val="00913A78"/>
    <w:rsid w:val="00923908"/>
    <w:rsid w:val="0093289F"/>
    <w:rsid w:val="00946CA6"/>
    <w:rsid w:val="0094770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55F3"/>
    <w:rsid w:val="00AD7FC2"/>
    <w:rsid w:val="00AE46B0"/>
    <w:rsid w:val="00AF14C3"/>
    <w:rsid w:val="00B15545"/>
    <w:rsid w:val="00B157DF"/>
    <w:rsid w:val="00B2185C"/>
    <w:rsid w:val="00B40749"/>
    <w:rsid w:val="00B41A3A"/>
    <w:rsid w:val="00B47800"/>
    <w:rsid w:val="00B62B84"/>
    <w:rsid w:val="00B66A21"/>
    <w:rsid w:val="00B777F4"/>
    <w:rsid w:val="00B80B95"/>
    <w:rsid w:val="00B81259"/>
    <w:rsid w:val="00B85B80"/>
    <w:rsid w:val="00B86930"/>
    <w:rsid w:val="00B923DF"/>
    <w:rsid w:val="00B931E2"/>
    <w:rsid w:val="00B93DF4"/>
    <w:rsid w:val="00BA0AF7"/>
    <w:rsid w:val="00BB65DC"/>
    <w:rsid w:val="00BC7CAA"/>
    <w:rsid w:val="00BD258C"/>
    <w:rsid w:val="00BD77F3"/>
    <w:rsid w:val="00C04DFF"/>
    <w:rsid w:val="00C13753"/>
    <w:rsid w:val="00C24F00"/>
    <w:rsid w:val="00C3342B"/>
    <w:rsid w:val="00C33C15"/>
    <w:rsid w:val="00C360D4"/>
    <w:rsid w:val="00C70809"/>
    <w:rsid w:val="00C9575A"/>
    <w:rsid w:val="00CB5BC5"/>
    <w:rsid w:val="00CC1ED0"/>
    <w:rsid w:val="00CC3793"/>
    <w:rsid w:val="00D22480"/>
    <w:rsid w:val="00D26E02"/>
    <w:rsid w:val="00D46921"/>
    <w:rsid w:val="00D53A5C"/>
    <w:rsid w:val="00D7133B"/>
    <w:rsid w:val="00D72C82"/>
    <w:rsid w:val="00D838A4"/>
    <w:rsid w:val="00D86230"/>
    <w:rsid w:val="00DA38D9"/>
    <w:rsid w:val="00DB19D2"/>
    <w:rsid w:val="00DB42DF"/>
    <w:rsid w:val="00DB5B59"/>
    <w:rsid w:val="00DC21F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D5F67"/>
    <w:rsid w:val="00ED7D1C"/>
    <w:rsid w:val="00EF08AE"/>
    <w:rsid w:val="00EF25BC"/>
    <w:rsid w:val="00EF5790"/>
    <w:rsid w:val="00F03318"/>
    <w:rsid w:val="00F05679"/>
    <w:rsid w:val="00F17990"/>
    <w:rsid w:val="00F21F77"/>
    <w:rsid w:val="00F22A73"/>
    <w:rsid w:val="00F35B72"/>
    <w:rsid w:val="00F46C3D"/>
    <w:rsid w:val="00F50A15"/>
    <w:rsid w:val="00F601D5"/>
    <w:rsid w:val="00F717AC"/>
    <w:rsid w:val="00F75259"/>
    <w:rsid w:val="00F776FA"/>
    <w:rsid w:val="00F90A6F"/>
    <w:rsid w:val="00F90F97"/>
    <w:rsid w:val="00F978E4"/>
    <w:rsid w:val="00FB2264"/>
    <w:rsid w:val="00FB3705"/>
    <w:rsid w:val="00FD1930"/>
    <w:rsid w:val="00FF1872"/>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B460-E72A-4EE5-A1CE-BA4692FB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2018-01-19T16:55:00Z</dcterms:created>
  <dcterms:modified xsi:type="dcterms:W3CDTF">2018-01-19T16:55:00Z</dcterms:modified>
</cp:coreProperties>
</file>