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D0280B" w:rsidRPr="00D0280B" w:rsidRDefault="000C209F" w:rsidP="00D0280B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0280B" w:rsidRPr="00D0280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D0280B" w:rsidRPr="00D0280B">
              <w:rPr>
                <w:rFonts w:ascii="Arial" w:hAnsi="Arial" w:cs="Arial"/>
                <w:sz w:val="20"/>
                <w:szCs w:val="20"/>
              </w:rPr>
              <w:t>Quarter 1 (January 1 – March 31, 2017)</w:t>
            </w:r>
          </w:p>
          <w:p w:rsidR="00D0280B" w:rsidRPr="00787E42" w:rsidRDefault="00D0280B" w:rsidP="00D0280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D0280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787E42" w:rsidRPr="00787E42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Pr="00787E42">
              <w:rPr>
                <w:rFonts w:ascii="Arial" w:hAnsi="Arial" w:cs="Arial"/>
                <w:sz w:val="20"/>
                <w:szCs w:val="20"/>
              </w:rPr>
              <w:t>Quarter 2 (April 1 – June 30, 2017)</w:t>
            </w:r>
          </w:p>
          <w:p w:rsidR="00D0280B" w:rsidRPr="00364466" w:rsidRDefault="00787E42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84277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D0280B" w:rsidRPr="0036446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787E42">
              <w:rPr>
                <w:rFonts w:ascii="Arial" w:hAnsi="Arial" w:cs="Arial"/>
                <w:b/>
                <w:sz w:val="20"/>
                <w:szCs w:val="20"/>
              </w:rPr>
              <w:t>Quarter 3 (July 1 – September 30, 2017)</w:t>
            </w:r>
          </w:p>
          <w:p w:rsidR="000C209F" w:rsidRPr="00963888" w:rsidRDefault="00D0280B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96388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963888">
              <w:rPr>
                <w:rFonts w:ascii="Arial" w:hAnsi="Arial" w:cs="Arial"/>
                <w:sz w:val="20"/>
                <w:szCs w:val="20"/>
              </w:rPr>
              <w:t>Quarter 4 (October 1 – December 31, 2017)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17</w:t>
            </w:r>
            <w:r w:rsidR="00FE0176">
              <w:rPr>
                <w:rFonts w:ascii="Arial" w:hAnsi="Arial" w:cs="Arial"/>
                <w:sz w:val="20"/>
                <w:szCs w:val="20"/>
              </w:rPr>
              <w:t>-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9182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contract = </w:t>
            </w:r>
            <w:r w:rsidR="00063925">
              <w:rPr>
                <w:rFonts w:ascii="Arial" w:hAnsi="Arial" w:cs="Arial"/>
                <w:sz w:val="20"/>
                <w:szCs w:val="20"/>
              </w:rPr>
              <w:t>$96,169.74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3F3B24">
              <w:rPr>
                <w:rFonts w:ascii="Arial" w:hAnsi="Arial" w:cs="Arial"/>
                <w:sz w:val="20"/>
                <w:szCs w:val="20"/>
              </w:rPr>
              <w:t>183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3B24">
              <w:rPr>
                <w:rFonts w:ascii="Arial" w:hAnsi="Arial" w:cs="Arial"/>
                <w:sz w:val="20"/>
                <w:szCs w:val="20"/>
              </w:rPr>
              <w:t>518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F3B24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360664" w:rsidRDefault="00097B59" w:rsidP="00866E7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>
              <w:rPr>
                <w:rFonts w:ascii="Arial" w:hAnsi="Arial" w:cs="Arial"/>
                <w:sz w:val="20"/>
                <w:szCs w:val="20"/>
              </w:rPr>
              <w:t>315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A95F7D" w:rsidRPr="00360664" w:rsidRDefault="006F1879" w:rsidP="00957E8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95F7D">
              <w:rPr>
                <w:rFonts w:ascii="Arial" w:hAnsi="Arial" w:cs="Arial"/>
                <w:sz w:val="20"/>
                <w:szCs w:val="20"/>
              </w:rPr>
              <w:t>39,183.08</w:t>
            </w:r>
            <w:r w:rsidR="004C762F">
              <w:rPr>
                <w:rFonts w:ascii="Arial" w:hAnsi="Arial" w:cs="Arial"/>
                <w:sz w:val="20"/>
                <w:szCs w:val="20"/>
              </w:rPr>
              <w:t xml:space="preserve"> (from current contract)</w:t>
            </w:r>
            <w:bookmarkStart w:id="0" w:name="_GoBack"/>
            <w:bookmarkEnd w:id="0"/>
          </w:p>
        </w:tc>
        <w:tc>
          <w:tcPr>
            <w:tcW w:w="3420" w:type="dxa"/>
            <w:vAlign w:val="center"/>
          </w:tcPr>
          <w:p w:rsidR="000C209F" w:rsidRPr="00360664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2F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</w:t>
      </w:r>
      <w:r w:rsidR="00052A2B">
        <w:rPr>
          <w:rFonts w:ascii="Arial" w:hAnsi="Arial" w:cs="Arial"/>
          <w:sz w:val="20"/>
          <w:szCs w:val="20"/>
        </w:rPr>
        <w:t xml:space="preserve"> (for current contract)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57E8C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57E8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57E8C">
              <w:rPr>
                <w:rFonts w:ascii="Arial" w:hAnsi="Arial" w:cs="Arial"/>
                <w:sz w:val="20"/>
                <w:szCs w:val="20"/>
              </w:rPr>
              <w:t>39,183.08</w:t>
            </w:r>
          </w:p>
        </w:tc>
        <w:tc>
          <w:tcPr>
            <w:tcW w:w="3420" w:type="dxa"/>
          </w:tcPr>
          <w:p w:rsidR="000C209F" w:rsidRPr="00360664" w:rsidRDefault="00957E8C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787E42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</w:t>
            </w:r>
            <w:r w:rsidR="00E44DCF">
              <w:rPr>
                <w:rFonts w:ascii="Arial" w:hAnsi="Arial" w:cs="Arial"/>
                <w:sz w:val="20"/>
                <w:szCs w:val="20"/>
              </w:rPr>
              <w:t>g held July 17 to 20 in Vancouver.  Finalized recommendations for proposals on AASHTO standards, reviewed certification processes for testing technicians, and assessed condition of program for report to Executive Board.</w:t>
            </w:r>
          </w:p>
          <w:p w:rsidR="00E44DCF" w:rsidRDefault="00E44DCF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3F94" w:rsidRDefault="00E44DCF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</w:t>
            </w:r>
            <w:r w:rsidR="00A95F7D">
              <w:rPr>
                <w:rFonts w:ascii="Arial" w:hAnsi="Arial" w:cs="Arial"/>
                <w:sz w:val="20"/>
                <w:szCs w:val="20"/>
              </w:rPr>
              <w:t xml:space="preserve">(EB) </w:t>
            </w:r>
            <w:r>
              <w:rPr>
                <w:rFonts w:ascii="Arial" w:hAnsi="Arial" w:cs="Arial"/>
                <w:sz w:val="20"/>
                <w:szCs w:val="20"/>
              </w:rPr>
              <w:t xml:space="preserve">met in conjunction with AASHTO SOM Conference, August 6 through 10.  </w:t>
            </w:r>
            <w:r w:rsidR="00C73F94">
              <w:rPr>
                <w:rFonts w:ascii="Arial" w:hAnsi="Arial" w:cs="Arial"/>
                <w:sz w:val="20"/>
                <w:szCs w:val="20"/>
              </w:rPr>
              <w:t>Following Items discussed: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E44DCF">
              <w:rPr>
                <w:rFonts w:ascii="Arial" w:hAnsi="Arial" w:cs="Arial"/>
                <w:sz w:val="20"/>
                <w:szCs w:val="20"/>
              </w:rPr>
              <w:t xml:space="preserve">Submitted proposed revisions and new AASHTO standards </w:t>
            </w:r>
            <w:r>
              <w:rPr>
                <w:rFonts w:ascii="Arial" w:hAnsi="Arial" w:cs="Arial"/>
                <w:sz w:val="20"/>
                <w:szCs w:val="20"/>
              </w:rPr>
              <w:t>at the SOM conference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D</w:t>
            </w:r>
            <w:r w:rsidR="00E44DCF">
              <w:rPr>
                <w:rFonts w:ascii="Arial" w:hAnsi="Arial" w:cs="Arial"/>
                <w:sz w:val="20"/>
                <w:szCs w:val="20"/>
              </w:rPr>
              <w:t>iscuss</w:t>
            </w:r>
            <w:r>
              <w:rPr>
                <w:rFonts w:ascii="Arial" w:hAnsi="Arial" w:cs="Arial"/>
                <w:sz w:val="20"/>
                <w:szCs w:val="20"/>
              </w:rPr>
              <w:t>ed membership status,</w:t>
            </w:r>
            <w:r w:rsidR="00E44DCF">
              <w:rPr>
                <w:rFonts w:ascii="Arial" w:hAnsi="Arial" w:cs="Arial"/>
                <w:sz w:val="20"/>
                <w:szCs w:val="20"/>
              </w:rPr>
              <w:t xml:space="preserve">  Chair has reached out to New Mexico DOT to determine if t</w:t>
            </w:r>
            <w:r>
              <w:rPr>
                <w:rFonts w:ascii="Arial" w:hAnsi="Arial" w:cs="Arial"/>
                <w:sz w:val="20"/>
                <w:szCs w:val="20"/>
              </w:rPr>
              <w:t>hey desire continued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participation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="00E44DCF">
              <w:rPr>
                <w:rFonts w:ascii="Arial" w:hAnsi="Arial" w:cs="Arial"/>
                <w:sz w:val="20"/>
                <w:szCs w:val="20"/>
              </w:rPr>
              <w:t xml:space="preserve"> Administration Manual revisions proposed for  Learning Maintenance Systems and practical exam certification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E44DCF">
              <w:rPr>
                <w:rFonts w:ascii="Arial" w:hAnsi="Arial" w:cs="Arial"/>
                <w:sz w:val="20"/>
                <w:szCs w:val="20"/>
              </w:rPr>
              <w:t>presented</w:t>
            </w:r>
            <w:proofErr w:type="gramEnd"/>
            <w:r w:rsidR="00E44DCF">
              <w:rPr>
                <w:rFonts w:ascii="Arial" w:hAnsi="Arial" w:cs="Arial"/>
                <w:sz w:val="20"/>
                <w:szCs w:val="20"/>
              </w:rPr>
              <w:t xml:space="preserve"> and discussed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D</w:t>
            </w:r>
            <w:r w:rsidR="00E44DCF">
              <w:rPr>
                <w:rFonts w:ascii="Arial" w:hAnsi="Arial" w:cs="Arial"/>
                <w:sz w:val="20"/>
                <w:szCs w:val="20"/>
              </w:rPr>
              <w:t>iscussion of creating Self Consolidating Concret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95F7D">
              <w:rPr>
                <w:rFonts w:ascii="Arial" w:hAnsi="Arial" w:cs="Arial"/>
                <w:sz w:val="20"/>
                <w:szCs w:val="20"/>
              </w:rPr>
              <w:t xml:space="preserve"> (SCC)</w:t>
            </w:r>
            <w:r>
              <w:rPr>
                <w:rFonts w:ascii="Arial" w:hAnsi="Arial" w:cs="Arial"/>
                <w:sz w:val="20"/>
                <w:szCs w:val="20"/>
              </w:rPr>
              <w:t xml:space="preserve"> certification module.</w:t>
            </w:r>
          </w:p>
          <w:p w:rsidR="00E44DCF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D</w:t>
            </w:r>
            <w:r w:rsidR="00E44DCF">
              <w:rPr>
                <w:rFonts w:ascii="Arial" w:hAnsi="Arial" w:cs="Arial"/>
                <w:sz w:val="20"/>
                <w:szCs w:val="20"/>
              </w:rPr>
              <w:t>iscussion of copyright maintenance of WAQTC materials and processes.</w:t>
            </w:r>
          </w:p>
          <w:p w:rsidR="00C73F94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B61F1" w:rsidRDefault="00C73F94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Switch</w:t>
            </w:r>
            <w:r w:rsidR="00EB61F1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funding f</w:t>
            </w:r>
            <w:r w:rsidR="00EB61F1">
              <w:rPr>
                <w:rFonts w:ascii="Arial" w:hAnsi="Arial" w:cs="Arial"/>
                <w:sz w:val="20"/>
                <w:szCs w:val="20"/>
              </w:rPr>
              <w:t xml:space="preserve">rom new pooled fund, TPF-5(349), continued </w:t>
            </w:r>
            <w:r w:rsidR="00A95F7D">
              <w:rPr>
                <w:rFonts w:ascii="Arial" w:hAnsi="Arial" w:cs="Arial"/>
                <w:sz w:val="20"/>
                <w:szCs w:val="20"/>
              </w:rPr>
              <w:t xml:space="preserve">efforts to close out the </w:t>
            </w:r>
            <w:proofErr w:type="gramStart"/>
            <w:r w:rsidR="00A95F7D">
              <w:rPr>
                <w:rFonts w:ascii="Arial" w:hAnsi="Arial" w:cs="Arial"/>
                <w:sz w:val="20"/>
                <w:szCs w:val="20"/>
              </w:rPr>
              <w:t xml:space="preserve">old </w:t>
            </w:r>
            <w:r w:rsidR="00EB61F1">
              <w:rPr>
                <w:rFonts w:ascii="Arial" w:hAnsi="Arial" w:cs="Arial"/>
                <w:sz w:val="20"/>
                <w:szCs w:val="20"/>
              </w:rPr>
              <w:t xml:space="preserve"> TPF</w:t>
            </w:r>
            <w:proofErr w:type="gramEnd"/>
            <w:r w:rsidR="00EB61F1">
              <w:rPr>
                <w:rFonts w:ascii="Arial" w:hAnsi="Arial" w:cs="Arial"/>
                <w:sz w:val="20"/>
                <w:szCs w:val="20"/>
              </w:rPr>
              <w:t>-5(064).</w:t>
            </w:r>
          </w:p>
          <w:p w:rsidR="00EB61F1" w:rsidRDefault="00EB61F1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A95F7D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up Executive Board Teleconference to finalize revisions to Administration Manual, creation of SCC module, and other new business.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A95F7D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Switched over to new TPF</w:t>
            </w:r>
            <w:r w:rsidR="009423DC">
              <w:rPr>
                <w:rFonts w:ascii="Arial" w:hAnsi="Arial" w:cs="Arial"/>
                <w:sz w:val="20"/>
                <w:szCs w:val="20"/>
              </w:rPr>
              <w:t xml:space="preserve"> study number</w:t>
            </w:r>
            <w:r w:rsidR="00344E4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F7D" w:rsidRDefault="00A95F7D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Successfully submitted 11 revisions to AASHTO standards at SOM conference, joint effort of QAC and EB.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D1" w:rsidRDefault="00180AD1" w:rsidP="00106C83">
      <w:pPr>
        <w:spacing w:after="0" w:line="240" w:lineRule="auto"/>
      </w:pPr>
      <w:r>
        <w:separator/>
      </w:r>
    </w:p>
  </w:endnote>
  <w:endnote w:type="continuationSeparator" w:id="0">
    <w:p w:rsidR="00180AD1" w:rsidRDefault="00180AD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9F" w:rsidRDefault="00D2069F" w:rsidP="00E371D1">
    <w:pPr>
      <w:pStyle w:val="Footer"/>
      <w:ind w:left="-810"/>
    </w:pPr>
    <w:r>
      <w:t>TPF Program Standard Quarterly Reporting Format – 7/2011</w:t>
    </w:r>
  </w:p>
  <w:p w:rsidR="00D2069F" w:rsidRDefault="00D20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D1" w:rsidRDefault="00180AD1" w:rsidP="00106C83">
      <w:pPr>
        <w:spacing w:after="0" w:line="240" w:lineRule="auto"/>
      </w:pPr>
      <w:r>
        <w:separator/>
      </w:r>
    </w:p>
  </w:footnote>
  <w:footnote w:type="continuationSeparator" w:id="0">
    <w:p w:rsidR="00180AD1" w:rsidRDefault="00180AD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8DF"/>
    <w:rsid w:val="001429F4"/>
    <w:rsid w:val="001536F4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D717C"/>
    <w:rsid w:val="003E0A8C"/>
    <w:rsid w:val="003E43F0"/>
    <w:rsid w:val="003E4DE4"/>
    <w:rsid w:val="003E5DCB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26C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388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6E75"/>
    <w:rsid w:val="00866EA1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37D9"/>
    <w:rsid w:val="00A95F7D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280B"/>
    <w:rsid w:val="00D031F3"/>
    <w:rsid w:val="00D05294"/>
    <w:rsid w:val="00D056BA"/>
    <w:rsid w:val="00D06294"/>
    <w:rsid w:val="00D07D43"/>
    <w:rsid w:val="00D10420"/>
    <w:rsid w:val="00D147B3"/>
    <w:rsid w:val="00D15B0D"/>
    <w:rsid w:val="00D15C36"/>
    <w:rsid w:val="00D2069F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1F1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0176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485C-290B-44E3-A040-DF2B664D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740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127</cp:revision>
  <cp:lastPrinted>2011-06-21T20:32:00Z</cp:lastPrinted>
  <dcterms:created xsi:type="dcterms:W3CDTF">2017-10-24T16:55:00Z</dcterms:created>
  <dcterms:modified xsi:type="dcterms:W3CDTF">2017-11-10T00:44:00Z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