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28AC"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1628AC" w:rsidRPr="001628AC">
              <w:rPr>
                <w:rFonts w:ascii="Arial" w:hAnsi="Arial" w:cs="Arial"/>
                <w:sz w:val="36"/>
                <w:szCs w:val="36"/>
                <w:u w:val="single"/>
              </w:rPr>
              <w:t>_</w:t>
            </w:r>
            <w:r w:rsidRPr="001628AC">
              <w:rPr>
                <w:rFonts w:ascii="Arial" w:hAnsi="Arial" w:cs="Arial"/>
                <w:sz w:val="36"/>
                <w:szCs w:val="36"/>
              </w:rPr>
              <w:t xml:space="preserve"> </w:t>
            </w:r>
            <w:r w:rsidRPr="001628AC">
              <w:rPr>
                <w:rFonts w:ascii="Arial" w:hAnsi="Arial" w:cs="Arial"/>
                <w:sz w:val="20"/>
                <w:szCs w:val="20"/>
              </w:rPr>
              <w:t>Quarter 1 (January 1 – March 31</w:t>
            </w:r>
            <w:r w:rsidR="005C75FE" w:rsidRPr="001628AC">
              <w:rPr>
                <w:rFonts w:ascii="Arial" w:hAnsi="Arial" w:cs="Arial"/>
                <w:sz w:val="20"/>
                <w:szCs w:val="20"/>
              </w:rPr>
              <w:t xml:space="preserve">, </w:t>
            </w:r>
            <w:r w:rsidR="003E4DE4" w:rsidRPr="001628AC">
              <w:rPr>
                <w:rFonts w:ascii="Arial" w:hAnsi="Arial" w:cs="Arial"/>
                <w:sz w:val="20"/>
                <w:szCs w:val="20"/>
              </w:rPr>
              <w:t>201</w:t>
            </w:r>
            <w:r w:rsidR="00E560E8" w:rsidRPr="001628AC">
              <w:rPr>
                <w:rFonts w:ascii="Arial" w:hAnsi="Arial" w:cs="Arial"/>
                <w:sz w:val="20"/>
                <w:szCs w:val="20"/>
              </w:rPr>
              <w:t>7</w:t>
            </w:r>
            <w:r w:rsidRPr="001628AC">
              <w:rPr>
                <w:rFonts w:ascii="Arial" w:hAnsi="Arial" w:cs="Arial"/>
                <w:sz w:val="20"/>
                <w:szCs w:val="20"/>
              </w:rPr>
              <w:t>)</w:t>
            </w:r>
          </w:p>
          <w:p w:rsidR="000C209F" w:rsidRPr="00B57320" w:rsidRDefault="000C209F" w:rsidP="00360664">
            <w:pPr>
              <w:spacing w:after="0" w:line="240" w:lineRule="auto"/>
              <w:ind w:left="-108" w:right="-108"/>
              <w:rPr>
                <w:rFonts w:ascii="Arial" w:hAnsi="Arial" w:cs="Arial"/>
                <w:sz w:val="20"/>
                <w:szCs w:val="20"/>
              </w:rPr>
            </w:pPr>
            <w:r w:rsidRPr="001628AC">
              <w:rPr>
                <w:rFonts w:ascii="Arial" w:hAnsi="Arial" w:cs="Arial"/>
                <w:b/>
                <w:sz w:val="36"/>
                <w:szCs w:val="36"/>
              </w:rPr>
              <w:t xml:space="preserve"> </w:t>
            </w:r>
            <w:r w:rsidR="00B57320" w:rsidRPr="00B57320">
              <w:rPr>
                <w:rFonts w:ascii="Arial" w:hAnsi="Arial" w:cs="Arial"/>
                <w:sz w:val="36"/>
                <w:szCs w:val="36"/>
                <w:u w:val="single"/>
              </w:rPr>
              <w:t>_</w:t>
            </w:r>
            <w:r w:rsidR="00C47C4A" w:rsidRPr="00B57320">
              <w:rPr>
                <w:rFonts w:ascii="Arial" w:hAnsi="Arial" w:cs="Arial"/>
                <w:sz w:val="36"/>
                <w:szCs w:val="36"/>
              </w:rPr>
              <w:t xml:space="preserve"> </w:t>
            </w:r>
            <w:r w:rsidRPr="00B57320">
              <w:rPr>
                <w:rFonts w:ascii="Arial" w:hAnsi="Arial" w:cs="Arial"/>
                <w:sz w:val="20"/>
                <w:szCs w:val="20"/>
              </w:rPr>
              <w:t>Quarter 2 (April 1 – June 30</w:t>
            </w:r>
            <w:r w:rsidR="002C4321" w:rsidRPr="00B57320">
              <w:rPr>
                <w:rFonts w:ascii="Arial" w:hAnsi="Arial" w:cs="Arial"/>
                <w:sz w:val="20"/>
                <w:szCs w:val="20"/>
              </w:rPr>
              <w:t>, 201</w:t>
            </w:r>
            <w:r w:rsidR="00E560E8" w:rsidRPr="00B57320">
              <w:rPr>
                <w:rFonts w:ascii="Arial" w:hAnsi="Arial" w:cs="Arial"/>
                <w:sz w:val="20"/>
                <w:szCs w:val="20"/>
              </w:rPr>
              <w:t>7</w:t>
            </w:r>
            <w:r w:rsidRPr="00B57320">
              <w:rPr>
                <w:rFonts w:ascii="Arial" w:hAnsi="Arial" w:cs="Arial"/>
                <w:sz w:val="20"/>
                <w:szCs w:val="20"/>
              </w:rPr>
              <w:t>)</w:t>
            </w:r>
          </w:p>
          <w:p w:rsidR="000C209F" w:rsidRPr="00B57320" w:rsidRDefault="00B57320" w:rsidP="00360664">
            <w:pPr>
              <w:spacing w:after="0" w:line="240" w:lineRule="auto"/>
              <w:ind w:right="-720"/>
              <w:rPr>
                <w:rFonts w:ascii="Arial" w:hAnsi="Arial" w:cs="Arial"/>
                <w:b/>
                <w:sz w:val="20"/>
                <w:szCs w:val="20"/>
              </w:rPr>
            </w:pPr>
            <w:r w:rsidRPr="00B57320">
              <w:rPr>
                <w:rFonts w:ascii="Arial" w:hAnsi="Arial" w:cs="Arial"/>
                <w:b/>
                <w:sz w:val="36"/>
                <w:szCs w:val="36"/>
                <w:u w:val="single"/>
              </w:rPr>
              <w:t>x</w:t>
            </w:r>
            <w:r w:rsidR="001D763A" w:rsidRPr="00B57320">
              <w:rPr>
                <w:rFonts w:ascii="Arial" w:hAnsi="Arial" w:cs="Arial"/>
                <w:b/>
                <w:sz w:val="36"/>
                <w:szCs w:val="36"/>
              </w:rPr>
              <w:t xml:space="preserve"> </w:t>
            </w:r>
            <w:r w:rsidR="000C209F" w:rsidRPr="00B57320">
              <w:rPr>
                <w:rFonts w:ascii="Arial" w:hAnsi="Arial" w:cs="Arial"/>
                <w:b/>
                <w:sz w:val="20"/>
                <w:szCs w:val="20"/>
              </w:rPr>
              <w:t>Quarter 3 (July 1 – September 30</w:t>
            </w:r>
            <w:r w:rsidR="002C4321" w:rsidRPr="00B57320">
              <w:rPr>
                <w:rFonts w:ascii="Arial" w:hAnsi="Arial" w:cs="Arial"/>
                <w:b/>
                <w:sz w:val="20"/>
                <w:szCs w:val="20"/>
              </w:rPr>
              <w:t>, 201</w:t>
            </w:r>
            <w:r w:rsidR="00E560E8" w:rsidRPr="00B57320">
              <w:rPr>
                <w:rFonts w:ascii="Arial" w:hAnsi="Arial" w:cs="Arial"/>
                <w:b/>
                <w:sz w:val="20"/>
                <w:szCs w:val="20"/>
              </w:rPr>
              <w:t>7</w:t>
            </w:r>
            <w:r w:rsidR="000C209F" w:rsidRPr="00B57320">
              <w:rPr>
                <w:rFonts w:ascii="Arial" w:hAnsi="Arial" w:cs="Arial"/>
                <w:b/>
                <w:sz w:val="20"/>
                <w:szCs w:val="20"/>
              </w:rPr>
              <w:t>)</w:t>
            </w:r>
          </w:p>
          <w:p w:rsidR="000C209F" w:rsidRPr="00E560E8" w:rsidRDefault="00E560E8" w:rsidP="00E560E8">
            <w:pPr>
              <w:spacing w:after="0" w:line="240" w:lineRule="auto"/>
              <w:ind w:right="-720"/>
              <w:rPr>
                <w:rFonts w:ascii="Arial" w:hAnsi="Arial" w:cs="Arial"/>
                <w:sz w:val="20"/>
                <w:szCs w:val="20"/>
              </w:rPr>
            </w:pPr>
            <w:r w:rsidRPr="002E4E84">
              <w:rPr>
                <w:rFonts w:ascii="Arial" w:hAnsi="Arial" w:cs="Arial"/>
                <w:sz w:val="36"/>
                <w:szCs w:val="36"/>
                <w:u w:val="single"/>
              </w:rPr>
              <w:t>_</w:t>
            </w:r>
            <w:r w:rsidR="00532264" w:rsidRPr="00E560E8">
              <w:rPr>
                <w:rFonts w:ascii="Arial" w:hAnsi="Arial" w:cs="Arial"/>
                <w:sz w:val="36"/>
                <w:szCs w:val="36"/>
              </w:rPr>
              <w:t xml:space="preserve"> </w:t>
            </w:r>
            <w:r w:rsidR="000C209F" w:rsidRPr="00E560E8">
              <w:rPr>
                <w:rFonts w:ascii="Arial" w:hAnsi="Arial" w:cs="Arial"/>
                <w:sz w:val="20"/>
                <w:szCs w:val="20"/>
              </w:rPr>
              <w:t xml:space="preserve">Quarter </w:t>
            </w:r>
            <w:r w:rsidR="005C75FE" w:rsidRPr="00E560E8">
              <w:rPr>
                <w:rFonts w:ascii="Arial" w:hAnsi="Arial" w:cs="Arial"/>
                <w:sz w:val="20"/>
                <w:szCs w:val="20"/>
              </w:rPr>
              <w:t>4 (October 1 – December 31</w:t>
            </w:r>
            <w:r w:rsidR="002C4321" w:rsidRPr="00E560E8">
              <w:rPr>
                <w:rFonts w:ascii="Arial" w:hAnsi="Arial" w:cs="Arial"/>
                <w:sz w:val="20"/>
                <w:szCs w:val="20"/>
              </w:rPr>
              <w:t>, 201</w:t>
            </w:r>
            <w:r w:rsidRPr="00E560E8">
              <w:rPr>
                <w:rFonts w:ascii="Arial" w:hAnsi="Arial" w:cs="Arial"/>
                <w:sz w:val="20"/>
                <w:szCs w:val="20"/>
              </w:rPr>
              <w:t>7</w:t>
            </w:r>
            <w:r w:rsidR="000C209F" w:rsidRPr="00E560E8">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86185">
              <w:rPr>
                <w:rFonts w:ascii="Arial" w:hAnsi="Arial" w:cs="Arial"/>
                <w:sz w:val="20"/>
                <w:szCs w:val="20"/>
              </w:rPr>
              <w:t>December</w:t>
            </w:r>
            <w:r w:rsidR="00AF7FAB">
              <w:rPr>
                <w:rFonts w:ascii="Arial" w:hAnsi="Arial" w:cs="Arial"/>
                <w:sz w:val="20"/>
                <w:szCs w:val="20"/>
              </w:rPr>
              <w:t xml:space="preserve"> 31, 2017</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307F9">
              <w:rPr>
                <w:rFonts w:ascii="Arial" w:hAnsi="Arial" w:cs="Arial"/>
                <w:sz w:val="20"/>
                <w:szCs w:val="20"/>
              </w:rPr>
              <w:t>3</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6C680E">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142,000</w:t>
            </w:r>
            <w:r w:rsidR="00297511">
              <w:rPr>
                <w:rFonts w:ascii="Arial" w:hAnsi="Arial" w:cs="Arial"/>
                <w:sz w:val="20"/>
                <w:szCs w:val="20"/>
              </w:rPr>
              <w:t>.00</w:t>
            </w:r>
          </w:p>
        </w:tc>
        <w:tc>
          <w:tcPr>
            <w:tcW w:w="3420" w:type="dxa"/>
            <w:vAlign w:val="center"/>
          </w:tcPr>
          <w:p w:rsidR="000C209F" w:rsidRPr="00360664" w:rsidRDefault="000656E0" w:rsidP="001307F9">
            <w:pPr>
              <w:spacing w:after="0" w:line="240" w:lineRule="auto"/>
              <w:ind w:left="-108" w:right="-108"/>
              <w:jc w:val="center"/>
              <w:rPr>
                <w:rFonts w:ascii="Arial" w:hAnsi="Arial" w:cs="Arial"/>
                <w:sz w:val="20"/>
                <w:szCs w:val="20"/>
              </w:rPr>
            </w:pPr>
            <w:r>
              <w:rPr>
                <w:rFonts w:ascii="Arial" w:hAnsi="Arial" w:cs="Arial"/>
                <w:sz w:val="20"/>
                <w:szCs w:val="20"/>
              </w:rPr>
              <w:t>95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71FB5"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71FB5">
            <w:pPr>
              <w:spacing w:after="0" w:line="240" w:lineRule="auto"/>
              <w:ind w:right="-108"/>
              <w:jc w:val="center"/>
              <w:rPr>
                <w:rFonts w:ascii="Arial" w:hAnsi="Arial" w:cs="Arial"/>
                <w:sz w:val="20"/>
                <w:szCs w:val="20"/>
              </w:rPr>
            </w:pPr>
            <w:r>
              <w:rPr>
                <w:rFonts w:ascii="Arial" w:hAnsi="Arial" w:cs="Arial"/>
                <w:sz w:val="20"/>
                <w:szCs w:val="20"/>
              </w:rPr>
              <w:t>$</w:t>
            </w:r>
            <w:r w:rsidR="00571FB5">
              <w:rPr>
                <w:rFonts w:ascii="Arial" w:hAnsi="Arial" w:cs="Arial"/>
                <w:sz w:val="20"/>
                <w:szCs w:val="20"/>
              </w:rPr>
              <w:t>0</w:t>
            </w:r>
          </w:p>
        </w:tc>
        <w:tc>
          <w:tcPr>
            <w:tcW w:w="3420" w:type="dxa"/>
          </w:tcPr>
          <w:p w:rsidR="000C209F" w:rsidRPr="00360664" w:rsidRDefault="006F0CB0" w:rsidP="006C680E">
            <w:pPr>
              <w:spacing w:after="0" w:line="240" w:lineRule="auto"/>
              <w:ind w:left="-108" w:right="-108"/>
              <w:jc w:val="center"/>
              <w:rPr>
                <w:rFonts w:ascii="Arial" w:hAnsi="Arial" w:cs="Arial"/>
                <w:sz w:val="20"/>
                <w:szCs w:val="20"/>
              </w:rPr>
            </w:pPr>
            <w:r>
              <w:rPr>
                <w:rFonts w:ascii="Arial" w:hAnsi="Arial" w:cs="Arial"/>
                <w:sz w:val="20"/>
                <w:szCs w:val="20"/>
              </w:rPr>
              <w:t>94</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bookmarkStart w:id="0" w:name="_GoBack"/>
            <w:bookmarkEnd w:id="0"/>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7E4734">
              <w:rPr>
                <w:rFonts w:ascii="Arial" w:hAnsi="Arial" w:cs="Arial"/>
                <w:sz w:val="20"/>
                <w:szCs w:val="20"/>
              </w:rPr>
              <w:t>7</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7E4734">
              <w:rPr>
                <w:rFonts w:ascii="Arial" w:hAnsi="Arial" w:cs="Arial"/>
                <w:sz w:val="20"/>
                <w:szCs w:val="20"/>
              </w:rPr>
              <w:t>continue</w:t>
            </w:r>
            <w:r w:rsidR="00E86D24">
              <w:rPr>
                <w:rFonts w:ascii="Arial" w:hAnsi="Arial" w:cs="Arial"/>
                <w:sz w:val="20"/>
                <w:szCs w:val="20"/>
              </w:rPr>
              <w:t>d</w:t>
            </w:r>
            <w:r w:rsidR="007E4734">
              <w:rPr>
                <w:rFonts w:ascii="Arial" w:hAnsi="Arial" w:cs="Arial"/>
                <w:sz w:val="20"/>
                <w:szCs w:val="20"/>
              </w:rPr>
              <w:t xml:space="preserve"> for Alaska reference parameter mapping</w:t>
            </w:r>
            <w:r w:rsidR="00E86D24">
              <w:rPr>
                <w:rFonts w:ascii="Arial" w:hAnsi="Arial" w:cs="Arial"/>
                <w:sz w:val="20"/>
                <w:szCs w:val="20"/>
              </w:rPr>
              <w:t>.</w:t>
            </w:r>
            <w:r w:rsidR="007F7FC2">
              <w:rPr>
                <w:rFonts w:ascii="Arial" w:hAnsi="Arial" w:cs="Arial"/>
                <w:sz w:val="20"/>
                <w:szCs w:val="20"/>
              </w:rPr>
              <w:t xml:space="preserve">  The </w:t>
            </w:r>
            <w:r w:rsidR="007F7FC2" w:rsidRPr="005C3167">
              <w:rPr>
                <w:rFonts w:ascii="Arial" w:hAnsi="Arial" w:cs="Arial"/>
                <w:sz w:val="20"/>
                <w:szCs w:val="20"/>
              </w:rPr>
              <w:t>online reference parameter database</w:t>
            </w:r>
            <w:r w:rsidR="007F7FC2">
              <w:rPr>
                <w:rFonts w:ascii="Arial" w:hAnsi="Arial" w:cs="Arial"/>
                <w:sz w:val="20"/>
                <w:szCs w:val="20"/>
              </w:rPr>
              <w:t xml:space="preserve"> was completed.</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roofErr w:type="spellStart"/>
            <w:r w:rsidR="00DB68A6">
              <w:rPr>
                <w:rFonts w:ascii="Arial" w:hAnsi="Arial" w:cs="Arial"/>
                <w:sz w:val="20"/>
                <w:szCs w:val="20"/>
              </w:rPr>
              <w:t>SPLiq</w:t>
            </w:r>
            <w:proofErr w:type="spellEnd"/>
            <w:r w:rsidR="00DB68A6">
              <w:rPr>
                <w:rFonts w:ascii="Arial" w:hAnsi="Arial" w:cs="Arial"/>
                <w:sz w:val="20"/>
                <w:szCs w:val="20"/>
              </w:rPr>
              <w:t xml:space="preserve"> Version 1.2 was released to the TAC.</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603576">
              <w:rPr>
                <w:rFonts w:ascii="Arial" w:hAnsi="Arial" w:cs="Arial"/>
                <w:sz w:val="20"/>
                <w:szCs w:val="20"/>
              </w:rPr>
              <w:t>7</w:t>
            </w:r>
            <w:r w:rsidR="00AD2868" w:rsidRPr="00AB3889">
              <w:rPr>
                <w:rFonts w:ascii="Arial" w:hAnsi="Arial" w:cs="Arial"/>
                <w:sz w:val="20"/>
                <w:szCs w:val="20"/>
              </w:rPr>
              <w:t>% complete.</w:t>
            </w:r>
            <w:r w:rsidR="007B3BF1">
              <w:rPr>
                <w:rFonts w:ascii="Arial" w:hAnsi="Arial" w:cs="Arial"/>
                <w:sz w:val="20"/>
                <w:szCs w:val="20"/>
              </w:rPr>
              <w:t xml:space="preserve">  </w:t>
            </w:r>
            <w:r w:rsidR="00696DD2">
              <w:rPr>
                <w:rFonts w:ascii="Arial" w:hAnsi="Arial" w:cs="Arial"/>
                <w:sz w:val="20"/>
                <w:szCs w:val="20"/>
              </w:rPr>
              <w:t>T</w:t>
            </w:r>
            <w:r w:rsidR="00F02077">
              <w:rPr>
                <w:rFonts w:ascii="Arial" w:hAnsi="Arial" w:cs="Arial"/>
                <w:sz w:val="20"/>
                <w:szCs w:val="20"/>
              </w:rPr>
              <w:t xml:space="preserve">he </w:t>
            </w:r>
            <w:r w:rsidR="007B3BF1">
              <w:rPr>
                <w:rFonts w:ascii="Arial" w:hAnsi="Arial" w:cs="Arial"/>
                <w:sz w:val="20"/>
                <w:szCs w:val="20"/>
              </w:rPr>
              <w:t xml:space="preserve">TAC </w:t>
            </w:r>
            <w:r w:rsidR="00F02077">
              <w:rPr>
                <w:rFonts w:ascii="Arial" w:hAnsi="Arial" w:cs="Arial"/>
                <w:sz w:val="20"/>
                <w:szCs w:val="20"/>
              </w:rPr>
              <w:t>provided review comments</w:t>
            </w:r>
            <w:r w:rsidR="00696DD2">
              <w:rPr>
                <w:rFonts w:ascii="Arial" w:hAnsi="Arial" w:cs="Arial"/>
                <w:sz w:val="20"/>
                <w:szCs w:val="20"/>
              </w:rPr>
              <w:t xml:space="preserve"> on the draft final update report and the draft </w:t>
            </w:r>
            <w:proofErr w:type="spellStart"/>
            <w:r w:rsidR="00696DD2">
              <w:rPr>
                <w:rFonts w:ascii="Arial" w:hAnsi="Arial" w:cs="Arial"/>
                <w:sz w:val="20"/>
                <w:szCs w:val="20"/>
              </w:rPr>
              <w:t>SPLiq</w:t>
            </w:r>
            <w:proofErr w:type="spellEnd"/>
            <w:r w:rsidR="00696DD2">
              <w:rPr>
                <w:rFonts w:ascii="Arial" w:hAnsi="Arial" w:cs="Arial"/>
                <w:sz w:val="20"/>
                <w:szCs w:val="20"/>
              </w:rPr>
              <w:t xml:space="preserve"> user’s manual</w:t>
            </w:r>
            <w:r w:rsidR="00F02077">
              <w:rPr>
                <w:rFonts w:ascii="Arial" w:hAnsi="Arial" w:cs="Arial"/>
                <w:sz w:val="20"/>
                <w:szCs w:val="20"/>
              </w:rPr>
              <w:t>.</w:t>
            </w:r>
            <w:r w:rsidR="007B3BF1">
              <w:rPr>
                <w:rFonts w:ascii="Arial" w:hAnsi="Arial" w:cs="Arial"/>
                <w:sz w:val="20"/>
                <w:szCs w:val="20"/>
              </w:rPr>
              <w:t xml:space="preserve"> </w:t>
            </w:r>
            <w:r w:rsidR="00F02077">
              <w:rPr>
                <w:rFonts w:ascii="Arial" w:hAnsi="Arial" w:cs="Arial"/>
                <w:sz w:val="20"/>
                <w:szCs w:val="20"/>
              </w:rPr>
              <w:t xml:space="preserve"> Some work remains for Alaska and Oregon.</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r w:rsidR="005E068D">
              <w:rPr>
                <w:rFonts w:ascii="Arial" w:hAnsi="Arial" w:cs="Arial"/>
                <w:sz w:val="20"/>
                <w:szCs w:val="20"/>
              </w:rPr>
              <w:t xml:space="preserve">  </w:t>
            </w:r>
            <w:r w:rsidR="004D5887">
              <w:rPr>
                <w:rFonts w:ascii="Arial" w:hAnsi="Arial" w:cs="Arial"/>
                <w:sz w:val="20"/>
                <w:szCs w:val="20"/>
              </w:rPr>
              <w:t xml:space="preserve">Trainings in Oregon and Alaska </w:t>
            </w:r>
            <w:r w:rsidR="003A43BB">
              <w:rPr>
                <w:rFonts w:ascii="Arial" w:hAnsi="Arial" w:cs="Arial"/>
                <w:sz w:val="20"/>
                <w:szCs w:val="20"/>
              </w:rPr>
              <w:t>were completed this quarter</w:t>
            </w:r>
            <w:r w:rsidR="004D5887">
              <w:rPr>
                <w:rFonts w:ascii="Arial" w:hAnsi="Arial" w:cs="Arial"/>
                <w:sz w:val="20"/>
                <w:szCs w:val="20"/>
              </w:rPr>
              <w:t>.</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 </w:t>
            </w:r>
            <w:r w:rsidR="00E75090">
              <w:rPr>
                <w:rFonts w:ascii="Arial" w:hAnsi="Arial" w:cs="Arial"/>
                <w:sz w:val="20"/>
                <w:szCs w:val="20"/>
              </w:rPr>
              <w:t>No changes.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603576">
              <w:rPr>
                <w:rFonts w:ascii="Arial" w:hAnsi="Arial" w:cs="Arial"/>
                <w:sz w:val="20"/>
                <w:szCs w:val="20"/>
              </w:rPr>
              <w:t xml:space="preserve">Mapping will continue for Alaska using the </w:t>
            </w:r>
            <w:r w:rsidR="007E4734">
              <w:rPr>
                <w:rFonts w:ascii="Arial" w:hAnsi="Arial" w:cs="Arial"/>
                <w:sz w:val="20"/>
                <w:szCs w:val="20"/>
              </w:rPr>
              <w:t xml:space="preserve">newly available USGS 2008 </w:t>
            </w:r>
            <w:r w:rsidR="00603576">
              <w:rPr>
                <w:rFonts w:ascii="Arial" w:hAnsi="Arial" w:cs="Arial"/>
                <w:sz w:val="20"/>
                <w:szCs w:val="20"/>
              </w:rPr>
              <w:t>seismic source model</w:t>
            </w:r>
            <w:r w:rsidR="007E4734">
              <w:rPr>
                <w:rFonts w:ascii="Arial" w:hAnsi="Arial" w:cs="Arial"/>
                <w:sz w:val="20"/>
                <w:szCs w:val="20"/>
              </w:rPr>
              <w:t xml:space="preserve"> for the state</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2539C5">
              <w:rPr>
                <w:rFonts w:ascii="Arial" w:hAnsi="Arial" w:cs="Arial"/>
                <w:sz w:val="20"/>
                <w:szCs w:val="20"/>
              </w:rPr>
              <w:t>Plan to hold a full TAC web conference to discuss the new maps.</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0656E0" w:rsidP="002E5F5C">
            <w:pPr>
              <w:spacing w:after="0" w:line="240" w:lineRule="auto"/>
              <w:rPr>
                <w:rFonts w:ascii="Arial" w:hAnsi="Arial" w:cs="Arial"/>
                <w:sz w:val="20"/>
                <w:szCs w:val="20"/>
              </w:rPr>
            </w:pPr>
            <w:r>
              <w:rPr>
                <w:rFonts w:ascii="Arial" w:hAnsi="Arial" w:cs="Arial"/>
                <w:sz w:val="20"/>
                <w:szCs w:val="20"/>
              </w:rPr>
              <w:t xml:space="preserve">The reference parameter maps using the USGS 2014 seismic source model have been completed for Oregon, Utah, Idaho, Montana, South Carolina, and Connecticut. The reference parameter maps using the USGS 2008 seismic source model have been completed for Alaska. </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0C209F" w:rsidRDefault="00206C7E" w:rsidP="00560D48">
            <w:pPr>
              <w:spacing w:after="0" w:line="240" w:lineRule="auto"/>
              <w:rPr>
                <w:rFonts w:ascii="Arial" w:hAnsi="Arial" w:cs="Arial"/>
                <w:sz w:val="20"/>
                <w:szCs w:val="20"/>
              </w:rPr>
            </w:pPr>
            <w:r>
              <w:rPr>
                <w:rFonts w:ascii="Arial" w:hAnsi="Arial" w:cs="Arial"/>
                <w:sz w:val="20"/>
                <w:szCs w:val="20"/>
              </w:rPr>
              <w:t xml:space="preserve">All delays have been overcome, and we are nearing completion of all assigned tasks (original and additional). All tasks and deliverables should be completed no later than </w:t>
            </w:r>
            <w:r w:rsidR="00F210B4">
              <w:rPr>
                <w:rFonts w:ascii="Arial" w:hAnsi="Arial" w:cs="Arial"/>
                <w:sz w:val="20"/>
                <w:szCs w:val="20"/>
              </w:rPr>
              <w:t>December 31</w:t>
            </w:r>
            <w:r>
              <w:rPr>
                <w:rFonts w:ascii="Arial" w:hAnsi="Arial" w:cs="Arial"/>
                <w:sz w:val="20"/>
                <w:szCs w:val="20"/>
              </w:rPr>
              <w:t>, 2017.</w:t>
            </w:r>
            <w:r w:rsidR="000656E0">
              <w:rPr>
                <w:rFonts w:ascii="Arial" w:hAnsi="Arial" w:cs="Arial"/>
                <w:sz w:val="20"/>
                <w:szCs w:val="20"/>
              </w:rPr>
              <w:t xml:space="preserve"> There appears to be some problems with the reference parameter values computed in parts of Oregon and Montana that must be sorted out, but we are currently working on that. </w:t>
            </w:r>
          </w:p>
          <w:p w:rsidR="00560D48" w:rsidRPr="00360664" w:rsidRDefault="00560D48" w:rsidP="00560D48">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1C" w:rsidRDefault="00F40D1C" w:rsidP="00106C83">
      <w:pPr>
        <w:spacing w:after="0" w:line="240" w:lineRule="auto"/>
      </w:pPr>
      <w:r>
        <w:separator/>
      </w:r>
    </w:p>
  </w:endnote>
  <w:endnote w:type="continuationSeparator" w:id="0">
    <w:p w:rsidR="00F40D1C" w:rsidRDefault="00F40D1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1C" w:rsidRDefault="00F40D1C" w:rsidP="00106C83">
      <w:pPr>
        <w:spacing w:after="0" w:line="240" w:lineRule="auto"/>
      </w:pPr>
      <w:r>
        <w:separator/>
      </w:r>
    </w:p>
  </w:footnote>
  <w:footnote w:type="continuationSeparator" w:id="0">
    <w:p w:rsidR="00F40D1C" w:rsidRDefault="00F40D1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48B0"/>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1D45"/>
    <w:rsid w:val="000632E0"/>
    <w:rsid w:val="0006342D"/>
    <w:rsid w:val="00064DBC"/>
    <w:rsid w:val="000656E0"/>
    <w:rsid w:val="00065B11"/>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489B"/>
    <w:rsid w:val="000F752B"/>
    <w:rsid w:val="000F768E"/>
    <w:rsid w:val="000F7DCA"/>
    <w:rsid w:val="00102815"/>
    <w:rsid w:val="00103835"/>
    <w:rsid w:val="00103F73"/>
    <w:rsid w:val="00106C83"/>
    <w:rsid w:val="00107C24"/>
    <w:rsid w:val="00112C0A"/>
    <w:rsid w:val="001147C8"/>
    <w:rsid w:val="00114A2D"/>
    <w:rsid w:val="00116830"/>
    <w:rsid w:val="00121037"/>
    <w:rsid w:val="00122CE0"/>
    <w:rsid w:val="00122DE0"/>
    <w:rsid w:val="00125814"/>
    <w:rsid w:val="001307F9"/>
    <w:rsid w:val="001336E7"/>
    <w:rsid w:val="00135812"/>
    <w:rsid w:val="001428DF"/>
    <w:rsid w:val="001429F4"/>
    <w:rsid w:val="001536F4"/>
    <w:rsid w:val="00153FD4"/>
    <w:rsid w:val="00154785"/>
    <w:rsid w:val="001547D0"/>
    <w:rsid w:val="00161153"/>
    <w:rsid w:val="001628AC"/>
    <w:rsid w:val="00163D29"/>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E8C"/>
    <w:rsid w:val="001D763A"/>
    <w:rsid w:val="001D77C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416F6"/>
    <w:rsid w:val="00242D46"/>
    <w:rsid w:val="00243653"/>
    <w:rsid w:val="00243FCC"/>
    <w:rsid w:val="002442E9"/>
    <w:rsid w:val="00245D5B"/>
    <w:rsid w:val="0025100B"/>
    <w:rsid w:val="002539C5"/>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323C"/>
    <w:rsid w:val="00357BC4"/>
    <w:rsid w:val="0036066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E7B4F"/>
    <w:rsid w:val="003F462A"/>
    <w:rsid w:val="003F6EF1"/>
    <w:rsid w:val="00401351"/>
    <w:rsid w:val="00406380"/>
    <w:rsid w:val="00407984"/>
    <w:rsid w:val="00413304"/>
    <w:rsid w:val="00413511"/>
    <w:rsid w:val="004144E6"/>
    <w:rsid w:val="004156B2"/>
    <w:rsid w:val="0041707D"/>
    <w:rsid w:val="004205BA"/>
    <w:rsid w:val="00421285"/>
    <w:rsid w:val="00432286"/>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369F"/>
    <w:rsid w:val="004846CC"/>
    <w:rsid w:val="004913CE"/>
    <w:rsid w:val="00491E8E"/>
    <w:rsid w:val="00492C17"/>
    <w:rsid w:val="004970A0"/>
    <w:rsid w:val="004974E1"/>
    <w:rsid w:val="004A35F3"/>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78A"/>
    <w:rsid w:val="00551D8A"/>
    <w:rsid w:val="00554F9C"/>
    <w:rsid w:val="00560D48"/>
    <w:rsid w:val="00567491"/>
    <w:rsid w:val="00567605"/>
    <w:rsid w:val="0057047E"/>
    <w:rsid w:val="00570CB8"/>
    <w:rsid w:val="0057136C"/>
    <w:rsid w:val="00571FB5"/>
    <w:rsid w:val="00572A58"/>
    <w:rsid w:val="00574238"/>
    <w:rsid w:val="00574EA0"/>
    <w:rsid w:val="00577067"/>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7210"/>
    <w:rsid w:val="00670750"/>
    <w:rsid w:val="00670A8E"/>
    <w:rsid w:val="00675646"/>
    <w:rsid w:val="0068036E"/>
    <w:rsid w:val="00681142"/>
    <w:rsid w:val="00682C5E"/>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E1297"/>
    <w:rsid w:val="006F0CB0"/>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734"/>
    <w:rsid w:val="007E4E95"/>
    <w:rsid w:val="007E5BD2"/>
    <w:rsid w:val="007F0353"/>
    <w:rsid w:val="007F0BF1"/>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42AE7"/>
    <w:rsid w:val="008451C1"/>
    <w:rsid w:val="00845B74"/>
    <w:rsid w:val="008479DD"/>
    <w:rsid w:val="00851FDC"/>
    <w:rsid w:val="008531FF"/>
    <w:rsid w:val="00853ADF"/>
    <w:rsid w:val="008559B8"/>
    <w:rsid w:val="008630B3"/>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4EE8"/>
    <w:rsid w:val="00907579"/>
    <w:rsid w:val="0091609B"/>
    <w:rsid w:val="0092091E"/>
    <w:rsid w:val="00923793"/>
    <w:rsid w:val="009250AE"/>
    <w:rsid w:val="009255A2"/>
    <w:rsid w:val="00926E5F"/>
    <w:rsid w:val="00930617"/>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C7C3D"/>
    <w:rsid w:val="009D62A6"/>
    <w:rsid w:val="009E245A"/>
    <w:rsid w:val="009E7D89"/>
    <w:rsid w:val="009F08AD"/>
    <w:rsid w:val="009F1434"/>
    <w:rsid w:val="009F264E"/>
    <w:rsid w:val="009F4F48"/>
    <w:rsid w:val="009F753A"/>
    <w:rsid w:val="009F7F97"/>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408A"/>
    <w:rsid w:val="00A606D4"/>
    <w:rsid w:val="00A622D5"/>
    <w:rsid w:val="00A63677"/>
    <w:rsid w:val="00A6396D"/>
    <w:rsid w:val="00A64232"/>
    <w:rsid w:val="00A66DCA"/>
    <w:rsid w:val="00A75C91"/>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E6E31"/>
    <w:rsid w:val="00AF15B9"/>
    <w:rsid w:val="00AF4849"/>
    <w:rsid w:val="00AF5252"/>
    <w:rsid w:val="00AF7FAB"/>
    <w:rsid w:val="00B00836"/>
    <w:rsid w:val="00B0134F"/>
    <w:rsid w:val="00B02CE3"/>
    <w:rsid w:val="00B052C3"/>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2061"/>
    <w:rsid w:val="00B52859"/>
    <w:rsid w:val="00B53C27"/>
    <w:rsid w:val="00B568EE"/>
    <w:rsid w:val="00B57320"/>
    <w:rsid w:val="00B613C3"/>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2987"/>
    <w:rsid w:val="00C25B7A"/>
    <w:rsid w:val="00C25C50"/>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6185"/>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7666"/>
    <w:rsid w:val="00D47A1D"/>
    <w:rsid w:val="00D51D40"/>
    <w:rsid w:val="00D52F90"/>
    <w:rsid w:val="00D64CBB"/>
    <w:rsid w:val="00D73308"/>
    <w:rsid w:val="00D73367"/>
    <w:rsid w:val="00D74CFF"/>
    <w:rsid w:val="00D8310D"/>
    <w:rsid w:val="00D83E5D"/>
    <w:rsid w:val="00D8797B"/>
    <w:rsid w:val="00D905D6"/>
    <w:rsid w:val="00D92CCD"/>
    <w:rsid w:val="00D9396F"/>
    <w:rsid w:val="00D97C29"/>
    <w:rsid w:val="00D97D22"/>
    <w:rsid w:val="00DA1322"/>
    <w:rsid w:val="00DA3DB5"/>
    <w:rsid w:val="00DA4AE9"/>
    <w:rsid w:val="00DB0E58"/>
    <w:rsid w:val="00DB1C5A"/>
    <w:rsid w:val="00DB66E9"/>
    <w:rsid w:val="00DB68A6"/>
    <w:rsid w:val="00DC08E0"/>
    <w:rsid w:val="00DC1396"/>
    <w:rsid w:val="00DC3C8E"/>
    <w:rsid w:val="00DC6DF0"/>
    <w:rsid w:val="00DC781A"/>
    <w:rsid w:val="00DD019B"/>
    <w:rsid w:val="00DD2E4C"/>
    <w:rsid w:val="00DD6D1B"/>
    <w:rsid w:val="00DE1FDE"/>
    <w:rsid w:val="00DE1FE4"/>
    <w:rsid w:val="00DE2E58"/>
    <w:rsid w:val="00DE549E"/>
    <w:rsid w:val="00DF0220"/>
    <w:rsid w:val="00DF568F"/>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7EB2"/>
    <w:rsid w:val="00E47F1C"/>
    <w:rsid w:val="00E53738"/>
    <w:rsid w:val="00E560E8"/>
    <w:rsid w:val="00E61227"/>
    <w:rsid w:val="00E62C94"/>
    <w:rsid w:val="00E65AB9"/>
    <w:rsid w:val="00E660E7"/>
    <w:rsid w:val="00E6710A"/>
    <w:rsid w:val="00E7108C"/>
    <w:rsid w:val="00E71B63"/>
    <w:rsid w:val="00E75090"/>
    <w:rsid w:val="00E84F3B"/>
    <w:rsid w:val="00E86D24"/>
    <w:rsid w:val="00E909F8"/>
    <w:rsid w:val="00E919DB"/>
    <w:rsid w:val="00E9210B"/>
    <w:rsid w:val="00E92308"/>
    <w:rsid w:val="00E92CC3"/>
    <w:rsid w:val="00E946C8"/>
    <w:rsid w:val="00E95C98"/>
    <w:rsid w:val="00E96594"/>
    <w:rsid w:val="00EA1C9E"/>
    <w:rsid w:val="00EA2676"/>
    <w:rsid w:val="00EA6697"/>
    <w:rsid w:val="00EA736A"/>
    <w:rsid w:val="00EB0DB3"/>
    <w:rsid w:val="00EB144C"/>
    <w:rsid w:val="00EB3A0C"/>
    <w:rsid w:val="00EB6860"/>
    <w:rsid w:val="00EB6DF1"/>
    <w:rsid w:val="00EC4414"/>
    <w:rsid w:val="00EC5178"/>
    <w:rsid w:val="00EC7DFE"/>
    <w:rsid w:val="00ED19A9"/>
    <w:rsid w:val="00ED1EDB"/>
    <w:rsid w:val="00ED3FD5"/>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33B6"/>
    <w:rsid w:val="00F44489"/>
    <w:rsid w:val="00F475EF"/>
    <w:rsid w:val="00F5003E"/>
    <w:rsid w:val="00F5478B"/>
    <w:rsid w:val="00F56012"/>
    <w:rsid w:val="00F62E9D"/>
    <w:rsid w:val="00F633CC"/>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D0B6F"/>
    <w:rsid w:val="00FD13FB"/>
    <w:rsid w:val="00FD2F4A"/>
    <w:rsid w:val="00FD34C6"/>
    <w:rsid w:val="00FD3F3F"/>
    <w:rsid w:val="00FE24E6"/>
    <w:rsid w:val="00FE28AA"/>
    <w:rsid w:val="00FE37C1"/>
    <w:rsid w:val="00FE44F3"/>
    <w:rsid w:val="00FE58BF"/>
    <w:rsid w:val="00FE6F10"/>
    <w:rsid w:val="00FE7490"/>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84D5-38E1-4B78-97C9-728CFC88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1277</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2017-10-26T19:40:00Z</dcterms:created>
  <dcterms:modified xsi:type="dcterms:W3CDTF">2017-11-10T01:15:00Z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