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69564B">
        <w:rPr>
          <w:rFonts w:ascii="Arial" w:hAnsi="Arial" w:cs="Arial"/>
          <w:sz w:val="24"/>
          <w:szCs w:val="24"/>
          <w:u w:val="thick"/>
        </w:rPr>
        <w:t>July 30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110C5F">
        <w:rPr>
          <w:rFonts w:ascii="Arial" w:hAnsi="Arial" w:cs="Arial"/>
          <w:sz w:val="24"/>
          <w:szCs w:val="24"/>
          <w:u w:val="thick"/>
        </w:rPr>
        <w:t xml:space="preserve"> 2017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F66B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F66B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7A4E5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081D89" w:rsidP="00081D8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3250A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2016-2017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8E748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Casey Dusza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B873AB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E7483" w:rsidRPr="0032657C">
                <w:rPr>
                  <w:rStyle w:val="Hyperlink"/>
                  <w:rFonts w:ascii="Arial" w:hAnsi="Arial" w:cs="Arial"/>
                  <w:sz w:val="20"/>
                  <w:szCs w:val="20"/>
                </w:rPr>
                <w:t>Casey.Dusza@txdot.gov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B873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</w:t>
            </w:r>
            <w:r w:rsidR="00B873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73AB">
              <w:rPr>
                <w:rFonts w:ascii="Arial" w:hAnsi="Arial" w:cs="Arial"/>
                <w:sz w:val="20"/>
                <w:szCs w:val="20"/>
              </w:rPr>
              <w:t>3,435,000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73AB">
              <w:rPr>
                <w:rFonts w:ascii="Arial" w:hAnsi="Arial" w:cs="Arial"/>
                <w:sz w:val="20"/>
                <w:szCs w:val="20"/>
              </w:rPr>
              <w:t>2,964,146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B873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73AB">
              <w:rPr>
                <w:rFonts w:ascii="Arial" w:hAnsi="Arial" w:cs="Arial"/>
                <w:sz w:val="20"/>
                <w:szCs w:val="20"/>
              </w:rPr>
              <w:t>149,732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69564B">
              <w:trPr>
                <w:trHeight w:val="3663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5B3949" w:rsidRPr="00CE5F33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>nvestigat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ion of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new and emerging datasets for mobility analyses; conduct evaluations of datasets for new and traditional uses. Continue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analysis of the NPMRDS.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2)</w:t>
                  </w:r>
                  <w:r w:rsidR="001F3859" w:rsidRPr="00CE5F33">
                    <w:rPr>
                      <w:rFonts w:ascii="Arial" w:hAnsi="Arial" w:cs="Arial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Investigation of arterial route reliability estimation, estimating reference speed, and bottleneck identification in the arterial environment.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ocument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ation of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current and evolving practices related to arterial performance monitoring and</w:t>
                  </w:r>
                </w:p>
                <w:p w:rsidR="001F3859" w:rsidRPr="00CE5F33" w:rsidRDefault="001F3859" w:rsidP="005B3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gramStart"/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reliability</w:t>
                  </w:r>
                  <w:proofErr w:type="gramEnd"/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estimation.</w:t>
                  </w:r>
                </w:p>
                <w:p w:rsidR="00C86FE1" w:rsidRPr="00CE5F33" w:rsidRDefault="00C86FE1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Demonstrations of the target setting practices; provide additional support for MAP</w:t>
                  </w:r>
                  <w:r w:rsidR="001F3859" w:rsidRPr="00CE5F33">
                    <w:rPr>
                      <w:rFonts w:ascii="Cambria Math" w:eastAsia="Times New Roman" w:hAnsi="Cambria Math" w:cs="Cambria Math"/>
                      <w:color w:val="333333"/>
                      <w:sz w:val="20"/>
                      <w:szCs w:val="20"/>
                    </w:rPr>
                    <w:t>‐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21/NPRM performance measure estimation.</w:t>
                  </w:r>
                </w:p>
                <w:p w:rsidR="007A4585" w:rsidRPr="00CE5F33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Conduct syntheses on key topic areas of interest to the pooled fund sponsors.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5)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Assistance to sponsoring agencies in the application of products in their operations, planning and performance measurement activities within their agency. </w:t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Respond to requests for mobility d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ata. </w:t>
                  </w:r>
                </w:p>
                <w:p w:rsidR="00166AA2" w:rsidRPr="00CE5F33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6)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Develop and demonstrate data integration f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ramework</w:t>
                  </w:r>
                  <w:r w:rsidR="0014482F" w:rsidRPr="00CE5F33">
                    <w:rPr>
                      <w:rFonts w:ascii="Arial" w:hAnsi="Arial" w:cs="Arial"/>
                    </w:rPr>
                    <w:t xml:space="preserve">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by illustrating how data integration can inform investment decisions and project prioritization.</w:t>
                  </w:r>
                </w:p>
                <w:p w:rsidR="00166AA2" w:rsidRPr="001F3859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7) </w:t>
                  </w:r>
                  <w:r w:rsid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Implementation of an annual mobility performance report</w:t>
                  </w:r>
                  <w:r w:rsidR="00CE5F33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that describes all the steps and processes necessary to develop a yearly performance report.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5C2">
              <w:rPr>
                <w:rFonts w:ascii="Arial" w:hAnsi="Arial" w:cs="Arial"/>
                <w:sz w:val="20"/>
                <w:szCs w:val="20"/>
              </w:rPr>
              <w:t>2017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MMUT FY 2017 scope includes topics from 2016 and new topics as listed in the “Objectives” above. </w:t>
            </w:r>
          </w:p>
          <w:p w:rsidR="00A16F6A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8E7483" w:rsidRPr="00F03EBF" w:rsidRDefault="00881D55" w:rsidP="008E748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 xml:space="preserve">Finished updating TTI's performance </w:t>
            </w:r>
            <w:proofErr w:type="gramStart"/>
            <w:r w:rsidR="00982B21" w:rsidRPr="00982B21">
              <w:rPr>
                <w:rFonts w:ascii="Arial" w:hAnsi="Arial" w:cs="Arial"/>
                <w:sz w:val="20"/>
                <w:szCs w:val="20"/>
              </w:rPr>
              <w:t>measure codebase</w:t>
            </w:r>
            <w:proofErr w:type="gramEnd"/>
            <w:r w:rsidR="00982B21" w:rsidRPr="00982B21">
              <w:rPr>
                <w:rFonts w:ascii="Arial" w:hAnsi="Arial" w:cs="Arial"/>
                <w:sz w:val="20"/>
                <w:szCs w:val="20"/>
              </w:rPr>
              <w:t xml:space="preserve"> to match the measure definitions provided in FHWA's PM3 Final Rule. Performed a recalculation process to compute the PM3 Final Rule measures for 2015-2016. Coordinating with UMD CATT Lab staff regarding their NPMRDS RITIS-based calculations, and work toward validating these RITIS-based calculations with TTI's calculations.</w:t>
            </w:r>
          </w:p>
          <w:p w:rsidR="005D2AA8" w:rsidRPr="00F03EBF" w:rsidRDefault="005D2AA8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CC68EC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2: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Developed a methodology to generate reference speeds to accompany a given speed dataset regardless of functional classification of roadway. Distributed the methodology to the MMUT states. Investigating the effects of this methodology on the resulting performance measures.</w:t>
            </w:r>
            <w:r w:rsidR="00982B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Draft deliverable ("Determining Reference Speed from Probe-based Travel Speed Data") distributed to sponsor states in June.</w:t>
            </w:r>
            <w:r w:rsidR="00982B21">
              <w:rPr>
                <w:rFonts w:ascii="Arial" w:hAnsi="Arial" w:cs="Arial"/>
                <w:sz w:val="20"/>
                <w:szCs w:val="20"/>
              </w:rPr>
              <w:tab/>
            </w:r>
            <w:r w:rsidR="00982B21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Pr="007C7547" w:rsidRDefault="00B85E80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Performing follow-up work on factors impacting target results and sensitivity using available speed datasets. Began analysis of datasets to use as background for target setting associated with MAP-21 final measures.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</w:p>
          <w:p w:rsidR="004334EE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4: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 xml:space="preserve">Completed work on synthesis on automated vehicle/connected vehicle delay reduction estimation. All FY17 syntheses for this task </w:t>
            </w:r>
            <w:r w:rsidR="00982B21">
              <w:rPr>
                <w:rFonts w:ascii="Arial" w:hAnsi="Arial" w:cs="Arial"/>
                <w:sz w:val="20"/>
                <w:szCs w:val="20"/>
              </w:rPr>
              <w:t xml:space="preserve">are now complete and </w:t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delivered.</w:t>
            </w:r>
            <w:r w:rsidR="00166A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6AA2" w:rsidRPr="00166AA2">
              <w:rPr>
                <w:rFonts w:ascii="Arial" w:hAnsi="Arial" w:cs="Arial"/>
                <w:sz w:val="20"/>
                <w:szCs w:val="20"/>
              </w:rPr>
              <w:t>Submitted "Market Penetration of AV/CV and Associated Effects on Traffic Harmonization &amp; Delay Reduction" synthesis to pooled fund sponsors in June.</w:t>
            </w:r>
          </w:p>
          <w:p w:rsidR="00166AA2" w:rsidRDefault="00166AA2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C7547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Providing technical assistance to sponsors via telephone calls and email correspondence; coordinating travel preparations for future site visits.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7C7547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Pr="007C7547">
              <w:rPr>
                <w:rFonts w:ascii="Arial" w:hAnsi="Arial" w:cs="Arial"/>
                <w:sz w:val="20"/>
                <w:szCs w:val="20"/>
              </w:rPr>
              <w:tab/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Prepared for and conducted ann</w:t>
            </w:r>
            <w:r w:rsidR="00982B21">
              <w:rPr>
                <w:rFonts w:ascii="Arial" w:hAnsi="Arial" w:cs="Arial"/>
                <w:sz w:val="20"/>
                <w:szCs w:val="20"/>
              </w:rPr>
              <w:t xml:space="preserve">ual meeting in Phoenix, Arizona on June 8, 2017.  </w:t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Developed and distributed meeting minutes from the annual meeting to all sponsors in June.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 </w:t>
            </w:r>
            <w:r w:rsidRPr="00166AA2">
              <w:rPr>
                <w:rFonts w:ascii="Arial" w:hAnsi="Arial" w:cs="Arial"/>
                <w:sz w:val="20"/>
                <w:szCs w:val="20"/>
              </w:rPr>
              <w:t>Began reviewing Maryland datasets for demonstration of data integration. Attended kick-off meeting between TTI and Maryland DOT-State Highway Administration staff.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66AA2">
              <w:rPr>
                <w:rFonts w:ascii="Arial" w:hAnsi="Arial" w:cs="Arial"/>
                <w:sz w:val="20"/>
                <w:szCs w:val="20"/>
              </w:rPr>
              <w:t>Meeting minutes for task kickoff meeting (held in Baltimore, MD) will be sent to all project sponsors in July.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8: </w:t>
            </w:r>
            <w:r w:rsidRPr="00166AA2">
              <w:rPr>
                <w:rFonts w:ascii="Arial" w:hAnsi="Arial" w:cs="Arial"/>
                <w:sz w:val="20"/>
                <w:szCs w:val="20"/>
              </w:rPr>
              <w:t>Began discussion with Colorado Department of Transportation staff to obtain relevant data elements.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523375">
              <w:rPr>
                <w:rFonts w:ascii="Arial" w:hAnsi="Arial" w:cs="Arial"/>
                <w:sz w:val="20"/>
                <w:szCs w:val="20"/>
              </w:rPr>
              <w:t xml:space="preserve"> under the</w:t>
            </w:r>
            <w:r w:rsidR="00757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</w:t>
            </w:r>
            <w:r w:rsidR="004334EE">
              <w:rPr>
                <w:rFonts w:ascii="Arial" w:hAnsi="Arial" w:cs="Arial"/>
                <w:sz w:val="20"/>
                <w:szCs w:val="20"/>
              </w:rPr>
              <w:t>17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2B21" w:rsidRDefault="00203C0C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982B21">
              <w:rPr>
                <w:rFonts w:ascii="Arial" w:hAnsi="Arial" w:cs="Arial"/>
                <w:sz w:val="20"/>
                <w:szCs w:val="20"/>
              </w:rPr>
              <w:t>Task completed.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82F">
              <w:rPr>
                <w:rFonts w:ascii="Arial" w:hAnsi="Arial" w:cs="Arial"/>
                <w:sz w:val="20"/>
                <w:szCs w:val="20"/>
              </w:rPr>
              <w:t>Submit final deliverable to sponsor states.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03C0C">
              <w:rPr>
                <w:rFonts w:ascii="Arial" w:hAnsi="Arial" w:cs="Arial"/>
                <w:sz w:val="20"/>
                <w:szCs w:val="20"/>
              </w:rPr>
              <w:t xml:space="preserve">Analysis on factors impacting target results 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>associated with MAP-21 final measures.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523375">
              <w:rPr>
                <w:rFonts w:ascii="Arial" w:hAnsi="Arial" w:cs="Arial"/>
                <w:sz w:val="20"/>
                <w:szCs w:val="20"/>
              </w:rPr>
              <w:t>Task complete.</w:t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27C5">
              <w:rPr>
                <w:rFonts w:ascii="Arial" w:hAnsi="Arial" w:cs="Arial"/>
                <w:sz w:val="20"/>
                <w:szCs w:val="20"/>
              </w:rPr>
              <w:t xml:space="preserve">Provide assistance with future sponsor requests. </w:t>
            </w:r>
          </w:p>
          <w:p w:rsidR="00523375" w:rsidRDefault="00B627C5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982B21">
              <w:rPr>
                <w:rFonts w:ascii="Arial" w:hAnsi="Arial" w:cs="Arial"/>
                <w:sz w:val="20"/>
                <w:szCs w:val="20"/>
              </w:rPr>
              <w:t>Planning for a</w:t>
            </w:r>
            <w:r w:rsidR="00982B21" w:rsidRPr="00B627C5">
              <w:rPr>
                <w:rFonts w:ascii="Arial" w:hAnsi="Arial" w:cs="Arial"/>
                <w:sz w:val="20"/>
                <w:szCs w:val="20"/>
              </w:rPr>
              <w:t xml:space="preserve">nnual meeting </w:t>
            </w:r>
            <w:r w:rsidR="00982B21">
              <w:rPr>
                <w:rFonts w:ascii="Arial" w:hAnsi="Arial" w:cs="Arial"/>
                <w:sz w:val="20"/>
                <w:szCs w:val="20"/>
              </w:rPr>
              <w:t>in 2018.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  <w:p w:rsidR="00523375" w:rsidRDefault="00523375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</w:t>
            </w:r>
            <w:r w:rsidR="00DB427B">
              <w:rPr>
                <w:rFonts w:ascii="Arial" w:hAnsi="Arial" w:cs="Arial"/>
                <w:sz w:val="20"/>
                <w:szCs w:val="20"/>
              </w:rPr>
              <w:t>Submit kickoff meeting notes to sponsors.  Continue to work with Maryland DOT on data integration.</w:t>
            </w:r>
          </w:p>
          <w:p w:rsidR="00601EBD" w:rsidRPr="009A7BE5" w:rsidRDefault="00523375" w:rsidP="00DB427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8: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DB427B">
              <w:rPr>
                <w:rFonts w:ascii="Arial" w:hAnsi="Arial" w:cs="Arial"/>
                <w:sz w:val="20"/>
                <w:szCs w:val="20"/>
              </w:rPr>
              <w:t xml:space="preserve">Prepare for and attend kickoff meeting with Colorado DOT in August.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8A72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</w:t>
            </w:r>
            <w:r w:rsidR="008A7244">
              <w:rPr>
                <w:rFonts w:ascii="Arial" w:hAnsi="Arial" w:cs="Arial"/>
                <w:color w:val="000000" w:themeColor="text1"/>
                <w:sz w:val="20"/>
                <w:szCs w:val="20"/>
              </w:rPr>
              <w:t>; noted deliverables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38" w:rsidRDefault="00F34A38" w:rsidP="00106C83">
      <w:pPr>
        <w:spacing w:after="0" w:line="240" w:lineRule="auto"/>
      </w:pPr>
      <w:r>
        <w:separator/>
      </w:r>
    </w:p>
  </w:endnote>
  <w:endnote w:type="continuationSeparator" w:id="0">
    <w:p w:rsidR="00F34A38" w:rsidRDefault="00F34A3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38" w:rsidRDefault="00F34A38" w:rsidP="00106C83">
      <w:pPr>
        <w:spacing w:after="0" w:line="240" w:lineRule="auto"/>
      </w:pPr>
      <w:r>
        <w:separator/>
      </w:r>
    </w:p>
  </w:footnote>
  <w:footnote w:type="continuationSeparator" w:id="0">
    <w:p w:rsidR="00F34A38" w:rsidRDefault="00F34A3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3C73"/>
    <w:rsid w:val="00054504"/>
    <w:rsid w:val="00057BC7"/>
    <w:rsid w:val="000736BB"/>
    <w:rsid w:val="00081D89"/>
    <w:rsid w:val="00097EAF"/>
    <w:rsid w:val="000B665A"/>
    <w:rsid w:val="000C7107"/>
    <w:rsid w:val="000D02DF"/>
    <w:rsid w:val="000F7BC3"/>
    <w:rsid w:val="00106C83"/>
    <w:rsid w:val="00110C5F"/>
    <w:rsid w:val="001121C0"/>
    <w:rsid w:val="00121A37"/>
    <w:rsid w:val="00124E72"/>
    <w:rsid w:val="0014482F"/>
    <w:rsid w:val="00150C51"/>
    <w:rsid w:val="001547D0"/>
    <w:rsid w:val="00161153"/>
    <w:rsid w:val="00162E6E"/>
    <w:rsid w:val="00166AA2"/>
    <w:rsid w:val="001829BD"/>
    <w:rsid w:val="001A5043"/>
    <w:rsid w:val="001A6CF9"/>
    <w:rsid w:val="001B0A4C"/>
    <w:rsid w:val="001C7F1E"/>
    <w:rsid w:val="001D0585"/>
    <w:rsid w:val="001D2559"/>
    <w:rsid w:val="001D5364"/>
    <w:rsid w:val="001E6A61"/>
    <w:rsid w:val="001E7007"/>
    <w:rsid w:val="001F3859"/>
    <w:rsid w:val="00203C0C"/>
    <w:rsid w:val="0021446D"/>
    <w:rsid w:val="002166F3"/>
    <w:rsid w:val="00216E70"/>
    <w:rsid w:val="002201A7"/>
    <w:rsid w:val="002409D3"/>
    <w:rsid w:val="00241970"/>
    <w:rsid w:val="00266B6E"/>
    <w:rsid w:val="00280254"/>
    <w:rsid w:val="00284AA4"/>
    <w:rsid w:val="00293FD8"/>
    <w:rsid w:val="002A1AC7"/>
    <w:rsid w:val="002A79C8"/>
    <w:rsid w:val="002B7493"/>
    <w:rsid w:val="002D78C8"/>
    <w:rsid w:val="00320294"/>
    <w:rsid w:val="003250A3"/>
    <w:rsid w:val="0032777A"/>
    <w:rsid w:val="003335A4"/>
    <w:rsid w:val="003503A4"/>
    <w:rsid w:val="00370931"/>
    <w:rsid w:val="00372526"/>
    <w:rsid w:val="0038705A"/>
    <w:rsid w:val="003A00E5"/>
    <w:rsid w:val="003B0A62"/>
    <w:rsid w:val="003B3F3F"/>
    <w:rsid w:val="003D27BA"/>
    <w:rsid w:val="003D57A6"/>
    <w:rsid w:val="003E0A45"/>
    <w:rsid w:val="003E4D98"/>
    <w:rsid w:val="003E5369"/>
    <w:rsid w:val="003E59D5"/>
    <w:rsid w:val="00404047"/>
    <w:rsid w:val="004144E6"/>
    <w:rsid w:val="004156B2"/>
    <w:rsid w:val="00425091"/>
    <w:rsid w:val="00431BFF"/>
    <w:rsid w:val="004334EE"/>
    <w:rsid w:val="00437734"/>
    <w:rsid w:val="004436C4"/>
    <w:rsid w:val="00451717"/>
    <w:rsid w:val="00456B49"/>
    <w:rsid w:val="00457520"/>
    <w:rsid w:val="00475D97"/>
    <w:rsid w:val="0047749A"/>
    <w:rsid w:val="004A30A4"/>
    <w:rsid w:val="004A4654"/>
    <w:rsid w:val="004B0793"/>
    <w:rsid w:val="004B6E0F"/>
    <w:rsid w:val="004C6AA5"/>
    <w:rsid w:val="004E019B"/>
    <w:rsid w:val="004E14DC"/>
    <w:rsid w:val="004F08DE"/>
    <w:rsid w:val="004F2545"/>
    <w:rsid w:val="0050412D"/>
    <w:rsid w:val="00512F76"/>
    <w:rsid w:val="00523375"/>
    <w:rsid w:val="00535598"/>
    <w:rsid w:val="00540DFD"/>
    <w:rsid w:val="00545D47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B3949"/>
    <w:rsid w:val="005D1415"/>
    <w:rsid w:val="005D2AA8"/>
    <w:rsid w:val="005F42AD"/>
    <w:rsid w:val="00601EBD"/>
    <w:rsid w:val="00606D6C"/>
    <w:rsid w:val="00653356"/>
    <w:rsid w:val="00656A30"/>
    <w:rsid w:val="00661BD7"/>
    <w:rsid w:val="00667509"/>
    <w:rsid w:val="0067502E"/>
    <w:rsid w:val="00682C5E"/>
    <w:rsid w:val="00694B65"/>
    <w:rsid w:val="0069564B"/>
    <w:rsid w:val="0069676A"/>
    <w:rsid w:val="006A516A"/>
    <w:rsid w:val="006E219E"/>
    <w:rsid w:val="007101E0"/>
    <w:rsid w:val="00737D47"/>
    <w:rsid w:val="00743C01"/>
    <w:rsid w:val="00757254"/>
    <w:rsid w:val="007907C1"/>
    <w:rsid w:val="00790C4A"/>
    <w:rsid w:val="007913B6"/>
    <w:rsid w:val="007926C7"/>
    <w:rsid w:val="007A4585"/>
    <w:rsid w:val="007A4E51"/>
    <w:rsid w:val="007B0E2E"/>
    <w:rsid w:val="007B63EF"/>
    <w:rsid w:val="007C031A"/>
    <w:rsid w:val="007C7547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A7244"/>
    <w:rsid w:val="008D53BA"/>
    <w:rsid w:val="008E7483"/>
    <w:rsid w:val="00905DAC"/>
    <w:rsid w:val="009069A5"/>
    <w:rsid w:val="0091089A"/>
    <w:rsid w:val="0091277E"/>
    <w:rsid w:val="00963F4B"/>
    <w:rsid w:val="00965BF3"/>
    <w:rsid w:val="0097163C"/>
    <w:rsid w:val="00982B21"/>
    <w:rsid w:val="009A7BE5"/>
    <w:rsid w:val="009B5A06"/>
    <w:rsid w:val="009D1895"/>
    <w:rsid w:val="009E42BA"/>
    <w:rsid w:val="00A065EE"/>
    <w:rsid w:val="00A13C57"/>
    <w:rsid w:val="00A16F6A"/>
    <w:rsid w:val="00A173CA"/>
    <w:rsid w:val="00A31A58"/>
    <w:rsid w:val="00A43875"/>
    <w:rsid w:val="00A460CF"/>
    <w:rsid w:val="00A63677"/>
    <w:rsid w:val="00A64A3A"/>
    <w:rsid w:val="00AD35B4"/>
    <w:rsid w:val="00AD7FB6"/>
    <w:rsid w:val="00AE3AE3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505C2"/>
    <w:rsid w:val="00B627C5"/>
    <w:rsid w:val="00B66A21"/>
    <w:rsid w:val="00B7069B"/>
    <w:rsid w:val="00B85E80"/>
    <w:rsid w:val="00B873AB"/>
    <w:rsid w:val="00BA0077"/>
    <w:rsid w:val="00BA0B29"/>
    <w:rsid w:val="00BA0E5D"/>
    <w:rsid w:val="00BA568A"/>
    <w:rsid w:val="00BB2500"/>
    <w:rsid w:val="00BB75E7"/>
    <w:rsid w:val="00BD70FA"/>
    <w:rsid w:val="00BF50C8"/>
    <w:rsid w:val="00C1374D"/>
    <w:rsid w:val="00C13753"/>
    <w:rsid w:val="00C32D62"/>
    <w:rsid w:val="00C637A4"/>
    <w:rsid w:val="00C8669C"/>
    <w:rsid w:val="00C86FE1"/>
    <w:rsid w:val="00C9405B"/>
    <w:rsid w:val="00CA1073"/>
    <w:rsid w:val="00CA1D4A"/>
    <w:rsid w:val="00CA2872"/>
    <w:rsid w:val="00CA5A45"/>
    <w:rsid w:val="00CB68A0"/>
    <w:rsid w:val="00CC68EC"/>
    <w:rsid w:val="00CD089D"/>
    <w:rsid w:val="00CE5F33"/>
    <w:rsid w:val="00CF06C0"/>
    <w:rsid w:val="00D0267B"/>
    <w:rsid w:val="00D357FA"/>
    <w:rsid w:val="00D42A15"/>
    <w:rsid w:val="00D700DE"/>
    <w:rsid w:val="00DA1CBA"/>
    <w:rsid w:val="00DA2970"/>
    <w:rsid w:val="00DB427B"/>
    <w:rsid w:val="00DB6D71"/>
    <w:rsid w:val="00DC2F16"/>
    <w:rsid w:val="00DD23BF"/>
    <w:rsid w:val="00DE7B0E"/>
    <w:rsid w:val="00DF5D3F"/>
    <w:rsid w:val="00E04AEE"/>
    <w:rsid w:val="00E35E0F"/>
    <w:rsid w:val="00E371D1"/>
    <w:rsid w:val="00E43F94"/>
    <w:rsid w:val="00E53738"/>
    <w:rsid w:val="00E76002"/>
    <w:rsid w:val="00EA6590"/>
    <w:rsid w:val="00ED4E42"/>
    <w:rsid w:val="00ED5F67"/>
    <w:rsid w:val="00EF08AE"/>
    <w:rsid w:val="00EF5790"/>
    <w:rsid w:val="00F03EBF"/>
    <w:rsid w:val="00F075A6"/>
    <w:rsid w:val="00F17615"/>
    <w:rsid w:val="00F27CE6"/>
    <w:rsid w:val="00F34A38"/>
    <w:rsid w:val="00F66B1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y.Dusza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1176-E856-426F-BD04-A7F66EFE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2016-01-08T14:29:00Z</cp:lastPrinted>
  <dcterms:created xsi:type="dcterms:W3CDTF">2017-07-31T19:34:00Z</dcterms:created>
  <dcterms:modified xsi:type="dcterms:W3CDTF">2017-07-31T19:36:00Z</dcterms:modified>
</cp:coreProperties>
</file>