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652001"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607B79D5"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16A03923" w14:textId="77777777" w:rsidR="00551D8A" w:rsidRDefault="00551D8A" w:rsidP="00551D8A">
      <w:pPr>
        <w:spacing w:after="0"/>
        <w:rPr>
          <w:rFonts w:ascii="Arial" w:hAnsi="Arial" w:cs="Arial"/>
          <w:sz w:val="24"/>
          <w:szCs w:val="24"/>
        </w:rPr>
      </w:pPr>
    </w:p>
    <w:p w14:paraId="177A35BB"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w:t>
      </w:r>
      <w:r w:rsidR="00FA0047" w:rsidRPr="00BB13ED">
        <w:rPr>
          <w:rFonts w:ascii="Arial" w:hAnsi="Arial" w:cs="Arial"/>
          <w:sz w:val="24"/>
          <w:szCs w:val="24"/>
          <w:u w:val="single"/>
        </w:rPr>
        <w:t>FHWA</w:t>
      </w:r>
      <w:r>
        <w:rPr>
          <w:rFonts w:ascii="Arial" w:hAnsi="Arial" w:cs="Arial"/>
          <w:sz w:val="24"/>
          <w:szCs w:val="24"/>
        </w:rPr>
        <w:t>__________</w:t>
      </w:r>
      <w:r w:rsidR="00FF32BE">
        <w:rPr>
          <w:rFonts w:ascii="Arial" w:hAnsi="Arial" w:cs="Arial"/>
          <w:sz w:val="24"/>
          <w:szCs w:val="24"/>
        </w:rPr>
        <w:t>_______</w:t>
      </w:r>
      <w:r>
        <w:rPr>
          <w:rFonts w:ascii="Arial" w:hAnsi="Arial" w:cs="Arial"/>
          <w:sz w:val="24"/>
          <w:szCs w:val="24"/>
        </w:rPr>
        <w:t>_____________________</w:t>
      </w:r>
    </w:p>
    <w:p w14:paraId="0C0E8505" w14:textId="77777777" w:rsidR="00FF32BE" w:rsidRDefault="00FF32BE" w:rsidP="00FF32BE">
      <w:pPr>
        <w:spacing w:after="0"/>
        <w:rPr>
          <w:rFonts w:ascii="Arial" w:hAnsi="Arial" w:cs="Arial"/>
          <w:sz w:val="24"/>
          <w:szCs w:val="24"/>
        </w:rPr>
      </w:pPr>
    </w:p>
    <w:p w14:paraId="4BE104B3"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75934BFF"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4FB1AFA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2EEC00C3" w14:textId="77777777" w:rsidTr="00743C01">
        <w:trPr>
          <w:trHeight w:val="1997"/>
        </w:trPr>
        <w:tc>
          <w:tcPr>
            <w:tcW w:w="5418" w:type="dxa"/>
            <w:gridSpan w:val="2"/>
          </w:tcPr>
          <w:p w14:paraId="07182DE1"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4F28469"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7FD0FFEA" w14:textId="77777777" w:rsidR="000A720C" w:rsidRDefault="000A720C" w:rsidP="00551D8A">
            <w:pPr>
              <w:ind w:right="-720"/>
              <w:rPr>
                <w:rFonts w:ascii="Arial" w:hAnsi="Arial" w:cs="Arial"/>
                <w:i/>
                <w:sz w:val="20"/>
                <w:szCs w:val="20"/>
              </w:rPr>
            </w:pPr>
          </w:p>
          <w:p w14:paraId="45DCB558" w14:textId="77777777" w:rsidR="000A720C" w:rsidRDefault="000A720C" w:rsidP="00551D8A">
            <w:pPr>
              <w:ind w:right="-720"/>
              <w:rPr>
                <w:rFonts w:ascii="Arial" w:hAnsi="Arial" w:cs="Arial"/>
                <w:i/>
                <w:sz w:val="20"/>
                <w:szCs w:val="20"/>
              </w:rPr>
            </w:pPr>
          </w:p>
          <w:p w14:paraId="1478CCE6" w14:textId="77777777" w:rsidR="00E35E0F" w:rsidRPr="00BB13ED" w:rsidRDefault="00FA0047" w:rsidP="00551D8A">
            <w:pPr>
              <w:ind w:right="-720"/>
              <w:rPr>
                <w:rFonts w:ascii="Arial" w:hAnsi="Arial" w:cs="Arial"/>
                <w:i/>
                <w:sz w:val="24"/>
                <w:szCs w:val="24"/>
              </w:rPr>
            </w:pPr>
            <w:r w:rsidRPr="00BB13ED">
              <w:rPr>
                <w:rFonts w:ascii="Arial" w:hAnsi="Arial" w:cs="Arial"/>
                <w:i/>
                <w:sz w:val="24"/>
                <w:szCs w:val="24"/>
              </w:rPr>
              <w:t>TPF-5(279)</w:t>
            </w:r>
          </w:p>
          <w:p w14:paraId="44A6BC14" w14:textId="77777777" w:rsidR="00E35E0F" w:rsidRPr="00E35E0F" w:rsidRDefault="00E35E0F" w:rsidP="00551D8A">
            <w:pPr>
              <w:ind w:right="-720"/>
              <w:rPr>
                <w:rFonts w:ascii="Arial" w:hAnsi="Arial" w:cs="Arial"/>
                <w:sz w:val="20"/>
                <w:szCs w:val="20"/>
              </w:rPr>
            </w:pPr>
          </w:p>
        </w:tc>
        <w:tc>
          <w:tcPr>
            <w:tcW w:w="5490" w:type="dxa"/>
            <w:gridSpan w:val="2"/>
          </w:tcPr>
          <w:p w14:paraId="6659B5BE"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6C49D9CD" w14:textId="77777777" w:rsidR="00551D8A" w:rsidRDefault="00D3705C" w:rsidP="00037FBC">
            <w:pPr>
              <w:ind w:right="-720"/>
              <w:rPr>
                <w:rFonts w:ascii="Arial" w:hAnsi="Arial" w:cs="Arial"/>
                <w:sz w:val="20"/>
                <w:szCs w:val="20"/>
              </w:rPr>
            </w:pPr>
            <w:r w:rsidRPr="00BB13ED">
              <w:rPr>
                <w:rFonts w:ascii="Arial" w:hAnsi="Arial" w:cs="Arial"/>
                <w:sz w:val="28"/>
                <w:szCs w:val="28"/>
              </w:rPr>
              <w:sym w:font="Wingdings" w:char="F0FE"/>
            </w:r>
            <w:r w:rsidR="00551D8A">
              <w:rPr>
                <w:rFonts w:ascii="Arial" w:hAnsi="Arial" w:cs="Arial"/>
                <w:sz w:val="20"/>
                <w:szCs w:val="20"/>
              </w:rPr>
              <w:t>Quarter 1 (January 1 – March 31)</w:t>
            </w:r>
          </w:p>
          <w:p w14:paraId="7ACCE264" w14:textId="77777777"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14:paraId="4F453AF7" w14:textId="77777777" w:rsidR="00551D8A" w:rsidRDefault="00D3705C"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14:paraId="16F15578" w14:textId="77777777" w:rsidR="00551D8A" w:rsidRPr="00551D8A" w:rsidRDefault="000A720C" w:rsidP="000A720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68006747" w14:textId="77777777" w:rsidTr="00874EF7">
        <w:tc>
          <w:tcPr>
            <w:tcW w:w="10908" w:type="dxa"/>
            <w:gridSpan w:val="4"/>
          </w:tcPr>
          <w:p w14:paraId="5018FF64"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B3E6890" w14:textId="77777777" w:rsidR="00535598" w:rsidRPr="00C13753" w:rsidRDefault="00FA0047" w:rsidP="00551D8A">
            <w:pPr>
              <w:ind w:right="-720"/>
              <w:rPr>
                <w:rFonts w:ascii="Arial" w:hAnsi="Arial" w:cs="Arial"/>
                <w:b/>
                <w:sz w:val="20"/>
                <w:szCs w:val="20"/>
              </w:rPr>
            </w:pPr>
            <w:r w:rsidRPr="00FA0047">
              <w:rPr>
                <w:rFonts w:ascii="Arial" w:hAnsi="Arial" w:cs="Arial"/>
                <w:b/>
                <w:sz w:val="20"/>
                <w:szCs w:val="20"/>
              </w:rPr>
              <w:t>High Performance Computational Fluid Dynamics (CFD) Modeling Services for Highway Hydraulics</w:t>
            </w:r>
          </w:p>
          <w:p w14:paraId="1E51ECBF" w14:textId="77777777" w:rsidR="00743C01" w:rsidRPr="00B66A21" w:rsidRDefault="00743C01" w:rsidP="00551D8A">
            <w:pPr>
              <w:ind w:right="-720"/>
              <w:rPr>
                <w:rFonts w:ascii="Arial" w:hAnsi="Arial" w:cs="Arial"/>
                <w:sz w:val="20"/>
                <w:szCs w:val="20"/>
              </w:rPr>
            </w:pPr>
          </w:p>
        </w:tc>
      </w:tr>
      <w:tr w:rsidR="00743C01" w:rsidRPr="00B66A21" w14:paraId="56ACB06D" w14:textId="77777777" w:rsidTr="00C13753">
        <w:tc>
          <w:tcPr>
            <w:tcW w:w="4158" w:type="dxa"/>
          </w:tcPr>
          <w:p w14:paraId="6D2A9744" w14:textId="77777777" w:rsidR="00FA0047" w:rsidRDefault="00535598" w:rsidP="00551D8A">
            <w:pPr>
              <w:ind w:right="-720"/>
              <w:rPr>
                <w:rFonts w:ascii="Arial" w:hAnsi="Arial" w:cs="Arial"/>
                <w:b/>
                <w:sz w:val="20"/>
                <w:szCs w:val="20"/>
              </w:rPr>
            </w:pPr>
            <w:r>
              <w:rPr>
                <w:rFonts w:ascii="Arial" w:hAnsi="Arial" w:cs="Arial"/>
                <w:b/>
                <w:sz w:val="20"/>
                <w:szCs w:val="20"/>
              </w:rPr>
              <w:t>Name of Project Manager(s):</w:t>
            </w:r>
          </w:p>
          <w:p w14:paraId="6956A487" w14:textId="77777777" w:rsidR="00743C01" w:rsidRPr="00D3705C" w:rsidRDefault="00FA0047" w:rsidP="00551D8A">
            <w:pPr>
              <w:ind w:right="-720"/>
              <w:rPr>
                <w:rFonts w:ascii="Arial" w:hAnsi="Arial" w:cs="Arial"/>
                <w:i/>
                <w:sz w:val="20"/>
                <w:szCs w:val="20"/>
              </w:rPr>
            </w:pPr>
            <w:r>
              <w:rPr>
                <w:rFonts w:ascii="Arial" w:hAnsi="Arial" w:cs="Arial"/>
                <w:b/>
                <w:sz w:val="20"/>
                <w:szCs w:val="20"/>
              </w:rPr>
              <w:t xml:space="preserve"> </w:t>
            </w:r>
            <w:r w:rsidRPr="00D3705C">
              <w:rPr>
                <w:rFonts w:ascii="Arial" w:hAnsi="Arial" w:cs="Arial"/>
                <w:i/>
                <w:sz w:val="20"/>
                <w:szCs w:val="20"/>
              </w:rPr>
              <w:t>Kornel Kerenyi</w:t>
            </w:r>
          </w:p>
        </w:tc>
        <w:tc>
          <w:tcPr>
            <w:tcW w:w="3330" w:type="dxa"/>
            <w:gridSpan w:val="2"/>
          </w:tcPr>
          <w:p w14:paraId="0E0871E3"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32A317E8" w14:textId="77777777" w:rsidR="00FA0047" w:rsidRPr="00D3705C" w:rsidRDefault="00D3705C" w:rsidP="00D3705C">
            <w:pPr>
              <w:ind w:right="-720"/>
              <w:rPr>
                <w:rFonts w:ascii="Arial" w:hAnsi="Arial" w:cs="Arial"/>
                <w:i/>
                <w:sz w:val="20"/>
                <w:szCs w:val="20"/>
              </w:rPr>
            </w:pPr>
            <w:r>
              <w:rPr>
                <w:rFonts w:ascii="Arial" w:hAnsi="Arial" w:cs="Arial"/>
                <w:i/>
                <w:sz w:val="20"/>
                <w:szCs w:val="20"/>
              </w:rPr>
              <w:t>(</w:t>
            </w:r>
            <w:r w:rsidR="00FA0047" w:rsidRPr="00D3705C">
              <w:rPr>
                <w:rFonts w:ascii="Arial" w:hAnsi="Arial" w:cs="Arial"/>
                <w:i/>
                <w:sz w:val="20"/>
                <w:szCs w:val="20"/>
              </w:rPr>
              <w:t>202</w:t>
            </w:r>
            <w:r>
              <w:rPr>
                <w:rFonts w:ascii="Arial" w:hAnsi="Arial" w:cs="Arial"/>
                <w:i/>
                <w:sz w:val="20"/>
                <w:szCs w:val="20"/>
              </w:rPr>
              <w:t xml:space="preserve">) </w:t>
            </w:r>
            <w:r w:rsidR="00FA0047" w:rsidRPr="00D3705C">
              <w:rPr>
                <w:rFonts w:ascii="Arial" w:hAnsi="Arial" w:cs="Arial"/>
                <w:i/>
                <w:sz w:val="20"/>
                <w:szCs w:val="20"/>
              </w:rPr>
              <w:t>493-3142</w:t>
            </w:r>
          </w:p>
        </w:tc>
        <w:tc>
          <w:tcPr>
            <w:tcW w:w="3420" w:type="dxa"/>
          </w:tcPr>
          <w:p w14:paraId="66307AC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5A635814" w14:textId="77777777" w:rsidR="00535598" w:rsidRPr="00D3705C" w:rsidRDefault="00D3705C" w:rsidP="00551D8A">
            <w:pPr>
              <w:ind w:right="-720"/>
              <w:rPr>
                <w:rFonts w:ascii="Arial" w:hAnsi="Arial" w:cs="Arial"/>
                <w:i/>
                <w:sz w:val="20"/>
                <w:szCs w:val="20"/>
              </w:rPr>
            </w:pPr>
            <w:r w:rsidRPr="00D3705C">
              <w:rPr>
                <w:rFonts w:ascii="Arial" w:hAnsi="Arial" w:cs="Arial"/>
                <w:i/>
                <w:sz w:val="20"/>
                <w:szCs w:val="20"/>
              </w:rPr>
              <w:t>k</w:t>
            </w:r>
            <w:r w:rsidR="00FA0047" w:rsidRPr="00D3705C">
              <w:rPr>
                <w:rFonts w:ascii="Arial" w:hAnsi="Arial" w:cs="Arial"/>
                <w:i/>
                <w:sz w:val="20"/>
                <w:szCs w:val="20"/>
              </w:rPr>
              <w:t>ornel.</w:t>
            </w:r>
            <w:r w:rsidRPr="00D3705C">
              <w:rPr>
                <w:rFonts w:ascii="Arial" w:hAnsi="Arial" w:cs="Arial"/>
                <w:i/>
                <w:sz w:val="20"/>
                <w:szCs w:val="20"/>
              </w:rPr>
              <w:t>k</w:t>
            </w:r>
            <w:r w:rsidR="00FA0047" w:rsidRPr="00D3705C">
              <w:rPr>
                <w:rFonts w:ascii="Arial" w:hAnsi="Arial" w:cs="Arial"/>
                <w:i/>
                <w:sz w:val="20"/>
                <w:szCs w:val="20"/>
              </w:rPr>
              <w:t>erenyi@</w:t>
            </w:r>
            <w:r w:rsidRPr="00D3705C">
              <w:rPr>
                <w:rFonts w:ascii="Arial" w:hAnsi="Arial" w:cs="Arial"/>
                <w:i/>
                <w:sz w:val="20"/>
                <w:szCs w:val="20"/>
              </w:rPr>
              <w:t>fhwa.dot</w:t>
            </w:r>
            <w:r w:rsidR="00FA0047" w:rsidRPr="00D3705C">
              <w:rPr>
                <w:rFonts w:ascii="Arial" w:hAnsi="Arial" w:cs="Arial"/>
                <w:i/>
                <w:sz w:val="20"/>
                <w:szCs w:val="20"/>
              </w:rPr>
              <w:t>.gov</w:t>
            </w:r>
          </w:p>
          <w:p w14:paraId="78C900A9" w14:textId="77777777" w:rsidR="004156B2" w:rsidRPr="00B66A21" w:rsidRDefault="004156B2" w:rsidP="00551D8A">
            <w:pPr>
              <w:ind w:right="-720"/>
              <w:rPr>
                <w:rFonts w:ascii="Arial" w:hAnsi="Arial" w:cs="Arial"/>
                <w:sz w:val="20"/>
                <w:szCs w:val="20"/>
              </w:rPr>
            </w:pPr>
          </w:p>
        </w:tc>
      </w:tr>
      <w:tr w:rsidR="00535598" w:rsidRPr="00B66A21" w14:paraId="6166F54A" w14:textId="77777777" w:rsidTr="00C13753">
        <w:tc>
          <w:tcPr>
            <w:tcW w:w="4158" w:type="dxa"/>
          </w:tcPr>
          <w:p w14:paraId="5609B310"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0404A87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2508606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03B9E332" w14:textId="77777777" w:rsidR="00535598" w:rsidRPr="00B66A21" w:rsidRDefault="00D3705C" w:rsidP="0003476C">
            <w:pPr>
              <w:ind w:right="-720"/>
              <w:rPr>
                <w:rFonts w:ascii="Arial" w:hAnsi="Arial" w:cs="Arial"/>
                <w:sz w:val="20"/>
                <w:szCs w:val="20"/>
              </w:rPr>
            </w:pPr>
            <w:r>
              <w:rPr>
                <w:rFonts w:ascii="Arial" w:hAnsi="Arial" w:cs="Arial"/>
                <w:sz w:val="20"/>
                <w:szCs w:val="20"/>
              </w:rPr>
              <w:t xml:space="preserve"> </w:t>
            </w:r>
          </w:p>
          <w:p w14:paraId="06C3AD8D" w14:textId="77777777" w:rsidR="00535598" w:rsidRPr="00B66A21" w:rsidRDefault="00535598" w:rsidP="0003476C">
            <w:pPr>
              <w:ind w:right="-720"/>
              <w:rPr>
                <w:rFonts w:ascii="Arial" w:hAnsi="Arial" w:cs="Arial"/>
                <w:sz w:val="20"/>
                <w:szCs w:val="20"/>
              </w:rPr>
            </w:pPr>
          </w:p>
        </w:tc>
      </w:tr>
      <w:tr w:rsidR="00535598" w:rsidRPr="00B66A21" w14:paraId="3B3730CD" w14:textId="77777777" w:rsidTr="00C13753">
        <w:tc>
          <w:tcPr>
            <w:tcW w:w="4158" w:type="dxa"/>
          </w:tcPr>
          <w:p w14:paraId="1656F2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14:paraId="0EA708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14:paraId="65058402"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02A2EA5D" w14:textId="77777777" w:rsidR="00535598" w:rsidRDefault="00535598" w:rsidP="0003476C">
            <w:pPr>
              <w:ind w:right="-720"/>
              <w:rPr>
                <w:rFonts w:ascii="Arial" w:hAnsi="Arial" w:cs="Arial"/>
                <w:sz w:val="20"/>
                <w:szCs w:val="20"/>
              </w:rPr>
            </w:pPr>
          </w:p>
          <w:p w14:paraId="2D2B9C79" w14:textId="77777777" w:rsidR="00535598" w:rsidRPr="00B66A21" w:rsidRDefault="00535598" w:rsidP="0003476C">
            <w:pPr>
              <w:ind w:right="-720"/>
              <w:rPr>
                <w:rFonts w:ascii="Arial" w:hAnsi="Arial" w:cs="Arial"/>
                <w:sz w:val="20"/>
                <w:szCs w:val="20"/>
              </w:rPr>
            </w:pPr>
          </w:p>
        </w:tc>
      </w:tr>
    </w:tbl>
    <w:p w14:paraId="4F67B50C" w14:textId="77777777" w:rsidR="00551D8A" w:rsidRPr="00B66A21" w:rsidRDefault="00551D8A" w:rsidP="00551D8A">
      <w:pPr>
        <w:spacing w:after="0"/>
        <w:ind w:left="-720" w:right="-720"/>
        <w:rPr>
          <w:rFonts w:ascii="Arial" w:hAnsi="Arial" w:cs="Arial"/>
          <w:sz w:val="20"/>
          <w:szCs w:val="20"/>
        </w:rPr>
      </w:pPr>
    </w:p>
    <w:p w14:paraId="2D554428"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F62B44A" w14:textId="77777777" w:rsidR="00743C01" w:rsidRPr="00B66A21" w:rsidRDefault="00BB13ED" w:rsidP="00551D8A">
      <w:pPr>
        <w:spacing w:after="0"/>
        <w:ind w:left="-720" w:right="-720"/>
        <w:rPr>
          <w:rFonts w:ascii="Arial" w:hAnsi="Arial" w:cs="Arial"/>
          <w:sz w:val="20"/>
          <w:szCs w:val="20"/>
        </w:rPr>
      </w:pPr>
      <w:r w:rsidRPr="00BB13ED">
        <w:rPr>
          <w:rFonts w:ascii="Arial" w:hAnsi="Arial" w:cs="Arial"/>
          <w:sz w:val="32"/>
          <w:szCs w:val="32"/>
        </w:rPr>
        <w:sym w:font="Wingdings" w:char="F0FE"/>
      </w:r>
      <w:r w:rsidR="000A720C">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2AB3886D" w14:textId="77777777" w:rsidR="00743C01" w:rsidRPr="00B66A21" w:rsidRDefault="00743C01" w:rsidP="00551D8A">
      <w:pPr>
        <w:spacing w:after="0"/>
        <w:ind w:left="-720" w:right="-720"/>
        <w:rPr>
          <w:rFonts w:ascii="Arial" w:hAnsi="Arial" w:cs="Arial"/>
          <w:sz w:val="20"/>
          <w:szCs w:val="20"/>
        </w:rPr>
      </w:pPr>
    </w:p>
    <w:p w14:paraId="10CF4DC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756952BD" w14:textId="77777777" w:rsidTr="00B66A21">
        <w:tc>
          <w:tcPr>
            <w:tcW w:w="4158" w:type="dxa"/>
            <w:shd w:val="pct15" w:color="auto" w:fill="auto"/>
          </w:tcPr>
          <w:p w14:paraId="4BFE8127"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302AB7C6"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06EE61A7"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114B1A6"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010BD37D" w14:textId="77777777" w:rsidTr="00B66A21">
        <w:tc>
          <w:tcPr>
            <w:tcW w:w="4158" w:type="dxa"/>
          </w:tcPr>
          <w:p w14:paraId="634C209C"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330" w:type="dxa"/>
          </w:tcPr>
          <w:p w14:paraId="353D1145"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420" w:type="dxa"/>
          </w:tcPr>
          <w:p w14:paraId="784E4C63"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p w14:paraId="40CD854D" w14:textId="77777777" w:rsidR="00874EF7" w:rsidRPr="00B66A21" w:rsidRDefault="00874EF7" w:rsidP="00551D8A">
            <w:pPr>
              <w:ind w:right="-720"/>
              <w:rPr>
                <w:rFonts w:ascii="Arial" w:hAnsi="Arial" w:cs="Arial"/>
                <w:sz w:val="20"/>
                <w:szCs w:val="20"/>
              </w:rPr>
            </w:pPr>
          </w:p>
        </w:tc>
      </w:tr>
    </w:tbl>
    <w:p w14:paraId="1EE3EDC0" w14:textId="77777777" w:rsidR="00743C01" w:rsidRDefault="00743C01" w:rsidP="00551D8A">
      <w:pPr>
        <w:spacing w:after="0"/>
        <w:ind w:left="-720" w:right="-720"/>
        <w:rPr>
          <w:rFonts w:ascii="Arial" w:hAnsi="Arial" w:cs="Arial"/>
          <w:sz w:val="20"/>
          <w:szCs w:val="20"/>
        </w:rPr>
      </w:pPr>
    </w:p>
    <w:p w14:paraId="628A602B"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78ADA1C" w14:textId="77777777" w:rsidTr="00B66A21">
        <w:tc>
          <w:tcPr>
            <w:tcW w:w="4158" w:type="dxa"/>
            <w:shd w:val="pct15" w:color="auto" w:fill="auto"/>
          </w:tcPr>
          <w:p w14:paraId="1D0E97C1"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48BB85F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CB4D5CC"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2C2983BF"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1E6A0AA0"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6FD30247"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1074246B" w14:textId="77777777" w:rsidTr="00B66A21">
        <w:tc>
          <w:tcPr>
            <w:tcW w:w="4158" w:type="dxa"/>
          </w:tcPr>
          <w:p w14:paraId="1F9E5BB3" w14:textId="77777777" w:rsidR="00B66A21" w:rsidRPr="00B66A21" w:rsidRDefault="00D3705C" w:rsidP="00547EE3">
            <w:pPr>
              <w:ind w:right="-720"/>
              <w:jc w:val="center"/>
              <w:rPr>
                <w:rFonts w:ascii="Arial" w:hAnsi="Arial" w:cs="Arial"/>
                <w:sz w:val="20"/>
                <w:szCs w:val="20"/>
              </w:rPr>
            </w:pPr>
            <w:r>
              <w:rPr>
                <w:rFonts w:ascii="Arial" w:hAnsi="Arial" w:cs="Arial"/>
                <w:sz w:val="20"/>
                <w:szCs w:val="20"/>
              </w:rPr>
              <w:t xml:space="preserve"> </w:t>
            </w:r>
          </w:p>
        </w:tc>
        <w:tc>
          <w:tcPr>
            <w:tcW w:w="3330" w:type="dxa"/>
          </w:tcPr>
          <w:p w14:paraId="629FD28C"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tc>
        <w:tc>
          <w:tcPr>
            <w:tcW w:w="3420" w:type="dxa"/>
          </w:tcPr>
          <w:p w14:paraId="65862C40"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p w14:paraId="3F95B197" w14:textId="77777777" w:rsidR="00B66A21" w:rsidRPr="00B66A21" w:rsidRDefault="00B66A21" w:rsidP="00874EF7">
            <w:pPr>
              <w:ind w:right="-720"/>
              <w:rPr>
                <w:rFonts w:ascii="Arial" w:hAnsi="Arial" w:cs="Arial"/>
                <w:sz w:val="20"/>
                <w:szCs w:val="20"/>
              </w:rPr>
            </w:pPr>
          </w:p>
        </w:tc>
      </w:tr>
    </w:tbl>
    <w:p w14:paraId="38EE48AC" w14:textId="77777777" w:rsidR="00037FBC" w:rsidRDefault="00037FBC" w:rsidP="00551D8A">
      <w:pPr>
        <w:spacing w:after="0"/>
        <w:ind w:left="-720" w:right="-720"/>
        <w:rPr>
          <w:rFonts w:ascii="Arial" w:hAnsi="Arial" w:cs="Arial"/>
          <w:sz w:val="20"/>
          <w:szCs w:val="20"/>
        </w:rPr>
      </w:pPr>
    </w:p>
    <w:p w14:paraId="084A4D2D"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2FAE345" w14:textId="77777777" w:rsidTr="00601EBD">
        <w:tc>
          <w:tcPr>
            <w:tcW w:w="10908" w:type="dxa"/>
          </w:tcPr>
          <w:p w14:paraId="4D761507" w14:textId="77777777" w:rsidR="00E35E0F" w:rsidRDefault="00E35E0F" w:rsidP="00551D8A">
            <w:pPr>
              <w:ind w:right="-720"/>
              <w:rPr>
                <w:rFonts w:ascii="Arial" w:hAnsi="Arial" w:cs="Arial"/>
                <w:b/>
                <w:sz w:val="20"/>
                <w:szCs w:val="20"/>
              </w:rPr>
            </w:pPr>
          </w:p>
          <w:p w14:paraId="7E12CC16" w14:textId="77777777" w:rsidR="00601EBD" w:rsidRDefault="00601EBD" w:rsidP="00D3705C">
            <w:pPr>
              <w:ind w:right="5"/>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4EEA37B2" w14:textId="77777777" w:rsidR="00BA622C" w:rsidRDefault="00BA622C" w:rsidP="00D3705C">
            <w:pPr>
              <w:ind w:right="5"/>
              <w:rPr>
                <w:rFonts w:ascii="Arial" w:hAnsi="Arial" w:cs="Arial"/>
                <w:sz w:val="20"/>
                <w:szCs w:val="20"/>
              </w:rPr>
            </w:pPr>
          </w:p>
          <w:p w14:paraId="29576C45" w14:textId="77777777" w:rsidR="00BA622C" w:rsidRDefault="00BA622C" w:rsidP="00D3705C">
            <w:pPr>
              <w:ind w:right="5"/>
              <w:rPr>
                <w:rFonts w:ascii="Arial" w:hAnsi="Arial" w:cs="Arial"/>
                <w:sz w:val="20"/>
                <w:szCs w:val="20"/>
              </w:rPr>
            </w:pPr>
            <w:r w:rsidRPr="00BA622C">
              <w:rPr>
                <w:rFonts w:ascii="Arial" w:hAnsi="Arial" w:cs="Arial"/>
                <w:sz w:val="20"/>
                <w:szCs w:val="20"/>
              </w:rPr>
              <w:t>The Federal Highway Administration established an Inter-Agency Agreement (IAA) with the Department of Energy’s (DOE) Argonne National Laboratory (ANL) Transportation Analysis Research Computing Center (TRACC) to get access and support for High Performance Computational Fluid Dynamics (CFD) modeling for highway hydraulics research conducted at the Turner-Fairbank Highway Research Center (TFHRC) Hydraulics Laboratory. TRACC was established in October 2006 to serve as a high-performance computing center for use by U.S. Department of Transportation (USDOT) research teams, including those from Argonne and their university partners. The objective of this cooperative project is to</w:t>
            </w:r>
            <w:r>
              <w:rPr>
                <w:rFonts w:ascii="Arial" w:hAnsi="Arial" w:cs="Arial"/>
                <w:sz w:val="20"/>
                <w:szCs w:val="20"/>
              </w:rPr>
              <w:t>:</w:t>
            </w:r>
          </w:p>
          <w:p w14:paraId="6DC7E2F9" w14:textId="77777777" w:rsidR="00BA622C" w:rsidRDefault="00BA622C" w:rsidP="00D3705C">
            <w:pPr>
              <w:ind w:right="5"/>
              <w:rPr>
                <w:rFonts w:ascii="Arial" w:hAnsi="Arial" w:cs="Arial"/>
                <w:sz w:val="20"/>
                <w:szCs w:val="20"/>
              </w:rPr>
            </w:pPr>
          </w:p>
          <w:p w14:paraId="3EA31C1A" w14:textId="77777777" w:rsidR="00BA622C" w:rsidRDefault="00BA622C" w:rsidP="00D3705C">
            <w:pPr>
              <w:pStyle w:val="ListParagraph"/>
              <w:numPr>
                <w:ilvl w:val="0"/>
                <w:numId w:val="1"/>
              </w:numPr>
              <w:ind w:right="5"/>
              <w:rPr>
                <w:rFonts w:ascii="Arial" w:hAnsi="Arial" w:cs="Arial"/>
                <w:sz w:val="20"/>
                <w:szCs w:val="20"/>
              </w:rPr>
            </w:pPr>
            <w:r w:rsidRPr="00BA622C">
              <w:rPr>
                <w:rFonts w:ascii="Arial" w:hAnsi="Arial" w:cs="Arial"/>
                <w:sz w:val="20"/>
                <w:szCs w:val="20"/>
              </w:rPr>
              <w:t>Provide research and analysis for a variety of highway hydraulics projects manage</w:t>
            </w:r>
            <w:r w:rsidR="00CF54CD">
              <w:rPr>
                <w:rFonts w:ascii="Arial" w:hAnsi="Arial" w:cs="Arial"/>
                <w:sz w:val="20"/>
                <w:szCs w:val="20"/>
              </w:rPr>
              <w:t>d or coordinated by State DOTs.</w:t>
            </w:r>
          </w:p>
          <w:p w14:paraId="7D392419" w14:textId="77777777" w:rsidR="00BA622C" w:rsidRDefault="00BA622C" w:rsidP="00D3705C">
            <w:pPr>
              <w:pStyle w:val="ListParagraph"/>
              <w:numPr>
                <w:ilvl w:val="0"/>
                <w:numId w:val="1"/>
              </w:numPr>
              <w:ind w:right="5"/>
              <w:rPr>
                <w:rFonts w:ascii="Arial" w:hAnsi="Arial" w:cs="Arial"/>
                <w:sz w:val="20"/>
                <w:szCs w:val="20"/>
              </w:rPr>
            </w:pPr>
            <w:r w:rsidRPr="00BA622C">
              <w:rPr>
                <w:rFonts w:ascii="Arial" w:hAnsi="Arial" w:cs="Arial"/>
                <w:sz w:val="20"/>
                <w:szCs w:val="20"/>
              </w:rPr>
              <w:t>Provide and maintain a high performance Computational Fluid Dynamics (CFD) computing environment for application to highway hydraulics infrastructure and related projects</w:t>
            </w:r>
          </w:p>
          <w:p w14:paraId="3D39C52A" w14:textId="77777777" w:rsidR="00BA622C" w:rsidRDefault="00BA622C" w:rsidP="00D3705C">
            <w:pPr>
              <w:pStyle w:val="ListParagraph"/>
              <w:numPr>
                <w:ilvl w:val="0"/>
                <w:numId w:val="1"/>
              </w:numPr>
              <w:ind w:right="5"/>
              <w:rPr>
                <w:rFonts w:ascii="Arial" w:hAnsi="Arial" w:cs="Arial"/>
                <w:sz w:val="20"/>
                <w:szCs w:val="20"/>
              </w:rPr>
            </w:pPr>
            <w:r w:rsidRPr="00BA622C">
              <w:rPr>
                <w:rFonts w:ascii="Arial" w:hAnsi="Arial" w:cs="Arial"/>
                <w:sz w:val="20"/>
                <w:szCs w:val="20"/>
              </w:rPr>
              <w:t>Support and seek to broaden the use of CFD among State Department of Transportation employees.</w:t>
            </w:r>
          </w:p>
          <w:p w14:paraId="1A31F99C" w14:textId="77777777" w:rsidR="00BA622C" w:rsidRDefault="00BA622C" w:rsidP="00D3705C">
            <w:pPr>
              <w:ind w:right="5"/>
              <w:rPr>
                <w:rFonts w:ascii="Arial" w:hAnsi="Arial" w:cs="Arial"/>
                <w:sz w:val="20"/>
                <w:szCs w:val="20"/>
              </w:rPr>
            </w:pPr>
          </w:p>
          <w:p w14:paraId="2A38A04E" w14:textId="77777777" w:rsidR="00BA622C" w:rsidRDefault="00BA622C" w:rsidP="00D3705C">
            <w:pPr>
              <w:ind w:right="5"/>
              <w:rPr>
                <w:rFonts w:ascii="Arial" w:hAnsi="Arial" w:cs="Arial"/>
                <w:sz w:val="20"/>
                <w:szCs w:val="20"/>
              </w:rPr>
            </w:pPr>
            <w:r>
              <w:rPr>
                <w:rFonts w:ascii="Arial" w:hAnsi="Arial" w:cs="Arial"/>
                <w:sz w:val="20"/>
                <w:szCs w:val="20"/>
              </w:rPr>
              <w:t>The work includes:</w:t>
            </w:r>
          </w:p>
          <w:p w14:paraId="71DA9F02" w14:textId="77777777" w:rsidR="00BA622C" w:rsidRDefault="00BA622C" w:rsidP="00D3705C">
            <w:pPr>
              <w:ind w:right="5"/>
              <w:rPr>
                <w:rFonts w:ascii="Arial" w:hAnsi="Arial" w:cs="Arial"/>
                <w:sz w:val="20"/>
                <w:szCs w:val="20"/>
              </w:rPr>
            </w:pPr>
          </w:p>
          <w:p w14:paraId="505243A4" w14:textId="77777777" w:rsidR="00BA622C" w:rsidRDefault="00BA622C" w:rsidP="00D3705C">
            <w:pPr>
              <w:pStyle w:val="ListParagraph"/>
              <w:numPr>
                <w:ilvl w:val="0"/>
                <w:numId w:val="2"/>
              </w:numPr>
              <w:ind w:right="5"/>
              <w:rPr>
                <w:rFonts w:ascii="Arial" w:hAnsi="Arial" w:cs="Arial"/>
                <w:sz w:val="20"/>
                <w:szCs w:val="20"/>
              </w:rPr>
            </w:pPr>
            <w:r w:rsidRPr="00BA622C">
              <w:rPr>
                <w:rFonts w:ascii="Arial" w:hAnsi="Arial" w:cs="Arial"/>
                <w:sz w:val="20"/>
                <w:szCs w:val="20"/>
              </w:rPr>
              <w:t>Computational Mechanics Research on a Variety of Projects: The TRACC scientific staff in the computational mechanics focus area will perform research, analysis, and parametric computations as required for projects managed or coordinated by State DOTs.</w:t>
            </w:r>
          </w:p>
          <w:p w14:paraId="54FDDF93" w14:textId="77777777" w:rsidR="00BA622C" w:rsidRDefault="00BA622C" w:rsidP="00D3705C">
            <w:pPr>
              <w:pStyle w:val="ListParagraph"/>
              <w:numPr>
                <w:ilvl w:val="0"/>
                <w:numId w:val="2"/>
              </w:numPr>
              <w:ind w:right="5"/>
              <w:rPr>
                <w:rFonts w:ascii="Arial" w:hAnsi="Arial" w:cs="Arial"/>
                <w:sz w:val="20"/>
                <w:szCs w:val="20"/>
              </w:rPr>
            </w:pPr>
            <w:r w:rsidRPr="00BA622C">
              <w:rPr>
                <w:rFonts w:ascii="Arial" w:hAnsi="Arial" w:cs="Arial"/>
                <w:sz w:val="20"/>
                <w:szCs w:val="20"/>
              </w:rPr>
              <w:t>Computational Mechanics Research Support: The TRACC support team consisting of highly qualified engineers in the CFD focus areas will provide guidance to users of CFD software on an as needed or periodic basis determined by the State DOTs.</w:t>
            </w:r>
          </w:p>
          <w:p w14:paraId="20B887DE" w14:textId="77777777" w:rsidR="00BA622C" w:rsidRDefault="00BA622C" w:rsidP="00D3705C">
            <w:pPr>
              <w:pStyle w:val="ListParagraph"/>
              <w:numPr>
                <w:ilvl w:val="0"/>
                <w:numId w:val="2"/>
              </w:numPr>
              <w:ind w:right="5"/>
              <w:rPr>
                <w:rFonts w:ascii="Arial" w:hAnsi="Arial" w:cs="Arial"/>
                <w:sz w:val="20"/>
                <w:szCs w:val="20"/>
              </w:rPr>
            </w:pPr>
            <w:r w:rsidRPr="00BA622C">
              <w:rPr>
                <w:rFonts w:ascii="Arial" w:hAnsi="Arial" w:cs="Arial"/>
                <w:sz w:val="20"/>
                <w:szCs w:val="20"/>
              </w:rPr>
              <w:t>Computing Support: The TRACC team will use the TRACC clusters for work done on projects; The TRACC system administrator will maintain the clusters and work closely with the Argonne system administrator’s community; The TRACC system administrator will also install the latest versions of the STAR-CCM+ CFD software and other software that may be required for accomplishing projects.</w:t>
            </w:r>
          </w:p>
          <w:p w14:paraId="6FCB4F1B" w14:textId="77777777" w:rsidR="00BA622C" w:rsidRPr="00BA622C" w:rsidRDefault="00BA622C" w:rsidP="00D3705C">
            <w:pPr>
              <w:pStyle w:val="ListParagraph"/>
              <w:ind w:right="5"/>
              <w:rPr>
                <w:rFonts w:ascii="Arial" w:hAnsi="Arial" w:cs="Arial"/>
                <w:sz w:val="20"/>
                <w:szCs w:val="20"/>
              </w:rPr>
            </w:pPr>
          </w:p>
          <w:p w14:paraId="0B6B96CE" w14:textId="77777777" w:rsidR="00601EBD" w:rsidRDefault="00601EBD" w:rsidP="00D3705C">
            <w:pPr>
              <w:ind w:right="5"/>
              <w:rPr>
                <w:rFonts w:ascii="Arial" w:hAnsi="Arial" w:cs="Arial"/>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A720C" w:rsidRPr="000A720C" w14:paraId="45F6283F" w14:textId="77777777" w:rsidTr="00BA622C">
              <w:trPr>
                <w:tblCellSpacing w:w="15" w:type="dxa"/>
              </w:trPr>
              <w:tc>
                <w:tcPr>
                  <w:tcW w:w="0" w:type="auto"/>
                  <w:vAlign w:val="center"/>
                </w:tcPr>
                <w:p w14:paraId="1C53430D" w14:textId="77777777" w:rsidR="000A720C" w:rsidRPr="000A720C" w:rsidRDefault="000A720C" w:rsidP="00D3705C">
                  <w:pPr>
                    <w:spacing w:after="240" w:line="240" w:lineRule="auto"/>
                    <w:ind w:right="5"/>
                    <w:rPr>
                      <w:rFonts w:ascii="Arial" w:eastAsia="Times New Roman" w:hAnsi="Arial" w:cs="Arial"/>
                      <w:sz w:val="20"/>
                      <w:szCs w:val="20"/>
                    </w:rPr>
                  </w:pPr>
                </w:p>
              </w:tc>
            </w:tr>
            <w:tr w:rsidR="000A720C" w:rsidRPr="000A720C" w14:paraId="33CC921F" w14:textId="77777777" w:rsidTr="00BA622C">
              <w:trPr>
                <w:tblCellSpacing w:w="15" w:type="dxa"/>
              </w:trPr>
              <w:tc>
                <w:tcPr>
                  <w:tcW w:w="0" w:type="auto"/>
                  <w:vAlign w:val="center"/>
                </w:tcPr>
                <w:p w14:paraId="271C2E2E" w14:textId="77777777" w:rsidR="000A720C" w:rsidRPr="000A720C" w:rsidRDefault="000A720C" w:rsidP="000A720C">
                  <w:pPr>
                    <w:spacing w:after="0" w:line="240" w:lineRule="auto"/>
                    <w:rPr>
                      <w:rFonts w:ascii="Arial" w:eastAsia="Times New Roman" w:hAnsi="Arial" w:cs="Arial"/>
                      <w:sz w:val="20"/>
                      <w:szCs w:val="20"/>
                    </w:rPr>
                  </w:pPr>
                </w:p>
              </w:tc>
            </w:tr>
            <w:tr w:rsidR="000A720C" w:rsidRPr="000A720C" w14:paraId="47F6EC41" w14:textId="77777777" w:rsidTr="00BA622C">
              <w:trPr>
                <w:tblCellSpacing w:w="15" w:type="dxa"/>
              </w:trPr>
              <w:tc>
                <w:tcPr>
                  <w:tcW w:w="0" w:type="auto"/>
                  <w:vAlign w:val="center"/>
                </w:tcPr>
                <w:p w14:paraId="39E7645D" w14:textId="77777777" w:rsidR="000A720C" w:rsidRPr="000A720C" w:rsidRDefault="000A720C" w:rsidP="000A720C">
                  <w:pPr>
                    <w:spacing w:after="0" w:line="240" w:lineRule="auto"/>
                    <w:rPr>
                      <w:rFonts w:ascii="Arial" w:eastAsia="Times New Roman" w:hAnsi="Arial" w:cs="Arial"/>
                      <w:sz w:val="20"/>
                      <w:szCs w:val="20"/>
                    </w:rPr>
                  </w:pPr>
                </w:p>
              </w:tc>
            </w:tr>
          </w:tbl>
          <w:p w14:paraId="0076C6AD" w14:textId="77777777" w:rsidR="00601EBD" w:rsidRDefault="00601EBD" w:rsidP="00551D8A">
            <w:pPr>
              <w:ind w:right="-720"/>
              <w:rPr>
                <w:rFonts w:ascii="Arial" w:hAnsi="Arial" w:cs="Arial"/>
                <w:sz w:val="20"/>
                <w:szCs w:val="20"/>
              </w:rPr>
            </w:pPr>
          </w:p>
        </w:tc>
      </w:tr>
    </w:tbl>
    <w:p w14:paraId="233E314D" w14:textId="77777777" w:rsidR="00037FBC" w:rsidRDefault="00037FBC" w:rsidP="00551D8A">
      <w:pPr>
        <w:spacing w:after="0"/>
        <w:ind w:left="-720" w:right="-720"/>
        <w:rPr>
          <w:rFonts w:ascii="Arial" w:hAnsi="Arial" w:cs="Arial"/>
          <w:sz w:val="20"/>
          <w:szCs w:val="20"/>
        </w:rPr>
      </w:pPr>
    </w:p>
    <w:p w14:paraId="0EEB3988" w14:textId="77777777" w:rsidR="00C82DD9" w:rsidRDefault="00C82DD9" w:rsidP="001D150C">
      <w:pPr>
        <w:spacing w:after="0"/>
        <w:ind w:right="-720"/>
        <w:rPr>
          <w:rFonts w:ascii="Arial" w:hAnsi="Arial" w:cs="Arial"/>
          <w:sz w:val="20"/>
          <w:szCs w:val="20"/>
        </w:rPr>
      </w:pPr>
    </w:p>
    <w:p w14:paraId="0F8FB203" w14:textId="77777777" w:rsidR="001D150C" w:rsidRDefault="001D150C" w:rsidP="001D150C">
      <w:pPr>
        <w:spacing w:after="0"/>
        <w:ind w:right="-720"/>
        <w:rPr>
          <w:rFonts w:ascii="Arial" w:hAnsi="Arial" w:cs="Arial"/>
          <w:sz w:val="20"/>
          <w:szCs w:val="20"/>
        </w:rPr>
      </w:pPr>
    </w:p>
    <w:p w14:paraId="1A3F6402" w14:textId="77777777" w:rsidR="00C82DD9" w:rsidRDefault="00C82DD9"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1168"/>
      </w:tblGrid>
      <w:tr w:rsidR="00601EBD" w14:paraId="7130F215" w14:textId="77777777" w:rsidTr="7F0EB5DF">
        <w:tc>
          <w:tcPr>
            <w:tcW w:w="10908" w:type="dxa"/>
          </w:tcPr>
          <w:p w14:paraId="12C98031" w14:textId="77777777" w:rsidR="00E35E0F" w:rsidRPr="00C82DD9" w:rsidRDefault="00E35E0F" w:rsidP="00652DC0">
            <w:pPr>
              <w:ind w:right="5"/>
              <w:rPr>
                <w:rFonts w:ascii="Arial" w:hAnsi="Arial" w:cs="Arial"/>
                <w:b/>
                <w:sz w:val="20"/>
                <w:szCs w:val="20"/>
              </w:rPr>
            </w:pPr>
          </w:p>
          <w:p w14:paraId="667854E6" w14:textId="77777777" w:rsidR="00601EBD" w:rsidRPr="00C82DD9" w:rsidRDefault="00601EBD" w:rsidP="00652DC0">
            <w:pPr>
              <w:ind w:right="5"/>
              <w:rPr>
                <w:rFonts w:ascii="Arial" w:hAnsi="Arial" w:cs="Arial"/>
                <w:sz w:val="20"/>
                <w:szCs w:val="20"/>
              </w:rPr>
            </w:pPr>
            <w:r w:rsidRPr="00C82DD9">
              <w:rPr>
                <w:rFonts w:ascii="Arial" w:hAnsi="Arial" w:cs="Arial"/>
                <w:b/>
                <w:sz w:val="20"/>
                <w:szCs w:val="20"/>
              </w:rPr>
              <w:t>Progress this Quarter (includes meetings, work plan status, contract status, significant progress, etc.):</w:t>
            </w:r>
          </w:p>
          <w:p w14:paraId="7095062E" w14:textId="77777777" w:rsidR="00601EBD" w:rsidRPr="00C82DD9" w:rsidRDefault="00601EBD" w:rsidP="00652DC0">
            <w:pPr>
              <w:ind w:right="5"/>
              <w:rPr>
                <w:rFonts w:ascii="Arial" w:hAnsi="Arial" w:cs="Arial"/>
                <w:sz w:val="20"/>
                <w:szCs w:val="20"/>
              </w:rPr>
            </w:pPr>
          </w:p>
          <w:p w14:paraId="4E0018FA" w14:textId="77777777" w:rsidR="00601EBD" w:rsidRPr="001D150C" w:rsidRDefault="00427459" w:rsidP="00652DC0">
            <w:pPr>
              <w:ind w:right="5"/>
              <w:rPr>
                <w:rFonts w:ascii="Arial" w:eastAsia="Times New Roman" w:hAnsi="Arial" w:cs="Arial"/>
                <w:b/>
                <w:sz w:val="20"/>
                <w:szCs w:val="20"/>
              </w:rPr>
            </w:pPr>
            <w:r w:rsidRPr="00C82DD9">
              <w:rPr>
                <w:rFonts w:ascii="Arial" w:eastAsia="Times New Roman" w:hAnsi="Arial" w:cs="Arial"/>
                <w:b/>
                <w:sz w:val="20"/>
                <w:szCs w:val="20"/>
              </w:rPr>
              <w:t xml:space="preserve">1: </w:t>
            </w:r>
            <w:r w:rsidRPr="001D150C">
              <w:rPr>
                <w:rFonts w:ascii="Arial" w:eastAsia="Times New Roman" w:hAnsi="Arial" w:cs="Arial"/>
                <w:b/>
                <w:sz w:val="20"/>
                <w:szCs w:val="20"/>
              </w:rPr>
              <w:t>Computational Mechanics Research on a Variety of Projects</w:t>
            </w:r>
          </w:p>
          <w:p w14:paraId="08CA6479" w14:textId="77777777" w:rsidR="00601EBD" w:rsidRPr="0021293D" w:rsidRDefault="001D150C" w:rsidP="00652DC0">
            <w:pPr>
              <w:ind w:right="5"/>
              <w:rPr>
                <w:rFonts w:ascii="Arial" w:eastAsia="Times New Roman" w:hAnsi="Arial" w:cs="Arial"/>
                <w:b/>
                <w:sz w:val="20"/>
                <w:szCs w:val="20"/>
              </w:rPr>
            </w:pPr>
            <w:r w:rsidRPr="0021293D">
              <w:rPr>
                <w:rFonts w:ascii="Arial" w:eastAsia="Times New Roman" w:hAnsi="Arial" w:cs="Arial"/>
                <w:b/>
                <w:sz w:val="20"/>
                <w:szCs w:val="20"/>
              </w:rPr>
              <w:t>1.1: CFD-DEM Onset of Motion Analysis for Application to Bed Scour Risk Assessment</w:t>
            </w:r>
          </w:p>
          <w:p w14:paraId="7E10F037" w14:textId="77777777" w:rsidR="001D150C" w:rsidRDefault="001D150C" w:rsidP="00652DC0">
            <w:pPr>
              <w:ind w:right="5"/>
              <w:rPr>
                <w:rFonts w:ascii="Arial" w:eastAsia="Times New Roman" w:hAnsi="Arial" w:cs="Arial"/>
                <w:sz w:val="20"/>
                <w:szCs w:val="20"/>
              </w:rPr>
            </w:pPr>
            <w:r w:rsidRPr="001D150C">
              <w:rPr>
                <w:rFonts w:ascii="Arial" w:eastAsia="Times New Roman" w:hAnsi="Arial" w:cs="Arial"/>
                <w:sz w:val="20"/>
                <w:szCs w:val="20"/>
              </w:rPr>
              <w:t>This study was done as a part of the FHWA’s effort to improve scour design procedures</w:t>
            </w:r>
            <w:r>
              <w:rPr>
                <w:rFonts w:ascii="Arial" w:eastAsia="Times New Roman" w:hAnsi="Arial" w:cs="Arial"/>
                <w:sz w:val="20"/>
                <w:szCs w:val="20"/>
              </w:rPr>
              <w:t xml:space="preserve">. </w:t>
            </w:r>
            <w:r w:rsidRPr="001D150C">
              <w:rPr>
                <w:rFonts w:ascii="Arial" w:eastAsia="Times New Roman" w:hAnsi="Arial" w:cs="Arial"/>
                <w:sz w:val="20"/>
                <w:szCs w:val="20"/>
              </w:rPr>
              <w:t>The Computational Fluid Dynamics-Discrete</w:t>
            </w:r>
            <w:r>
              <w:rPr>
                <w:rFonts w:ascii="Arial" w:eastAsia="Times New Roman" w:hAnsi="Arial" w:cs="Arial"/>
                <w:sz w:val="20"/>
                <w:szCs w:val="20"/>
              </w:rPr>
              <w:t xml:space="preserve"> Element Method (CFD-DEM) model</w:t>
            </w:r>
            <w:r w:rsidRPr="001D150C">
              <w:rPr>
                <w:rFonts w:ascii="Arial" w:eastAsia="Times New Roman" w:hAnsi="Arial" w:cs="Arial"/>
                <w:sz w:val="20"/>
                <w:szCs w:val="20"/>
              </w:rPr>
              <w:t xml:space="preserve"> was used to model separate sediment grains and spherical particles laying on the bed with the aim to analyze their movement due to flow conditions. Critical shear stress causing the inc</w:t>
            </w:r>
            <w:r>
              <w:rPr>
                <w:rFonts w:ascii="Arial" w:eastAsia="Times New Roman" w:hAnsi="Arial" w:cs="Arial"/>
                <w:sz w:val="20"/>
                <w:szCs w:val="20"/>
              </w:rPr>
              <w:t xml:space="preserve">ipient movement of the sediment around a cylindrical pier </w:t>
            </w:r>
            <w:r w:rsidRPr="001D150C">
              <w:rPr>
                <w:rFonts w:ascii="Arial" w:eastAsia="Times New Roman" w:hAnsi="Arial" w:cs="Arial"/>
                <w:sz w:val="20"/>
                <w:szCs w:val="20"/>
              </w:rPr>
              <w:t xml:space="preserve">was </w:t>
            </w:r>
            <w:r w:rsidR="00CF54CD">
              <w:rPr>
                <w:rFonts w:ascii="Arial" w:eastAsia="Times New Roman" w:hAnsi="Arial" w:cs="Arial"/>
                <w:sz w:val="20"/>
                <w:szCs w:val="20"/>
              </w:rPr>
              <w:t>determined from advanced DEM simulations</w:t>
            </w:r>
            <w:r w:rsidRPr="001D150C">
              <w:rPr>
                <w:rFonts w:ascii="Arial" w:eastAsia="Times New Roman" w:hAnsi="Arial" w:cs="Arial"/>
                <w:sz w:val="20"/>
                <w:szCs w:val="20"/>
              </w:rPr>
              <w:t xml:space="preserve"> and compared to the available experimental data. Various depths of the scoured bed and flow conditions were taken into account to gain a better understanding of the erosion forces existing around bridge foundations. The decay of these forces with increasing scour depth was quantified with a ‘decay function’, which shows that particles become increasingly less likely to be set in motion by flow forces as a scour hole increases in depth. </w:t>
            </w:r>
          </w:p>
          <w:tbl>
            <w:tblPr>
              <w:tblStyle w:val="TableGrid"/>
              <w:tblW w:w="0" w:type="auto"/>
              <w:tblInd w:w="2042" w:type="dxa"/>
              <w:tblLook w:val="04A0" w:firstRow="1" w:lastRow="0" w:firstColumn="1" w:lastColumn="0" w:noHBand="0" w:noVBand="1"/>
            </w:tblPr>
            <w:tblGrid>
              <w:gridCol w:w="6971"/>
            </w:tblGrid>
            <w:tr w:rsidR="009E6837" w14:paraId="15D60B95" w14:textId="77777777" w:rsidTr="00A905A3">
              <w:tc>
                <w:tcPr>
                  <w:tcW w:w="6971" w:type="dxa"/>
                </w:tcPr>
                <w:p w14:paraId="372A452E" w14:textId="77777777" w:rsidR="009E6837" w:rsidRDefault="009E6837" w:rsidP="00A905A3">
                  <w:pPr>
                    <w:ind w:right="5"/>
                    <w:rPr>
                      <w:rFonts w:ascii="Arial" w:eastAsia="Times New Roman" w:hAnsi="Arial" w:cs="Arial"/>
                      <w:sz w:val="20"/>
                      <w:szCs w:val="20"/>
                    </w:rPr>
                  </w:pPr>
                  <w:r>
                    <w:rPr>
                      <w:rFonts w:ascii="Arial" w:eastAsia="Times New Roman" w:hAnsi="Arial" w:cs="Arial"/>
                      <w:sz w:val="20"/>
                      <w:szCs w:val="20"/>
                    </w:rPr>
                    <w:lastRenderedPageBreak/>
                    <w:t>(a)</w:t>
                  </w:r>
                  <w:r w:rsidR="00A905A3">
                    <w:rPr>
                      <w:rFonts w:ascii="Arial" w:eastAsia="Times New Roman" w:hAnsi="Arial" w:cs="Arial"/>
                      <w:sz w:val="20"/>
                      <w:szCs w:val="20"/>
                    </w:rPr>
                    <w:t xml:space="preserve"> </w:t>
                  </w:r>
                  <w:r>
                    <w:rPr>
                      <w:noProof/>
                    </w:rPr>
                    <w:drawing>
                      <wp:inline distT="0" distB="0" distL="0" distR="0" wp14:anchorId="45949501" wp14:editId="75A5A320">
                        <wp:extent cx="4114800" cy="2277208"/>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125747" cy="2283266"/>
                                </a:xfrm>
                                <a:prstGeom prst="rect">
                                  <a:avLst/>
                                </a:prstGeom>
                              </pic:spPr>
                            </pic:pic>
                          </a:graphicData>
                        </a:graphic>
                      </wp:inline>
                    </w:drawing>
                  </w:r>
                </w:p>
              </w:tc>
            </w:tr>
            <w:tr w:rsidR="009E6837" w14:paraId="296414B1" w14:textId="77777777" w:rsidTr="00A905A3">
              <w:tc>
                <w:tcPr>
                  <w:tcW w:w="6971" w:type="dxa"/>
                </w:tcPr>
                <w:p w14:paraId="17761908" w14:textId="77777777" w:rsidR="009E6837" w:rsidRDefault="009E6837" w:rsidP="00A905A3">
                  <w:pPr>
                    <w:ind w:right="5"/>
                    <w:rPr>
                      <w:rFonts w:ascii="Arial" w:eastAsia="Times New Roman" w:hAnsi="Arial" w:cs="Arial"/>
                      <w:sz w:val="20"/>
                      <w:szCs w:val="20"/>
                    </w:rPr>
                  </w:pPr>
                  <w:r>
                    <w:rPr>
                      <w:rFonts w:ascii="Arial" w:eastAsia="Times New Roman" w:hAnsi="Arial" w:cs="Arial"/>
                      <w:sz w:val="20"/>
                      <w:szCs w:val="20"/>
                    </w:rPr>
                    <w:t>(b)</w:t>
                  </w:r>
                  <w:r w:rsidR="00A905A3">
                    <w:rPr>
                      <w:rFonts w:ascii="Arial" w:eastAsia="Times New Roman" w:hAnsi="Arial" w:cs="Arial"/>
                      <w:sz w:val="20"/>
                      <w:szCs w:val="20"/>
                    </w:rPr>
                    <w:t xml:space="preserve"> </w:t>
                  </w:r>
                  <w:r>
                    <w:rPr>
                      <w:noProof/>
                    </w:rPr>
                    <w:drawing>
                      <wp:inline distT="0" distB="0" distL="0" distR="0" wp14:anchorId="4D01FE63" wp14:editId="60FFE60F">
                        <wp:extent cx="4114800" cy="2279406"/>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22858" cy="2283870"/>
                                </a:xfrm>
                                <a:prstGeom prst="rect">
                                  <a:avLst/>
                                </a:prstGeom>
                              </pic:spPr>
                            </pic:pic>
                          </a:graphicData>
                        </a:graphic>
                      </wp:inline>
                    </w:drawing>
                  </w:r>
                </w:p>
              </w:tc>
            </w:tr>
          </w:tbl>
          <w:p w14:paraId="311C0AC6" w14:textId="77777777" w:rsidR="009E6837" w:rsidRDefault="009E6837" w:rsidP="00652DC0">
            <w:pPr>
              <w:ind w:right="5"/>
              <w:rPr>
                <w:rFonts w:ascii="Arial" w:eastAsia="Times New Roman" w:hAnsi="Arial" w:cs="Arial"/>
                <w:sz w:val="20"/>
                <w:szCs w:val="20"/>
              </w:rPr>
            </w:pPr>
            <w:r>
              <w:rPr>
                <w:rFonts w:ascii="Arial" w:eastAsia="Times New Roman" w:hAnsi="Arial" w:cs="Arial"/>
                <w:sz w:val="20"/>
                <w:szCs w:val="20"/>
              </w:rPr>
              <w:t xml:space="preserve">Figure 1. Particles of different densities were placed on a rough bed at chosen locations around a circular pier. </w:t>
            </w:r>
            <w:r w:rsidR="00CF54CD">
              <w:rPr>
                <w:rFonts w:ascii="Arial" w:eastAsia="Times New Roman" w:hAnsi="Arial" w:cs="Arial"/>
                <w:sz w:val="20"/>
                <w:szCs w:val="20"/>
              </w:rPr>
              <w:t>The particles were</w:t>
            </w:r>
            <w:r>
              <w:rPr>
                <w:rFonts w:ascii="Arial" w:eastAsia="Times New Roman" w:hAnsi="Arial" w:cs="Arial"/>
                <w:sz w:val="20"/>
                <w:szCs w:val="20"/>
              </w:rPr>
              <w:t xml:space="preserve"> monitored</w:t>
            </w:r>
            <w:r w:rsidR="00CF54CD">
              <w:rPr>
                <w:rFonts w:ascii="Arial" w:eastAsia="Times New Roman" w:hAnsi="Arial" w:cs="Arial"/>
                <w:sz w:val="20"/>
                <w:szCs w:val="20"/>
              </w:rPr>
              <w:t xml:space="preserve"> to see</w:t>
            </w:r>
            <w:r>
              <w:rPr>
                <w:rFonts w:ascii="Arial" w:eastAsia="Times New Roman" w:hAnsi="Arial" w:cs="Arial"/>
                <w:sz w:val="20"/>
                <w:szCs w:val="20"/>
              </w:rPr>
              <w:t xml:space="preserve"> which of them would move due to the flow forces and which would stay</w:t>
            </w:r>
            <w:r w:rsidR="00CF54CD">
              <w:rPr>
                <w:rFonts w:ascii="Arial" w:eastAsia="Times New Roman" w:hAnsi="Arial" w:cs="Arial"/>
                <w:sz w:val="20"/>
                <w:szCs w:val="20"/>
              </w:rPr>
              <w:t xml:space="preserve"> in the start position</w:t>
            </w:r>
            <w:r>
              <w:rPr>
                <w:rFonts w:ascii="Arial" w:eastAsia="Times New Roman" w:hAnsi="Arial" w:cs="Arial"/>
                <w:sz w:val="20"/>
                <w:szCs w:val="20"/>
              </w:rPr>
              <w:t xml:space="preserve">. Figure 1(a) shows the positions at the beginning of a simulation, Figure 1(b) shows the locations after 0.184 sec of simulation time. Limit values of densities were established for a set of scour </w:t>
            </w:r>
            <w:proofErr w:type="gramStart"/>
            <w:r>
              <w:rPr>
                <w:rFonts w:ascii="Arial" w:eastAsia="Times New Roman" w:hAnsi="Arial" w:cs="Arial"/>
                <w:sz w:val="20"/>
                <w:szCs w:val="20"/>
              </w:rPr>
              <w:t>hole</w:t>
            </w:r>
            <w:proofErr w:type="gramEnd"/>
            <w:r>
              <w:rPr>
                <w:rFonts w:ascii="Arial" w:eastAsia="Times New Roman" w:hAnsi="Arial" w:cs="Arial"/>
                <w:sz w:val="20"/>
                <w:szCs w:val="20"/>
              </w:rPr>
              <w:t xml:space="preserve"> depths. </w:t>
            </w:r>
          </w:p>
          <w:p w14:paraId="23E74411" w14:textId="77777777" w:rsidR="00551030" w:rsidRDefault="00551030" w:rsidP="00652DC0">
            <w:pPr>
              <w:ind w:right="5"/>
              <w:rPr>
                <w:rFonts w:ascii="Arial" w:eastAsia="Times New Roman" w:hAnsi="Arial" w:cs="Arial"/>
                <w:sz w:val="20"/>
                <w:szCs w:val="20"/>
              </w:rPr>
            </w:pPr>
          </w:p>
          <w:tbl>
            <w:tblPr>
              <w:tblStyle w:val="TableGrid"/>
              <w:tblW w:w="0" w:type="auto"/>
              <w:tblLook w:val="04A0" w:firstRow="1" w:lastRow="0" w:firstColumn="1" w:lastColumn="0" w:noHBand="0" w:noVBand="1"/>
            </w:tblPr>
            <w:tblGrid>
              <w:gridCol w:w="5341"/>
              <w:gridCol w:w="5341"/>
            </w:tblGrid>
            <w:tr w:rsidR="001D150C" w14:paraId="6A51B602" w14:textId="77777777" w:rsidTr="001D150C">
              <w:tc>
                <w:tcPr>
                  <w:tcW w:w="5341" w:type="dxa"/>
                </w:tcPr>
                <w:p w14:paraId="5FD4D296" w14:textId="77777777" w:rsidR="001D150C" w:rsidRDefault="001D150C" w:rsidP="00652DC0">
                  <w:pPr>
                    <w:ind w:right="5"/>
                    <w:rPr>
                      <w:rFonts w:ascii="Arial" w:eastAsia="Times New Roman" w:hAnsi="Arial" w:cs="Arial"/>
                      <w:sz w:val="20"/>
                      <w:szCs w:val="20"/>
                    </w:rPr>
                  </w:pPr>
                  <w:r>
                    <w:rPr>
                      <w:noProof/>
                    </w:rPr>
                    <w:drawing>
                      <wp:inline distT="0" distB="0" distL="0" distR="0" wp14:anchorId="7B119811" wp14:editId="6D03BDC8">
                        <wp:extent cx="2871216" cy="2743200"/>
                        <wp:effectExtent l="0" t="0" r="5715" b="0"/>
                        <wp:docPr id="9530" name="Chart 95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tcW w:w="5341" w:type="dxa"/>
                </w:tcPr>
                <w:p w14:paraId="2E898C63" w14:textId="77777777" w:rsidR="001D150C" w:rsidRDefault="001D150C" w:rsidP="00652DC0">
                  <w:pPr>
                    <w:ind w:right="5"/>
                    <w:rPr>
                      <w:rFonts w:ascii="Arial" w:eastAsia="Times New Roman" w:hAnsi="Arial" w:cs="Arial"/>
                      <w:sz w:val="20"/>
                      <w:szCs w:val="20"/>
                    </w:rPr>
                  </w:pPr>
                  <w:r>
                    <w:rPr>
                      <w:noProof/>
                    </w:rPr>
                    <w:drawing>
                      <wp:inline distT="0" distB="0" distL="0" distR="0" wp14:anchorId="5CAA89EE" wp14:editId="157A616E">
                        <wp:extent cx="2871216" cy="2743200"/>
                        <wp:effectExtent l="0" t="0" r="5715" b="0"/>
                        <wp:docPr id="9531" name="Chart 95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bl>
          <w:p w14:paraId="027C357E" w14:textId="77777777" w:rsidR="001D150C" w:rsidRDefault="001D150C" w:rsidP="00652DC0">
            <w:pPr>
              <w:ind w:right="5"/>
              <w:rPr>
                <w:rFonts w:ascii="Arial" w:eastAsia="Times New Roman" w:hAnsi="Arial" w:cs="Arial"/>
                <w:sz w:val="20"/>
                <w:szCs w:val="20"/>
              </w:rPr>
            </w:pPr>
            <w:r>
              <w:rPr>
                <w:rFonts w:ascii="Arial" w:eastAsia="Times New Roman" w:hAnsi="Arial" w:cs="Arial"/>
                <w:sz w:val="20"/>
                <w:szCs w:val="20"/>
              </w:rPr>
              <w:t xml:space="preserve">Figure </w:t>
            </w:r>
            <w:r w:rsidR="009E6837">
              <w:rPr>
                <w:rFonts w:ascii="Arial" w:eastAsia="Times New Roman" w:hAnsi="Arial" w:cs="Arial"/>
                <w:sz w:val="20"/>
                <w:szCs w:val="20"/>
              </w:rPr>
              <w:t>2</w:t>
            </w:r>
            <w:r w:rsidR="00551030">
              <w:rPr>
                <w:rFonts w:ascii="Arial" w:eastAsia="Times New Roman" w:hAnsi="Arial" w:cs="Arial"/>
                <w:sz w:val="20"/>
                <w:szCs w:val="20"/>
              </w:rPr>
              <w:t>.</w:t>
            </w:r>
            <w:r>
              <w:rPr>
                <w:rFonts w:ascii="Arial" w:eastAsia="Times New Roman" w:hAnsi="Arial" w:cs="Arial"/>
                <w:sz w:val="20"/>
                <w:szCs w:val="20"/>
              </w:rPr>
              <w:t xml:space="preserve"> </w:t>
            </w:r>
            <w:r w:rsidRPr="001D150C">
              <w:rPr>
                <w:rFonts w:ascii="Arial" w:eastAsia="Times New Roman" w:hAnsi="Arial" w:cs="Arial"/>
                <w:sz w:val="20"/>
                <w:szCs w:val="20"/>
              </w:rPr>
              <w:t>Onset of motion particle density vs. relative depth of a scour hole around a cylindrical pier for computational bed contour</w:t>
            </w:r>
            <w:r w:rsidR="009E6837">
              <w:rPr>
                <w:rFonts w:ascii="Arial" w:eastAsia="Times New Roman" w:hAnsi="Arial" w:cs="Arial"/>
                <w:sz w:val="20"/>
                <w:szCs w:val="20"/>
              </w:rPr>
              <w:t xml:space="preserve">. The plots are </w:t>
            </w:r>
            <w:r>
              <w:rPr>
                <w:rFonts w:ascii="Arial" w:eastAsia="Times New Roman" w:hAnsi="Arial" w:cs="Arial"/>
                <w:sz w:val="20"/>
                <w:szCs w:val="20"/>
              </w:rPr>
              <w:t xml:space="preserve">a graphical representation of a ‘decay function’ obtained from the computations for a scoured bed </w:t>
            </w:r>
            <w:r>
              <w:rPr>
                <w:rFonts w:ascii="Arial" w:eastAsia="Times New Roman" w:hAnsi="Arial" w:cs="Arial"/>
                <w:sz w:val="20"/>
                <w:szCs w:val="20"/>
              </w:rPr>
              <w:lastRenderedPageBreak/>
              <w:t xml:space="preserve">geometry and a flat bed, at different depths. The particles become increasingly less likely to be set in motion by flow forces as a scour </w:t>
            </w:r>
            <w:proofErr w:type="gramStart"/>
            <w:r>
              <w:rPr>
                <w:rFonts w:ascii="Arial" w:eastAsia="Times New Roman" w:hAnsi="Arial" w:cs="Arial"/>
                <w:sz w:val="20"/>
                <w:szCs w:val="20"/>
              </w:rPr>
              <w:t>hole</w:t>
            </w:r>
            <w:proofErr w:type="gramEnd"/>
            <w:r>
              <w:rPr>
                <w:rFonts w:ascii="Arial" w:eastAsia="Times New Roman" w:hAnsi="Arial" w:cs="Arial"/>
                <w:sz w:val="20"/>
                <w:szCs w:val="20"/>
              </w:rPr>
              <w:t xml:space="preserve"> increases in depth.</w:t>
            </w:r>
          </w:p>
          <w:p w14:paraId="3A4EE4BC" w14:textId="77777777" w:rsidR="001D150C" w:rsidRDefault="001D150C" w:rsidP="00652DC0">
            <w:pPr>
              <w:ind w:right="5"/>
              <w:rPr>
                <w:rFonts w:ascii="Arial" w:eastAsia="Times New Roman" w:hAnsi="Arial" w:cs="Arial"/>
                <w:sz w:val="20"/>
                <w:szCs w:val="20"/>
              </w:rPr>
            </w:pPr>
          </w:p>
          <w:p w14:paraId="4E17C6FB" w14:textId="77777777" w:rsidR="001D150C" w:rsidRPr="0021293D" w:rsidRDefault="001D150C" w:rsidP="00652DC0">
            <w:pPr>
              <w:ind w:right="5"/>
              <w:rPr>
                <w:rFonts w:ascii="Arial" w:eastAsia="Times New Roman" w:hAnsi="Arial" w:cs="Arial"/>
                <w:b/>
                <w:sz w:val="20"/>
                <w:szCs w:val="20"/>
              </w:rPr>
            </w:pPr>
            <w:r w:rsidRPr="0021293D">
              <w:rPr>
                <w:rFonts w:ascii="Arial" w:eastAsia="Times New Roman" w:hAnsi="Arial" w:cs="Arial"/>
                <w:b/>
                <w:sz w:val="20"/>
                <w:szCs w:val="20"/>
              </w:rPr>
              <w:t>1.2: Influence of Extreme Weather Events on Stream Stability</w:t>
            </w:r>
          </w:p>
          <w:p w14:paraId="1AD522B4" w14:textId="77777777" w:rsidR="0021293D" w:rsidRDefault="0021293D" w:rsidP="00652DC0">
            <w:pPr>
              <w:ind w:right="5"/>
              <w:rPr>
                <w:rFonts w:ascii="Arial" w:eastAsia="Times New Roman" w:hAnsi="Arial" w:cs="Arial"/>
                <w:sz w:val="20"/>
                <w:szCs w:val="20"/>
              </w:rPr>
            </w:pPr>
            <w:r w:rsidRPr="0021293D">
              <w:rPr>
                <w:rFonts w:ascii="Arial" w:eastAsia="Times New Roman" w:hAnsi="Arial" w:cs="Arial"/>
                <w:sz w:val="20"/>
                <w:szCs w:val="20"/>
              </w:rPr>
              <w:t xml:space="preserve">The Maple River </w:t>
            </w:r>
            <w:r w:rsidR="00CF54CD">
              <w:rPr>
                <w:rFonts w:ascii="Arial" w:eastAsia="Times New Roman" w:hAnsi="Arial" w:cs="Arial"/>
                <w:sz w:val="20"/>
                <w:szCs w:val="20"/>
              </w:rPr>
              <w:t xml:space="preserve">in western Iowa </w:t>
            </w:r>
            <w:r w:rsidRPr="0021293D">
              <w:rPr>
                <w:rFonts w:ascii="Arial" w:eastAsia="Times New Roman" w:hAnsi="Arial" w:cs="Arial"/>
                <w:sz w:val="20"/>
                <w:szCs w:val="20"/>
              </w:rPr>
              <w:t>is a laterally active channel flowing through agricultural land that has migrated several hundred feet in recent decades and is currently within approximately 100 feet of the Highway 175</w:t>
            </w:r>
            <w:r>
              <w:rPr>
                <w:rFonts w:ascii="Arial" w:eastAsia="Times New Roman" w:hAnsi="Arial" w:cs="Arial"/>
                <w:sz w:val="20"/>
                <w:szCs w:val="20"/>
              </w:rPr>
              <w:t>. T</w:t>
            </w:r>
            <w:r w:rsidRPr="0021293D">
              <w:rPr>
                <w:rFonts w:ascii="Arial" w:eastAsia="Times New Roman" w:hAnsi="Arial" w:cs="Arial"/>
                <w:sz w:val="20"/>
                <w:szCs w:val="20"/>
              </w:rPr>
              <w:t xml:space="preserve">he study focuses on the use of advanced </w:t>
            </w:r>
            <w:r w:rsidR="00551030">
              <w:rPr>
                <w:rFonts w:ascii="Arial" w:eastAsia="Times New Roman" w:hAnsi="Arial" w:cs="Arial"/>
                <w:sz w:val="20"/>
                <w:szCs w:val="20"/>
              </w:rPr>
              <w:t xml:space="preserve">2D and </w:t>
            </w:r>
            <w:r w:rsidRPr="0021293D">
              <w:rPr>
                <w:rFonts w:ascii="Arial" w:eastAsia="Times New Roman" w:hAnsi="Arial" w:cs="Arial"/>
                <w:sz w:val="20"/>
                <w:szCs w:val="20"/>
              </w:rPr>
              <w:t xml:space="preserve">3D CFD techniques to enhance the assessment of increased risks to stream stability of a section of the </w:t>
            </w:r>
            <w:r>
              <w:rPr>
                <w:rFonts w:ascii="Arial" w:eastAsia="Times New Roman" w:hAnsi="Arial" w:cs="Arial"/>
                <w:sz w:val="20"/>
                <w:szCs w:val="20"/>
              </w:rPr>
              <w:t>r</w:t>
            </w:r>
            <w:r w:rsidRPr="0021293D">
              <w:rPr>
                <w:rFonts w:ascii="Arial" w:eastAsia="Times New Roman" w:hAnsi="Arial" w:cs="Arial"/>
                <w:sz w:val="20"/>
                <w:szCs w:val="20"/>
              </w:rPr>
              <w:t>iver</w:t>
            </w:r>
            <w:r>
              <w:rPr>
                <w:rFonts w:ascii="Arial" w:eastAsia="Times New Roman" w:hAnsi="Arial" w:cs="Arial"/>
                <w:sz w:val="20"/>
                <w:szCs w:val="20"/>
              </w:rPr>
              <w:t>.</w:t>
            </w:r>
          </w:p>
          <w:tbl>
            <w:tblPr>
              <w:tblStyle w:val="TableGrid"/>
              <w:tblW w:w="0" w:type="auto"/>
              <w:tblLook w:val="04A0" w:firstRow="1" w:lastRow="0" w:firstColumn="1" w:lastColumn="0" w:noHBand="0" w:noVBand="1"/>
            </w:tblPr>
            <w:tblGrid>
              <w:gridCol w:w="5341"/>
              <w:gridCol w:w="5341"/>
            </w:tblGrid>
            <w:tr w:rsidR="00551030" w14:paraId="6FBB9C8C" w14:textId="77777777" w:rsidTr="7F0EB5DF">
              <w:tc>
                <w:tcPr>
                  <w:tcW w:w="5341" w:type="dxa"/>
                </w:tcPr>
                <w:p w14:paraId="2FD30C97" w14:textId="77777777" w:rsidR="00A905A3" w:rsidRDefault="00551030" w:rsidP="00A905A3">
                  <w:pPr>
                    <w:ind w:right="5"/>
                    <w:rPr>
                      <w:rFonts w:ascii="Arial" w:eastAsia="Times New Roman" w:hAnsi="Arial" w:cs="Arial"/>
                      <w:sz w:val="20"/>
                      <w:szCs w:val="20"/>
                    </w:rPr>
                  </w:pPr>
                  <w:r>
                    <w:rPr>
                      <w:rFonts w:ascii="Arial" w:eastAsia="Times New Roman" w:hAnsi="Arial" w:cs="Arial"/>
                      <w:sz w:val="20"/>
                      <w:szCs w:val="20"/>
                    </w:rPr>
                    <w:t>(a)</w:t>
                  </w:r>
                </w:p>
                <w:p w14:paraId="57343BBE" w14:textId="77777777" w:rsidR="00551030" w:rsidRDefault="00551030" w:rsidP="00A905A3">
                  <w:pPr>
                    <w:ind w:right="5"/>
                    <w:rPr>
                      <w:rFonts w:ascii="Arial" w:eastAsia="Times New Roman" w:hAnsi="Arial" w:cs="Arial"/>
                      <w:sz w:val="20"/>
                      <w:szCs w:val="20"/>
                    </w:rPr>
                  </w:pPr>
                  <w:r w:rsidRPr="008D43C2">
                    <w:rPr>
                      <w:rFonts w:eastAsia="Times New Roman"/>
                      <w:noProof/>
                    </w:rPr>
                    <w:drawing>
                      <wp:inline distT="0" distB="0" distL="0" distR="0" wp14:anchorId="5780C6B6" wp14:editId="02540E1C">
                        <wp:extent cx="3038475" cy="3013671"/>
                        <wp:effectExtent l="0" t="0" r="0" b="0"/>
                        <wp:docPr id="43" name="Picture 7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58429" cy="3033462"/>
                                </a:xfrm>
                                <a:prstGeom prst="rect">
                                  <a:avLst/>
                                </a:prstGeom>
                                <a:noFill/>
                                <a:ln>
                                  <a:noFill/>
                                </a:ln>
                              </pic:spPr>
                            </pic:pic>
                          </a:graphicData>
                        </a:graphic>
                      </wp:inline>
                    </w:drawing>
                  </w:r>
                </w:p>
              </w:tc>
              <w:tc>
                <w:tcPr>
                  <w:tcW w:w="5341" w:type="dxa"/>
                </w:tcPr>
                <w:p w14:paraId="1F900401" w14:textId="77777777" w:rsidR="00A905A3" w:rsidRDefault="7F0EB5DF" w:rsidP="00A905A3">
                  <w:pPr>
                    <w:ind w:right="5"/>
                    <w:rPr>
                      <w:rFonts w:ascii="Arial" w:eastAsia="Times New Roman" w:hAnsi="Arial" w:cs="Arial"/>
                      <w:sz w:val="20"/>
                      <w:szCs w:val="20"/>
                    </w:rPr>
                  </w:pPr>
                  <w:r w:rsidRPr="7F0EB5DF">
                    <w:rPr>
                      <w:rFonts w:ascii="Arial" w:eastAsia="Times New Roman" w:hAnsi="Arial" w:cs="Arial"/>
                      <w:sz w:val="20"/>
                      <w:szCs w:val="20"/>
                    </w:rPr>
                    <w:t>(b)</w:t>
                  </w:r>
                </w:p>
                <w:p w14:paraId="23426E8A" w14:textId="3937F98C" w:rsidR="00551030" w:rsidRDefault="00551030" w:rsidP="7F0EB5DF">
                  <w:pPr>
                    <w:rPr>
                      <w:rFonts w:ascii="Arial" w:eastAsia="Times New Roman" w:hAnsi="Arial" w:cs="Arial"/>
                      <w:sz w:val="20"/>
                      <w:szCs w:val="20"/>
                    </w:rPr>
                  </w:pPr>
                  <w:r>
                    <w:rPr>
                      <w:noProof/>
                    </w:rPr>
                    <w:drawing>
                      <wp:inline distT="0" distB="0" distL="0" distR="0" wp14:anchorId="144CDC53" wp14:editId="6A6E874C">
                        <wp:extent cx="2834640" cy="3115993"/>
                        <wp:effectExtent l="0" t="0" r="3810" b="8255"/>
                        <wp:docPr id="213167049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rotWithShape="1">
                                <a:blip r:embed="rId13">
                                  <a:extLst>
                                    <a:ext uri="{28A0092B-C50C-407E-A947-70E740481C1C}">
                                      <a14:useLocalDpi xmlns:a14="http://schemas.microsoft.com/office/drawing/2010/main" val="0"/>
                                    </a:ext>
                                  </a:extLst>
                                </a:blip>
                                <a:srcRect l="11728" t="6250" r="2345" b="1458"/>
                                <a:stretch/>
                              </pic:blipFill>
                              <pic:spPr bwMode="auto">
                                <a:xfrm>
                                  <a:off x="0" y="0"/>
                                  <a:ext cx="2834640" cy="3115993"/>
                                </a:xfrm>
                                <a:prstGeom prst="rect">
                                  <a:avLst/>
                                </a:prstGeom>
                                <a:ln>
                                  <a:noFill/>
                                </a:ln>
                                <a:extLst>
                                  <a:ext uri="{53640926-AAD7-44D8-BBD7-CCE9431645EC}">
                                    <a14:shadowObscured xmlns:a14="http://schemas.microsoft.com/office/drawing/2010/main"/>
                                  </a:ext>
                                </a:extLst>
                              </pic:spPr>
                            </pic:pic>
                          </a:graphicData>
                        </a:graphic>
                      </wp:inline>
                    </w:drawing>
                  </w:r>
                </w:p>
              </w:tc>
            </w:tr>
          </w:tbl>
          <w:p w14:paraId="0521B68D" w14:textId="77777777" w:rsidR="00551030" w:rsidRPr="001D150C" w:rsidRDefault="00551030" w:rsidP="00652DC0">
            <w:pPr>
              <w:ind w:right="5"/>
              <w:rPr>
                <w:rFonts w:ascii="Arial" w:eastAsia="Times New Roman" w:hAnsi="Arial" w:cs="Arial"/>
                <w:sz w:val="20"/>
                <w:szCs w:val="20"/>
              </w:rPr>
            </w:pPr>
            <w:r>
              <w:rPr>
                <w:rFonts w:ascii="Arial" w:eastAsia="Times New Roman" w:hAnsi="Arial" w:cs="Arial"/>
                <w:sz w:val="20"/>
                <w:szCs w:val="20"/>
              </w:rPr>
              <w:t>Figure 3. The aerial view of a section of Maple River (a) and the triangularized surface used in the computations (b).</w:t>
            </w:r>
          </w:p>
          <w:p w14:paraId="612E1EFE" w14:textId="77777777" w:rsidR="00601EBD" w:rsidRDefault="00601EBD" w:rsidP="00652DC0">
            <w:pPr>
              <w:ind w:right="5"/>
              <w:rPr>
                <w:rFonts w:ascii="Arial" w:hAnsi="Arial" w:cs="Arial"/>
                <w:sz w:val="20"/>
                <w:szCs w:val="20"/>
              </w:rPr>
            </w:pPr>
          </w:p>
          <w:p w14:paraId="3B03F703" w14:textId="77777777" w:rsidR="00551030" w:rsidRPr="00551030" w:rsidRDefault="00551030" w:rsidP="00551030">
            <w:pPr>
              <w:ind w:right="5"/>
              <w:rPr>
                <w:rFonts w:ascii="Arial" w:hAnsi="Arial" w:cs="Arial"/>
                <w:sz w:val="20"/>
                <w:szCs w:val="20"/>
              </w:rPr>
            </w:pPr>
            <w:r w:rsidRPr="00551030">
              <w:rPr>
                <w:rFonts w:ascii="Arial" w:hAnsi="Arial" w:cs="Arial"/>
                <w:sz w:val="20"/>
                <w:szCs w:val="20"/>
              </w:rPr>
              <w:t>The 3D simulations are</w:t>
            </w:r>
            <w:r>
              <w:rPr>
                <w:rFonts w:ascii="Arial" w:hAnsi="Arial" w:cs="Arial"/>
                <w:sz w:val="20"/>
                <w:szCs w:val="20"/>
              </w:rPr>
              <w:t xml:space="preserve"> used to assess the flow velocity and bed shear stress </w:t>
            </w:r>
            <w:r w:rsidR="00CF54CD">
              <w:rPr>
                <w:rFonts w:ascii="Arial" w:hAnsi="Arial" w:cs="Arial"/>
                <w:sz w:val="20"/>
                <w:szCs w:val="20"/>
              </w:rPr>
              <w:t>for</w:t>
            </w:r>
            <w:r>
              <w:rPr>
                <w:rFonts w:ascii="Arial" w:hAnsi="Arial" w:cs="Arial"/>
                <w:sz w:val="20"/>
                <w:szCs w:val="20"/>
              </w:rPr>
              <w:t xml:space="preserve"> a series of flow rates, from a normal stream flow up to flood conditions, which cause water to </w:t>
            </w:r>
            <w:r w:rsidRPr="00551030">
              <w:rPr>
                <w:rFonts w:ascii="Arial" w:hAnsi="Arial" w:cs="Arial"/>
                <w:sz w:val="20"/>
                <w:szCs w:val="20"/>
              </w:rPr>
              <w:t>spread into the surrounding area, forming vast flood plains</w:t>
            </w:r>
            <w:r>
              <w:rPr>
                <w:rFonts w:ascii="Arial" w:hAnsi="Arial" w:cs="Arial"/>
                <w:sz w:val="20"/>
                <w:szCs w:val="20"/>
              </w:rPr>
              <w:t xml:space="preserve">. </w:t>
            </w:r>
          </w:p>
          <w:tbl>
            <w:tblPr>
              <w:tblStyle w:val="TableGrid"/>
              <w:tblW w:w="0" w:type="auto"/>
              <w:tblLook w:val="04A0" w:firstRow="1" w:lastRow="0" w:firstColumn="1" w:lastColumn="0" w:noHBand="0" w:noVBand="1"/>
            </w:tblPr>
            <w:tblGrid>
              <w:gridCol w:w="6311"/>
              <w:gridCol w:w="4631"/>
            </w:tblGrid>
            <w:tr w:rsidR="00551030" w14:paraId="138EB0AA" w14:textId="77777777" w:rsidTr="00551030">
              <w:tc>
                <w:tcPr>
                  <w:tcW w:w="6311" w:type="dxa"/>
                </w:tcPr>
                <w:p w14:paraId="7D9C0569" w14:textId="77777777" w:rsidR="00551030" w:rsidRDefault="00551030" w:rsidP="00551030">
                  <w:pPr>
                    <w:ind w:right="5"/>
                    <w:rPr>
                      <w:rFonts w:ascii="Arial" w:hAnsi="Arial" w:cs="Arial"/>
                      <w:sz w:val="20"/>
                      <w:szCs w:val="20"/>
                    </w:rPr>
                  </w:pPr>
                  <w:r>
                    <w:rPr>
                      <w:rFonts w:ascii="Arial" w:hAnsi="Arial" w:cs="Arial"/>
                      <w:sz w:val="20"/>
                      <w:szCs w:val="20"/>
                    </w:rPr>
                    <w:t>(a)</w:t>
                  </w:r>
                  <w:r w:rsidRPr="008D43C2">
                    <w:rPr>
                      <w:rFonts w:eastAsia="Times New Roman"/>
                      <w:noProof/>
                      <w:sz w:val="24"/>
                      <w:szCs w:val="24"/>
                    </w:rPr>
                    <w:drawing>
                      <wp:inline distT="0" distB="0" distL="0" distR="0" wp14:anchorId="46233A04" wp14:editId="507598C6">
                        <wp:extent cx="3863176" cy="2468880"/>
                        <wp:effectExtent l="0" t="0" r="4445" b="7620"/>
                        <wp:docPr id="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63176" cy="2468880"/>
                                </a:xfrm>
                                <a:prstGeom prst="rect">
                                  <a:avLst/>
                                </a:prstGeom>
                                <a:noFill/>
                                <a:ln>
                                  <a:noFill/>
                                </a:ln>
                              </pic:spPr>
                            </pic:pic>
                          </a:graphicData>
                        </a:graphic>
                      </wp:inline>
                    </w:drawing>
                  </w:r>
                </w:p>
              </w:tc>
              <w:tc>
                <w:tcPr>
                  <w:tcW w:w="4631" w:type="dxa"/>
                </w:tcPr>
                <w:p w14:paraId="2BAC0665" w14:textId="77777777" w:rsidR="00551030" w:rsidRPr="008D43C2" w:rsidRDefault="00551030" w:rsidP="00551030">
                  <w:pPr>
                    <w:ind w:right="5"/>
                    <w:rPr>
                      <w:rFonts w:eastAsia="Times New Roman"/>
                      <w:noProof/>
                      <w:sz w:val="24"/>
                      <w:szCs w:val="24"/>
                    </w:rPr>
                  </w:pPr>
                  <w:r>
                    <w:rPr>
                      <w:rFonts w:eastAsia="Times New Roman"/>
                      <w:noProof/>
                      <w:sz w:val="24"/>
                      <w:szCs w:val="24"/>
                    </w:rPr>
                    <w:t>(b)</w:t>
                  </w:r>
                  <w:r w:rsidRPr="008D43C2">
                    <w:rPr>
                      <w:rFonts w:eastAsia="Times New Roman"/>
                      <w:noProof/>
                    </w:rPr>
                    <w:drawing>
                      <wp:inline distT="0" distB="0" distL="0" distR="0" wp14:anchorId="15FA7547" wp14:editId="4471D01A">
                        <wp:extent cx="2796849" cy="2468880"/>
                        <wp:effectExtent l="0" t="0" r="3810" b="7620"/>
                        <wp:docPr id="7175" name="Picture 7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6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6849" cy="2468880"/>
                                </a:xfrm>
                                <a:prstGeom prst="rect">
                                  <a:avLst/>
                                </a:prstGeom>
                                <a:noFill/>
                                <a:ln>
                                  <a:noFill/>
                                </a:ln>
                              </pic:spPr>
                            </pic:pic>
                          </a:graphicData>
                        </a:graphic>
                      </wp:inline>
                    </w:drawing>
                  </w:r>
                </w:p>
              </w:tc>
            </w:tr>
          </w:tbl>
          <w:p w14:paraId="1A6C32BD" w14:textId="77777777" w:rsidR="00551030" w:rsidRDefault="00551030" w:rsidP="00551030">
            <w:pPr>
              <w:ind w:right="5"/>
              <w:rPr>
                <w:rFonts w:ascii="Arial" w:hAnsi="Arial" w:cs="Arial"/>
                <w:sz w:val="20"/>
                <w:szCs w:val="20"/>
              </w:rPr>
            </w:pPr>
            <w:r>
              <w:rPr>
                <w:rFonts w:ascii="Arial" w:hAnsi="Arial" w:cs="Arial"/>
                <w:sz w:val="20"/>
                <w:szCs w:val="20"/>
              </w:rPr>
              <w:t xml:space="preserve">Figure 4. Surface velocity magnitude distribution for two of the computational models at </w:t>
            </w:r>
            <w:r w:rsidR="00CF54CD">
              <w:rPr>
                <w:rFonts w:ascii="Arial" w:hAnsi="Arial" w:cs="Arial"/>
                <w:sz w:val="20"/>
                <w:szCs w:val="20"/>
              </w:rPr>
              <w:t xml:space="preserve">an </w:t>
            </w:r>
            <w:r>
              <w:rPr>
                <w:rFonts w:ascii="Arial" w:hAnsi="Arial" w:cs="Arial"/>
                <w:sz w:val="20"/>
                <w:szCs w:val="20"/>
              </w:rPr>
              <w:t xml:space="preserve">inlet flow of (a) 1000 </w:t>
            </w:r>
            <w:proofErr w:type="spellStart"/>
            <w:r>
              <w:rPr>
                <w:rFonts w:ascii="Arial" w:hAnsi="Arial" w:cs="Arial"/>
                <w:sz w:val="20"/>
                <w:szCs w:val="20"/>
              </w:rPr>
              <w:t>cfs</w:t>
            </w:r>
            <w:proofErr w:type="spellEnd"/>
            <w:r>
              <w:rPr>
                <w:rFonts w:ascii="Arial" w:hAnsi="Arial" w:cs="Arial"/>
                <w:sz w:val="20"/>
                <w:szCs w:val="20"/>
              </w:rPr>
              <w:t xml:space="preserve">, and (b) 15000 </w:t>
            </w:r>
            <w:proofErr w:type="spellStart"/>
            <w:r>
              <w:rPr>
                <w:rFonts w:ascii="Arial" w:hAnsi="Arial" w:cs="Arial"/>
                <w:sz w:val="20"/>
                <w:szCs w:val="20"/>
              </w:rPr>
              <w:t>cfs</w:t>
            </w:r>
            <w:proofErr w:type="spellEnd"/>
            <w:r>
              <w:rPr>
                <w:rFonts w:ascii="Arial" w:hAnsi="Arial" w:cs="Arial"/>
                <w:sz w:val="20"/>
                <w:szCs w:val="20"/>
              </w:rPr>
              <w:t>.</w:t>
            </w:r>
          </w:p>
          <w:p w14:paraId="5E3830F6" w14:textId="77777777" w:rsidR="00551030" w:rsidRPr="001D150C" w:rsidRDefault="00551030" w:rsidP="00652DC0">
            <w:pPr>
              <w:ind w:right="5"/>
              <w:rPr>
                <w:rFonts w:ascii="Arial" w:hAnsi="Arial" w:cs="Arial"/>
                <w:sz w:val="20"/>
                <w:szCs w:val="20"/>
              </w:rPr>
            </w:pPr>
          </w:p>
          <w:p w14:paraId="2463B818" w14:textId="77777777" w:rsidR="00601EBD" w:rsidRPr="00C82DD9" w:rsidRDefault="00C82DD9" w:rsidP="00652DC0">
            <w:pPr>
              <w:ind w:right="5"/>
              <w:rPr>
                <w:rFonts w:ascii="Arial" w:hAnsi="Arial" w:cs="Arial"/>
                <w:b/>
                <w:sz w:val="20"/>
                <w:szCs w:val="20"/>
              </w:rPr>
            </w:pPr>
            <w:r w:rsidRPr="001D150C">
              <w:rPr>
                <w:rFonts w:ascii="Arial" w:hAnsi="Arial" w:cs="Arial"/>
                <w:b/>
                <w:sz w:val="20"/>
                <w:szCs w:val="20"/>
              </w:rPr>
              <w:t xml:space="preserve">2: Computational </w:t>
            </w:r>
            <w:r w:rsidRPr="00C82DD9">
              <w:rPr>
                <w:rFonts w:ascii="Arial" w:hAnsi="Arial" w:cs="Arial"/>
                <w:b/>
                <w:sz w:val="20"/>
                <w:szCs w:val="20"/>
              </w:rPr>
              <w:t>Mechanics Research Support</w:t>
            </w:r>
          </w:p>
          <w:p w14:paraId="0C083204" w14:textId="77777777" w:rsidR="00601EBD" w:rsidRPr="00C82DD9" w:rsidRDefault="00601EBD" w:rsidP="00652DC0">
            <w:pPr>
              <w:ind w:right="5"/>
              <w:rPr>
                <w:rFonts w:ascii="Arial" w:hAnsi="Arial" w:cs="Arial"/>
                <w:sz w:val="20"/>
                <w:szCs w:val="20"/>
              </w:rPr>
            </w:pPr>
          </w:p>
          <w:p w14:paraId="2A7044F9" w14:textId="77777777" w:rsidR="00C82DD9" w:rsidRPr="001D150C" w:rsidRDefault="00C82DD9" w:rsidP="00652DC0">
            <w:pPr>
              <w:ind w:right="5"/>
              <w:rPr>
                <w:rFonts w:ascii="Arial" w:eastAsia="Times New Roman" w:hAnsi="Arial" w:cs="Arial"/>
                <w:sz w:val="20"/>
                <w:szCs w:val="20"/>
              </w:rPr>
            </w:pPr>
            <w:r w:rsidRPr="00C82DD9">
              <w:rPr>
                <w:rFonts w:ascii="Arial" w:eastAsia="Times New Roman" w:hAnsi="Arial" w:cs="Arial"/>
                <w:sz w:val="20"/>
                <w:szCs w:val="20"/>
              </w:rPr>
              <w:t xml:space="preserve">Argonne Transportation Research and Analysis Computing Center (TRACC) computational mechanics staff ran nationwide videoconferences every other Thursday that were open to state Department of Transportation staff and university </w:t>
            </w:r>
            <w:r w:rsidRPr="00C82DD9">
              <w:rPr>
                <w:rFonts w:ascii="Arial" w:eastAsia="Times New Roman" w:hAnsi="Arial" w:cs="Arial"/>
                <w:sz w:val="20"/>
                <w:szCs w:val="20"/>
              </w:rPr>
              <w:lastRenderedPageBreak/>
              <w:t>researchers supported by the Federal Highway Administration or  state DOTs. The videoconferences provide a venue to discuss approaches and issues related to hydraulics modeling projects. Topics during this reporting period included</w:t>
            </w:r>
            <w:r w:rsidR="001D150C">
              <w:rPr>
                <w:rFonts w:ascii="Arial" w:eastAsia="Times New Roman" w:hAnsi="Arial" w:cs="Arial"/>
                <w:sz w:val="20"/>
                <w:szCs w:val="20"/>
              </w:rPr>
              <w:t>, but were not limited to:</w:t>
            </w:r>
          </w:p>
          <w:p w14:paraId="33B9A4B5" w14:textId="77777777" w:rsidR="001D150C" w:rsidRDefault="001D150C" w:rsidP="00AD0B8F">
            <w:pPr>
              <w:pStyle w:val="ListParagraph"/>
              <w:numPr>
                <w:ilvl w:val="0"/>
                <w:numId w:val="3"/>
              </w:numPr>
              <w:ind w:right="5"/>
              <w:rPr>
                <w:rFonts w:ascii="Arial" w:eastAsia="Times New Roman" w:hAnsi="Arial" w:cs="Arial"/>
                <w:sz w:val="20"/>
                <w:szCs w:val="20"/>
              </w:rPr>
            </w:pPr>
            <w:r w:rsidRPr="001D150C">
              <w:rPr>
                <w:rFonts w:ascii="Arial" w:eastAsia="Times New Roman" w:hAnsi="Arial" w:cs="Arial"/>
                <w:sz w:val="20"/>
                <w:szCs w:val="20"/>
              </w:rPr>
              <w:t>Computational Fluid Dynamics (CFD) modeling study on rockery design for river and coastal environments</w:t>
            </w:r>
          </w:p>
          <w:p w14:paraId="39A39A1F" w14:textId="77777777" w:rsidR="001D150C" w:rsidRDefault="001D150C" w:rsidP="001D150C">
            <w:pPr>
              <w:pStyle w:val="ListParagraph"/>
              <w:numPr>
                <w:ilvl w:val="0"/>
                <w:numId w:val="3"/>
              </w:numPr>
              <w:ind w:right="5"/>
              <w:rPr>
                <w:rFonts w:ascii="Arial" w:eastAsia="Times New Roman" w:hAnsi="Arial" w:cs="Arial"/>
                <w:sz w:val="20"/>
                <w:szCs w:val="20"/>
              </w:rPr>
            </w:pPr>
            <w:r>
              <w:rPr>
                <w:rFonts w:ascii="Arial" w:eastAsia="Times New Roman" w:hAnsi="Arial" w:cs="Arial"/>
                <w:sz w:val="20"/>
                <w:szCs w:val="20"/>
              </w:rPr>
              <w:t xml:space="preserve">CFD modeling of </w:t>
            </w:r>
            <w:r w:rsidRPr="001D150C">
              <w:rPr>
                <w:rFonts w:ascii="Arial" w:eastAsia="Times New Roman" w:hAnsi="Arial" w:cs="Arial"/>
                <w:sz w:val="20"/>
                <w:szCs w:val="20"/>
              </w:rPr>
              <w:t>extreme weather events on stream stability</w:t>
            </w:r>
            <w:r>
              <w:rPr>
                <w:rFonts w:ascii="Arial" w:eastAsia="Times New Roman" w:hAnsi="Arial" w:cs="Arial"/>
                <w:sz w:val="20"/>
                <w:szCs w:val="20"/>
              </w:rPr>
              <w:t xml:space="preserve"> based on the example of Maple River, near Danbury, Iowa</w:t>
            </w:r>
          </w:p>
          <w:p w14:paraId="23DA8608" w14:textId="77777777" w:rsidR="001D150C" w:rsidRPr="001D150C" w:rsidRDefault="001D150C" w:rsidP="00AD0B8F">
            <w:pPr>
              <w:pStyle w:val="ListParagraph"/>
              <w:numPr>
                <w:ilvl w:val="0"/>
                <w:numId w:val="3"/>
              </w:numPr>
              <w:ind w:right="5"/>
              <w:rPr>
                <w:rFonts w:ascii="Arial" w:eastAsia="Times New Roman" w:hAnsi="Arial" w:cs="Arial"/>
                <w:sz w:val="20"/>
                <w:szCs w:val="20"/>
              </w:rPr>
            </w:pPr>
            <w:r w:rsidRPr="001D150C">
              <w:rPr>
                <w:rFonts w:ascii="Arial" w:eastAsia="Times New Roman" w:hAnsi="Arial" w:cs="Arial"/>
                <w:sz w:val="20"/>
                <w:szCs w:val="20"/>
              </w:rPr>
              <w:t xml:space="preserve">computational </w:t>
            </w:r>
            <w:r>
              <w:rPr>
                <w:rFonts w:ascii="Arial" w:eastAsia="Times New Roman" w:hAnsi="Arial" w:cs="Arial"/>
                <w:sz w:val="20"/>
                <w:szCs w:val="20"/>
              </w:rPr>
              <w:t xml:space="preserve">approach to </w:t>
            </w:r>
            <w:r w:rsidRPr="001D150C">
              <w:rPr>
                <w:rFonts w:ascii="Arial" w:eastAsia="Times New Roman" w:hAnsi="Arial" w:cs="Arial"/>
                <w:sz w:val="20"/>
                <w:szCs w:val="20"/>
              </w:rPr>
              <w:t>analy</w:t>
            </w:r>
            <w:r>
              <w:rPr>
                <w:rFonts w:ascii="Arial" w:eastAsia="Times New Roman" w:hAnsi="Arial" w:cs="Arial"/>
                <w:sz w:val="20"/>
                <w:szCs w:val="20"/>
              </w:rPr>
              <w:t>ze</w:t>
            </w:r>
            <w:r w:rsidRPr="001D150C">
              <w:rPr>
                <w:rFonts w:ascii="Arial" w:eastAsia="Times New Roman" w:hAnsi="Arial" w:cs="Arial"/>
                <w:sz w:val="20"/>
                <w:szCs w:val="20"/>
              </w:rPr>
              <w:t xml:space="preserve"> water film thickness on </w:t>
            </w:r>
            <w:r>
              <w:rPr>
                <w:rFonts w:ascii="Arial" w:eastAsia="Times New Roman" w:hAnsi="Arial" w:cs="Arial"/>
                <w:sz w:val="20"/>
                <w:szCs w:val="20"/>
              </w:rPr>
              <w:t>various road geometries</w:t>
            </w:r>
            <w:r w:rsidRPr="001D150C">
              <w:rPr>
                <w:rFonts w:ascii="Arial" w:eastAsia="Times New Roman" w:hAnsi="Arial" w:cs="Arial"/>
                <w:sz w:val="20"/>
                <w:szCs w:val="20"/>
              </w:rPr>
              <w:t xml:space="preserve"> during rain events for assessing hydroplaning risk</w:t>
            </w:r>
          </w:p>
          <w:p w14:paraId="4787DF2B" w14:textId="77777777" w:rsidR="00601EBD" w:rsidRPr="00C82DD9" w:rsidRDefault="00601EBD" w:rsidP="00652DC0">
            <w:pPr>
              <w:ind w:right="5"/>
              <w:rPr>
                <w:rFonts w:ascii="Arial" w:hAnsi="Arial" w:cs="Arial"/>
                <w:sz w:val="20"/>
                <w:szCs w:val="20"/>
              </w:rPr>
            </w:pPr>
          </w:p>
          <w:p w14:paraId="56ECEF5B" w14:textId="77777777" w:rsidR="00601EBD" w:rsidRPr="00906DBF" w:rsidRDefault="00906DBF" w:rsidP="00652DC0">
            <w:pPr>
              <w:ind w:right="5"/>
              <w:rPr>
                <w:rFonts w:ascii="Arial" w:hAnsi="Arial" w:cs="Arial"/>
                <w:b/>
                <w:sz w:val="20"/>
                <w:szCs w:val="20"/>
              </w:rPr>
            </w:pPr>
            <w:r w:rsidRPr="000A720C">
              <w:rPr>
                <w:rFonts w:ascii="Arial" w:eastAsia="Times New Roman" w:hAnsi="Arial" w:cs="Arial"/>
                <w:b/>
                <w:sz w:val="20"/>
                <w:szCs w:val="20"/>
              </w:rPr>
              <w:t>3: Computing Support</w:t>
            </w:r>
          </w:p>
          <w:p w14:paraId="0AE27C49" w14:textId="77777777" w:rsidR="00601EBD" w:rsidRPr="00C82DD9" w:rsidRDefault="00601EBD" w:rsidP="00652DC0">
            <w:pPr>
              <w:ind w:right="5"/>
              <w:rPr>
                <w:rFonts w:ascii="Arial" w:hAnsi="Arial" w:cs="Arial"/>
                <w:sz w:val="20"/>
                <w:szCs w:val="20"/>
              </w:rPr>
            </w:pPr>
          </w:p>
          <w:p w14:paraId="38A109ED" w14:textId="3894532C" w:rsidR="00601EBD" w:rsidRPr="00C82DD9" w:rsidRDefault="00071FBC" w:rsidP="00071FBC">
            <w:pPr>
              <w:ind w:right="5"/>
              <w:rPr>
                <w:rFonts w:ascii="Arial" w:hAnsi="Arial" w:cs="Arial"/>
                <w:sz w:val="20"/>
                <w:szCs w:val="20"/>
              </w:rPr>
            </w:pPr>
            <w:r w:rsidRPr="00071FBC">
              <w:rPr>
                <w:rFonts w:ascii="Arial" w:eastAsia="Times New Roman" w:hAnsi="Arial" w:cs="Arial"/>
                <w:sz w:val="20"/>
                <w:szCs w:val="20"/>
              </w:rPr>
              <w:t>Routine cluster maintenance including software and hardware upgrades, security patching against cyber threats, and development of custom tools to increase users' productivity. Currently working on upgrading existing TRACC cluster to support the latest scientific and engineering software utilizing industry's best practice guidelines in Open Source software and virtualization.</w:t>
            </w:r>
            <w:r>
              <w:rPr>
                <w:rFonts w:ascii="Arial" w:eastAsia="Times New Roman" w:hAnsi="Arial" w:cs="Arial"/>
                <w:sz w:val="20"/>
                <w:szCs w:val="20"/>
              </w:rPr>
              <w:t xml:space="preserve"> </w:t>
            </w:r>
            <w:bookmarkStart w:id="0" w:name="_GoBack"/>
            <w:bookmarkEnd w:id="0"/>
          </w:p>
        </w:tc>
      </w:tr>
      <w:tr w:rsidR="00601EBD" w14:paraId="6207821C" w14:textId="77777777" w:rsidTr="7F0EB5DF">
        <w:tc>
          <w:tcPr>
            <w:tcW w:w="10903" w:type="dxa"/>
          </w:tcPr>
          <w:p w14:paraId="2E800F37" w14:textId="77777777" w:rsidR="00E35E0F" w:rsidRDefault="00E35E0F" w:rsidP="00652DC0">
            <w:pPr>
              <w:ind w:right="5"/>
              <w:rPr>
                <w:rFonts w:ascii="Arial" w:hAnsi="Arial" w:cs="Arial"/>
                <w:b/>
                <w:sz w:val="20"/>
                <w:szCs w:val="20"/>
              </w:rPr>
            </w:pPr>
          </w:p>
          <w:p w14:paraId="6B373846" w14:textId="77777777" w:rsidR="00601EBD" w:rsidRDefault="00601EBD" w:rsidP="00652DC0">
            <w:pPr>
              <w:ind w:right="5"/>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0FE54E0E" w14:textId="77777777" w:rsidR="009E6F32" w:rsidRDefault="009E6F32" w:rsidP="00652DC0">
            <w:pPr>
              <w:ind w:right="5"/>
              <w:rPr>
                <w:rFonts w:ascii="Arial" w:hAnsi="Arial" w:cs="Arial"/>
                <w:sz w:val="20"/>
                <w:szCs w:val="20"/>
              </w:rPr>
            </w:pPr>
          </w:p>
          <w:p w14:paraId="3CCA782B" w14:textId="77777777" w:rsidR="009E6F32" w:rsidRPr="00C82DD9" w:rsidRDefault="009E6F32" w:rsidP="00652DC0">
            <w:pPr>
              <w:ind w:right="5"/>
              <w:rPr>
                <w:rFonts w:ascii="Arial" w:eastAsia="Times New Roman" w:hAnsi="Arial" w:cs="Arial"/>
                <w:b/>
                <w:sz w:val="20"/>
                <w:szCs w:val="20"/>
              </w:rPr>
            </w:pPr>
            <w:r w:rsidRPr="00C82DD9">
              <w:rPr>
                <w:rFonts w:ascii="Arial" w:eastAsia="Times New Roman" w:hAnsi="Arial" w:cs="Arial"/>
                <w:b/>
                <w:sz w:val="20"/>
                <w:szCs w:val="20"/>
              </w:rPr>
              <w:t xml:space="preserve"> 1: </w:t>
            </w:r>
            <w:r w:rsidRPr="000A720C">
              <w:rPr>
                <w:rFonts w:ascii="Arial" w:eastAsia="Times New Roman" w:hAnsi="Arial" w:cs="Arial"/>
                <w:b/>
                <w:sz w:val="20"/>
                <w:szCs w:val="20"/>
              </w:rPr>
              <w:t>Computational Mechanics Research on a Variety of Projects</w:t>
            </w:r>
          </w:p>
          <w:p w14:paraId="682219AA" w14:textId="77777777" w:rsidR="009E6F32" w:rsidRPr="00C82DD9" w:rsidRDefault="009E6F32" w:rsidP="00652DC0">
            <w:pPr>
              <w:ind w:right="5"/>
              <w:rPr>
                <w:rFonts w:ascii="Arial" w:eastAsia="Times New Roman" w:hAnsi="Arial" w:cs="Arial"/>
                <w:sz w:val="20"/>
                <w:szCs w:val="20"/>
              </w:rPr>
            </w:pPr>
          </w:p>
          <w:p w14:paraId="0B5DD7FA" w14:textId="77777777" w:rsidR="006D1B38" w:rsidRDefault="00361F09" w:rsidP="00361F09">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hydroplaning risk assessment for different road geometries</w:t>
            </w:r>
          </w:p>
          <w:p w14:paraId="7DFA912E" w14:textId="77777777" w:rsidR="00361F09" w:rsidRDefault="00361F09" w:rsidP="00361F09">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continued work on the ‘</w:t>
            </w:r>
            <w:r w:rsidRPr="00361F09">
              <w:rPr>
                <w:rFonts w:ascii="Arial" w:eastAsia="Times New Roman" w:hAnsi="Arial" w:cs="Arial"/>
                <w:sz w:val="20"/>
                <w:szCs w:val="20"/>
              </w:rPr>
              <w:t>Influence of Extreme Weather Events on Stream Stability</w:t>
            </w:r>
            <w:r>
              <w:rPr>
                <w:rFonts w:ascii="Arial" w:eastAsia="Times New Roman" w:hAnsi="Arial" w:cs="Arial"/>
                <w:sz w:val="20"/>
                <w:szCs w:val="20"/>
              </w:rPr>
              <w:t xml:space="preserve">’ study, to establish stream power </w:t>
            </w:r>
            <w:r w:rsidR="00A767C8">
              <w:rPr>
                <w:rFonts w:ascii="Arial" w:eastAsia="Times New Roman" w:hAnsi="Arial" w:cs="Arial"/>
                <w:sz w:val="20"/>
                <w:szCs w:val="20"/>
              </w:rPr>
              <w:t>relation to stream migration risk</w:t>
            </w:r>
          </w:p>
          <w:p w14:paraId="68EF4C90" w14:textId="77777777" w:rsidR="00361F09" w:rsidRPr="00361F09" w:rsidRDefault="00361F09" w:rsidP="00361F09">
            <w:pPr>
              <w:pStyle w:val="ListParagraph"/>
              <w:numPr>
                <w:ilvl w:val="0"/>
                <w:numId w:val="5"/>
              </w:numPr>
              <w:ind w:right="5"/>
              <w:rPr>
                <w:rFonts w:ascii="Arial" w:eastAsia="Times New Roman" w:hAnsi="Arial" w:cs="Arial"/>
                <w:sz w:val="20"/>
                <w:szCs w:val="20"/>
              </w:rPr>
            </w:pPr>
            <w:r w:rsidRPr="001D150C">
              <w:rPr>
                <w:rFonts w:ascii="Arial" w:eastAsia="Times New Roman" w:hAnsi="Arial" w:cs="Arial"/>
                <w:sz w:val="20"/>
                <w:szCs w:val="20"/>
              </w:rPr>
              <w:t>CFD modeling o</w:t>
            </w:r>
            <w:r>
              <w:rPr>
                <w:rFonts w:ascii="Arial" w:eastAsia="Times New Roman" w:hAnsi="Arial" w:cs="Arial"/>
                <w:sz w:val="20"/>
                <w:szCs w:val="20"/>
              </w:rPr>
              <w:t>f</w:t>
            </w:r>
            <w:r w:rsidRPr="001D150C">
              <w:rPr>
                <w:rFonts w:ascii="Arial" w:eastAsia="Times New Roman" w:hAnsi="Arial" w:cs="Arial"/>
                <w:sz w:val="20"/>
                <w:szCs w:val="20"/>
              </w:rPr>
              <w:t xml:space="preserve"> rocker</w:t>
            </w:r>
            <w:r>
              <w:rPr>
                <w:rFonts w:ascii="Arial" w:eastAsia="Times New Roman" w:hAnsi="Arial" w:cs="Arial"/>
                <w:sz w:val="20"/>
                <w:szCs w:val="20"/>
              </w:rPr>
              <w:t>ies</w:t>
            </w:r>
            <w:r w:rsidRPr="001D150C">
              <w:rPr>
                <w:rFonts w:ascii="Arial" w:eastAsia="Times New Roman" w:hAnsi="Arial" w:cs="Arial"/>
                <w:sz w:val="20"/>
                <w:szCs w:val="20"/>
              </w:rPr>
              <w:t xml:space="preserve"> </w:t>
            </w:r>
            <w:r>
              <w:rPr>
                <w:rFonts w:ascii="Arial" w:eastAsia="Times New Roman" w:hAnsi="Arial" w:cs="Arial"/>
                <w:sz w:val="20"/>
                <w:szCs w:val="20"/>
              </w:rPr>
              <w:t>in river environment</w:t>
            </w:r>
          </w:p>
          <w:p w14:paraId="40D3728C" w14:textId="77777777" w:rsidR="00EF4187" w:rsidRPr="00C82DD9" w:rsidRDefault="00EF4187" w:rsidP="00652DC0">
            <w:pPr>
              <w:ind w:right="5"/>
              <w:rPr>
                <w:rFonts w:ascii="Arial" w:hAnsi="Arial" w:cs="Arial"/>
                <w:b/>
                <w:sz w:val="20"/>
                <w:szCs w:val="20"/>
              </w:rPr>
            </w:pPr>
            <w:r w:rsidRPr="00C82DD9">
              <w:rPr>
                <w:rFonts w:ascii="Arial" w:hAnsi="Arial" w:cs="Arial"/>
                <w:b/>
                <w:sz w:val="20"/>
                <w:szCs w:val="20"/>
              </w:rPr>
              <w:t>2: Computational Mechanics Research Support</w:t>
            </w:r>
          </w:p>
          <w:p w14:paraId="74BA8F4E" w14:textId="77777777" w:rsidR="00601EBD" w:rsidRDefault="00601EBD" w:rsidP="00652DC0">
            <w:pPr>
              <w:ind w:right="5"/>
              <w:rPr>
                <w:rFonts w:ascii="Arial" w:hAnsi="Arial" w:cs="Arial"/>
                <w:sz w:val="20"/>
                <w:szCs w:val="20"/>
              </w:rPr>
            </w:pPr>
          </w:p>
          <w:p w14:paraId="2A83C775" w14:textId="77777777" w:rsidR="00601EBD" w:rsidRDefault="00EF4187" w:rsidP="00652DC0">
            <w:pPr>
              <w:ind w:right="5"/>
              <w:rPr>
                <w:rFonts w:ascii="Arial" w:hAnsi="Arial" w:cs="Arial"/>
                <w:sz w:val="20"/>
                <w:szCs w:val="20"/>
              </w:rPr>
            </w:pPr>
            <w:r>
              <w:rPr>
                <w:rFonts w:ascii="Arial" w:hAnsi="Arial" w:cs="Arial"/>
                <w:sz w:val="20"/>
                <w:szCs w:val="20"/>
              </w:rPr>
              <w:t xml:space="preserve">This </w:t>
            </w:r>
            <w:r w:rsidR="006D1B38">
              <w:rPr>
                <w:rFonts w:ascii="Arial" w:hAnsi="Arial" w:cs="Arial"/>
                <w:sz w:val="20"/>
                <w:szCs w:val="20"/>
              </w:rPr>
              <w:t>work</w:t>
            </w:r>
            <w:r>
              <w:rPr>
                <w:rFonts w:ascii="Arial" w:hAnsi="Arial" w:cs="Arial"/>
                <w:sz w:val="20"/>
                <w:szCs w:val="20"/>
              </w:rPr>
              <w:t xml:space="preserve"> will</w:t>
            </w:r>
            <w:r w:rsidR="006D1B38">
              <w:rPr>
                <w:rFonts w:ascii="Arial" w:hAnsi="Arial" w:cs="Arial"/>
                <w:sz w:val="20"/>
                <w:szCs w:val="20"/>
              </w:rPr>
              <w:t xml:space="preserve"> continue</w:t>
            </w:r>
            <w:r>
              <w:rPr>
                <w:rFonts w:ascii="Arial" w:hAnsi="Arial" w:cs="Arial"/>
                <w:sz w:val="20"/>
                <w:szCs w:val="20"/>
              </w:rPr>
              <w:t>.</w:t>
            </w:r>
          </w:p>
          <w:p w14:paraId="415DE57E" w14:textId="77777777" w:rsidR="00601EBD" w:rsidRDefault="00601EBD" w:rsidP="00652DC0">
            <w:pPr>
              <w:ind w:right="5"/>
              <w:rPr>
                <w:rFonts w:ascii="Arial" w:hAnsi="Arial" w:cs="Arial"/>
                <w:sz w:val="20"/>
                <w:szCs w:val="20"/>
              </w:rPr>
            </w:pPr>
          </w:p>
          <w:p w14:paraId="3B954472" w14:textId="77777777" w:rsidR="00EF4187" w:rsidRPr="00906DBF" w:rsidRDefault="00EF4187" w:rsidP="00652DC0">
            <w:pPr>
              <w:ind w:right="5"/>
              <w:rPr>
                <w:rFonts w:ascii="Arial" w:hAnsi="Arial" w:cs="Arial"/>
                <w:b/>
                <w:sz w:val="20"/>
                <w:szCs w:val="20"/>
              </w:rPr>
            </w:pPr>
            <w:r w:rsidRPr="000A720C">
              <w:rPr>
                <w:rFonts w:ascii="Arial" w:eastAsia="Times New Roman" w:hAnsi="Arial" w:cs="Arial"/>
                <w:b/>
                <w:sz w:val="20"/>
                <w:szCs w:val="20"/>
              </w:rPr>
              <w:t>Task 3: Computing Support</w:t>
            </w:r>
          </w:p>
          <w:p w14:paraId="46E850E5" w14:textId="77777777" w:rsidR="00EF4187" w:rsidRPr="00C82DD9" w:rsidRDefault="00EF4187" w:rsidP="00652DC0">
            <w:pPr>
              <w:ind w:right="5"/>
              <w:rPr>
                <w:rFonts w:ascii="Arial" w:hAnsi="Arial" w:cs="Arial"/>
                <w:sz w:val="20"/>
                <w:szCs w:val="20"/>
              </w:rPr>
            </w:pPr>
          </w:p>
          <w:p w14:paraId="4D5297A4" w14:textId="77777777" w:rsidR="00EF4187" w:rsidRDefault="00EF4187" w:rsidP="00652DC0">
            <w:pPr>
              <w:ind w:right="5"/>
              <w:rPr>
                <w:rFonts w:ascii="Arial" w:hAnsi="Arial" w:cs="Arial"/>
                <w:sz w:val="20"/>
                <w:szCs w:val="20"/>
              </w:rPr>
            </w:pPr>
            <w:r>
              <w:rPr>
                <w:rFonts w:ascii="Arial" w:hAnsi="Arial" w:cs="Arial"/>
                <w:sz w:val="20"/>
                <w:szCs w:val="20"/>
              </w:rPr>
              <w:t xml:space="preserve">This </w:t>
            </w:r>
            <w:r w:rsidR="006D1B38">
              <w:rPr>
                <w:rFonts w:ascii="Arial" w:hAnsi="Arial" w:cs="Arial"/>
                <w:sz w:val="20"/>
                <w:szCs w:val="20"/>
              </w:rPr>
              <w:t>work</w:t>
            </w:r>
            <w:r>
              <w:rPr>
                <w:rFonts w:ascii="Arial" w:hAnsi="Arial" w:cs="Arial"/>
                <w:sz w:val="20"/>
                <w:szCs w:val="20"/>
              </w:rPr>
              <w:t xml:space="preserve"> will continue.</w:t>
            </w:r>
          </w:p>
          <w:p w14:paraId="48DE626D" w14:textId="77777777" w:rsidR="00601EBD" w:rsidRDefault="00601EBD" w:rsidP="00652DC0">
            <w:pPr>
              <w:ind w:right="5"/>
              <w:rPr>
                <w:rFonts w:ascii="Arial" w:hAnsi="Arial" w:cs="Arial"/>
                <w:sz w:val="20"/>
                <w:szCs w:val="20"/>
              </w:rPr>
            </w:pPr>
          </w:p>
          <w:p w14:paraId="279C457A" w14:textId="77777777" w:rsidR="00601EBD" w:rsidRDefault="00601EBD" w:rsidP="00652DC0">
            <w:pPr>
              <w:ind w:right="5"/>
              <w:rPr>
                <w:rFonts w:ascii="Arial" w:hAnsi="Arial" w:cs="Arial"/>
                <w:sz w:val="20"/>
                <w:szCs w:val="20"/>
              </w:rPr>
            </w:pPr>
          </w:p>
        </w:tc>
      </w:tr>
      <w:tr w:rsidR="009E6F32" w14:paraId="430CF934" w14:textId="77777777" w:rsidTr="7F0EB5DF">
        <w:tc>
          <w:tcPr>
            <w:tcW w:w="10903" w:type="dxa"/>
          </w:tcPr>
          <w:p w14:paraId="02475AEB" w14:textId="77777777" w:rsidR="009E6F32" w:rsidRDefault="009E6F32" w:rsidP="00551D8A">
            <w:pPr>
              <w:ind w:right="-720"/>
              <w:rPr>
                <w:rFonts w:ascii="Arial" w:hAnsi="Arial" w:cs="Arial"/>
                <w:b/>
                <w:sz w:val="20"/>
                <w:szCs w:val="20"/>
              </w:rPr>
            </w:pPr>
          </w:p>
        </w:tc>
      </w:tr>
    </w:tbl>
    <w:p w14:paraId="398E3FC4"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DB80E4B" w14:textId="77777777" w:rsidTr="00601EBD">
        <w:tc>
          <w:tcPr>
            <w:tcW w:w="10908" w:type="dxa"/>
          </w:tcPr>
          <w:p w14:paraId="7D09E64A" w14:textId="77777777" w:rsidR="00E35E0F" w:rsidRDefault="00E35E0F" w:rsidP="00551D8A">
            <w:pPr>
              <w:ind w:right="-720"/>
              <w:rPr>
                <w:rFonts w:ascii="Arial" w:hAnsi="Arial" w:cs="Arial"/>
                <w:b/>
                <w:sz w:val="20"/>
                <w:szCs w:val="20"/>
              </w:rPr>
            </w:pPr>
          </w:p>
          <w:p w14:paraId="52E3D9CF" w14:textId="77777777" w:rsidR="00601EBD" w:rsidRDefault="00601EBD" w:rsidP="00652DC0">
            <w:pPr>
              <w:ind w:right="5"/>
              <w:rPr>
                <w:rFonts w:ascii="Arial" w:hAnsi="Arial" w:cs="Arial"/>
                <w:b/>
                <w:sz w:val="20"/>
                <w:szCs w:val="20"/>
              </w:rPr>
            </w:pPr>
            <w:r>
              <w:rPr>
                <w:rFonts w:ascii="Arial" w:hAnsi="Arial" w:cs="Arial"/>
                <w:b/>
                <w:sz w:val="20"/>
                <w:szCs w:val="20"/>
              </w:rPr>
              <w:t>Significant Results:</w:t>
            </w:r>
          </w:p>
          <w:p w14:paraId="7F838BF8" w14:textId="77777777" w:rsidR="00601EBD" w:rsidRDefault="00601EBD" w:rsidP="00652DC0">
            <w:pPr>
              <w:ind w:right="5"/>
              <w:rPr>
                <w:rFonts w:ascii="Arial" w:hAnsi="Arial" w:cs="Arial"/>
                <w:b/>
                <w:sz w:val="20"/>
                <w:szCs w:val="20"/>
              </w:rPr>
            </w:pPr>
          </w:p>
          <w:p w14:paraId="5E4983FE" w14:textId="77777777" w:rsidR="00CB499B" w:rsidRDefault="00A905A3" w:rsidP="00A905A3">
            <w:pPr>
              <w:pStyle w:val="ListParagraph"/>
              <w:numPr>
                <w:ilvl w:val="0"/>
                <w:numId w:val="4"/>
              </w:numPr>
              <w:ind w:right="5"/>
              <w:rPr>
                <w:rFonts w:ascii="Arial" w:eastAsia="Times New Roman" w:hAnsi="Arial" w:cs="Arial"/>
                <w:sz w:val="20"/>
                <w:szCs w:val="20"/>
              </w:rPr>
            </w:pPr>
            <w:r>
              <w:rPr>
                <w:rFonts w:ascii="Arial" w:eastAsia="Times New Roman" w:hAnsi="Arial" w:cs="Arial"/>
                <w:sz w:val="20"/>
                <w:szCs w:val="20"/>
              </w:rPr>
              <w:t xml:space="preserve">a CFD-DEM analysis of the onset of </w:t>
            </w:r>
            <w:r w:rsidR="00A767C8">
              <w:rPr>
                <w:rFonts w:ascii="Arial" w:eastAsia="Times New Roman" w:hAnsi="Arial" w:cs="Arial"/>
                <w:sz w:val="20"/>
                <w:szCs w:val="20"/>
              </w:rPr>
              <w:t>motion of</w:t>
            </w:r>
            <w:r>
              <w:rPr>
                <w:rFonts w:ascii="Arial" w:eastAsia="Times New Roman" w:hAnsi="Arial" w:cs="Arial"/>
                <w:sz w:val="20"/>
                <w:szCs w:val="20"/>
              </w:rPr>
              <w:t xml:space="preserve"> particle</w:t>
            </w:r>
            <w:r w:rsidR="00A767C8">
              <w:rPr>
                <w:rFonts w:ascii="Arial" w:eastAsia="Times New Roman" w:hAnsi="Arial" w:cs="Arial"/>
                <w:sz w:val="20"/>
                <w:szCs w:val="20"/>
              </w:rPr>
              <w:t>s</w:t>
            </w:r>
            <w:r>
              <w:rPr>
                <w:rFonts w:ascii="Arial" w:eastAsia="Times New Roman" w:hAnsi="Arial" w:cs="Arial"/>
                <w:sz w:val="20"/>
                <w:szCs w:val="20"/>
              </w:rPr>
              <w:t xml:space="preserve"> </w:t>
            </w:r>
            <w:r w:rsidR="00A767C8">
              <w:rPr>
                <w:rFonts w:ascii="Arial" w:eastAsia="Times New Roman" w:hAnsi="Arial" w:cs="Arial"/>
                <w:sz w:val="20"/>
                <w:szCs w:val="20"/>
              </w:rPr>
              <w:t xml:space="preserve">of varied </w:t>
            </w:r>
            <w:r>
              <w:rPr>
                <w:rFonts w:ascii="Arial" w:eastAsia="Times New Roman" w:hAnsi="Arial" w:cs="Arial"/>
                <w:sz w:val="20"/>
                <w:szCs w:val="20"/>
              </w:rPr>
              <w:t xml:space="preserve">density resulted in a graphical representation of the decay of erosion forces with increasing scour hole depth </w:t>
            </w:r>
          </w:p>
          <w:p w14:paraId="35648D9D" w14:textId="77777777" w:rsidR="00A905A3" w:rsidRPr="00A905A3" w:rsidRDefault="00A905A3" w:rsidP="00A905A3">
            <w:pPr>
              <w:pStyle w:val="ListParagraph"/>
              <w:numPr>
                <w:ilvl w:val="0"/>
                <w:numId w:val="4"/>
              </w:numPr>
              <w:ind w:right="5"/>
              <w:rPr>
                <w:rFonts w:ascii="Arial" w:eastAsia="Times New Roman" w:hAnsi="Arial" w:cs="Arial"/>
                <w:sz w:val="20"/>
                <w:szCs w:val="20"/>
              </w:rPr>
            </w:pPr>
            <w:r>
              <w:rPr>
                <w:rFonts w:ascii="Arial" w:eastAsia="Times New Roman" w:hAnsi="Arial" w:cs="Arial"/>
                <w:sz w:val="20"/>
                <w:szCs w:val="20"/>
              </w:rPr>
              <w:t>CFD models of a section of Maple River were developed and used to simulate flood conditions</w:t>
            </w:r>
            <w:r w:rsidR="00A767C8">
              <w:rPr>
                <w:rFonts w:ascii="Arial" w:eastAsia="Times New Roman" w:hAnsi="Arial" w:cs="Arial"/>
                <w:sz w:val="20"/>
                <w:szCs w:val="20"/>
              </w:rPr>
              <w:t xml:space="preserve"> and determine shear stresses on the banks</w:t>
            </w:r>
          </w:p>
          <w:p w14:paraId="7ACFE7AD" w14:textId="77777777" w:rsidR="00073FE2" w:rsidRDefault="00073FE2" w:rsidP="00652DC0">
            <w:pPr>
              <w:ind w:right="5"/>
              <w:rPr>
                <w:rFonts w:ascii="Arial" w:eastAsia="Times New Roman" w:hAnsi="Arial" w:cs="Arial"/>
                <w:sz w:val="20"/>
                <w:szCs w:val="20"/>
              </w:rPr>
            </w:pPr>
          </w:p>
          <w:p w14:paraId="48D89B5E" w14:textId="77777777" w:rsidR="00073FE2" w:rsidRDefault="00073FE2" w:rsidP="00652DC0">
            <w:pPr>
              <w:ind w:right="5"/>
              <w:rPr>
                <w:rFonts w:ascii="Arial" w:eastAsia="Times New Roman" w:hAnsi="Arial" w:cs="Arial"/>
                <w:sz w:val="20"/>
                <w:szCs w:val="20"/>
              </w:rPr>
            </w:pPr>
          </w:p>
          <w:p w14:paraId="16745EB4" w14:textId="77777777" w:rsidR="00CB499B" w:rsidRPr="0048154F" w:rsidRDefault="00CB499B" w:rsidP="0048154F">
            <w:pPr>
              <w:rPr>
                <w:rFonts w:ascii="Arial" w:eastAsia="Times New Roman" w:hAnsi="Arial" w:cs="Arial"/>
                <w:sz w:val="20"/>
                <w:szCs w:val="20"/>
              </w:rPr>
            </w:pPr>
          </w:p>
          <w:p w14:paraId="068FE7D0" w14:textId="77777777" w:rsidR="00601EBD" w:rsidRDefault="00601EBD" w:rsidP="00551D8A">
            <w:pPr>
              <w:ind w:right="-720"/>
              <w:rPr>
                <w:rFonts w:ascii="Arial" w:hAnsi="Arial" w:cs="Arial"/>
                <w:b/>
                <w:sz w:val="20"/>
                <w:szCs w:val="20"/>
              </w:rPr>
            </w:pPr>
          </w:p>
        </w:tc>
      </w:tr>
      <w:tr w:rsidR="00601EBD" w14:paraId="43E83358" w14:textId="77777777" w:rsidTr="00601EBD">
        <w:tc>
          <w:tcPr>
            <w:tcW w:w="10908" w:type="dxa"/>
          </w:tcPr>
          <w:p w14:paraId="64D92043" w14:textId="77777777" w:rsidR="00E35E0F" w:rsidRDefault="00E35E0F" w:rsidP="00551D8A">
            <w:pPr>
              <w:ind w:right="-720"/>
              <w:rPr>
                <w:rFonts w:ascii="Arial" w:hAnsi="Arial" w:cs="Arial"/>
                <w:b/>
                <w:sz w:val="20"/>
                <w:szCs w:val="20"/>
              </w:rPr>
            </w:pPr>
          </w:p>
          <w:p w14:paraId="773202A9"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752CB9A1"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10FF4C9" w14:textId="77777777"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14:paraId="380B3643" w14:textId="77777777" w:rsidR="00601EBD" w:rsidRDefault="00601EBD" w:rsidP="00551D8A">
            <w:pPr>
              <w:ind w:right="-720"/>
              <w:rPr>
                <w:rFonts w:ascii="Arial" w:hAnsi="Arial" w:cs="Arial"/>
                <w:b/>
                <w:sz w:val="20"/>
                <w:szCs w:val="20"/>
              </w:rPr>
            </w:pPr>
          </w:p>
          <w:p w14:paraId="753C687E" w14:textId="77777777" w:rsidR="00601EBD" w:rsidRDefault="009F1032" w:rsidP="00551D8A">
            <w:pPr>
              <w:ind w:right="-720"/>
              <w:rPr>
                <w:rFonts w:ascii="Arial" w:hAnsi="Arial" w:cs="Arial"/>
                <w:b/>
                <w:sz w:val="20"/>
                <w:szCs w:val="20"/>
              </w:rPr>
            </w:pPr>
            <w:r>
              <w:rPr>
                <w:rFonts w:ascii="Arial" w:hAnsi="Arial" w:cs="Arial"/>
                <w:b/>
                <w:sz w:val="20"/>
                <w:szCs w:val="20"/>
              </w:rPr>
              <w:t>None.</w:t>
            </w:r>
          </w:p>
          <w:p w14:paraId="2463A6D3" w14:textId="77777777" w:rsidR="00601EBD" w:rsidRDefault="00601EBD" w:rsidP="00551D8A">
            <w:pPr>
              <w:ind w:right="-720"/>
              <w:rPr>
                <w:rFonts w:ascii="Arial" w:hAnsi="Arial" w:cs="Arial"/>
                <w:b/>
                <w:sz w:val="20"/>
                <w:szCs w:val="20"/>
              </w:rPr>
            </w:pPr>
          </w:p>
          <w:p w14:paraId="52E1DD58" w14:textId="77777777" w:rsidR="00E35E0F" w:rsidRDefault="00E35E0F" w:rsidP="00551D8A">
            <w:pPr>
              <w:ind w:right="-720"/>
              <w:rPr>
                <w:rFonts w:ascii="Arial" w:hAnsi="Arial" w:cs="Arial"/>
                <w:b/>
                <w:sz w:val="20"/>
                <w:szCs w:val="20"/>
              </w:rPr>
            </w:pPr>
          </w:p>
          <w:p w14:paraId="0830D8B0" w14:textId="77777777" w:rsidR="0021446D" w:rsidRDefault="0021446D" w:rsidP="00551D8A">
            <w:pPr>
              <w:ind w:right="-720"/>
              <w:rPr>
                <w:rFonts w:ascii="Arial" w:hAnsi="Arial" w:cs="Arial"/>
                <w:b/>
                <w:sz w:val="20"/>
                <w:szCs w:val="20"/>
              </w:rPr>
            </w:pPr>
          </w:p>
          <w:p w14:paraId="7FA1743A" w14:textId="77777777" w:rsidR="0021446D" w:rsidRDefault="0021446D" w:rsidP="00551D8A">
            <w:pPr>
              <w:ind w:right="-720"/>
              <w:rPr>
                <w:rFonts w:ascii="Arial" w:hAnsi="Arial" w:cs="Arial"/>
                <w:b/>
                <w:sz w:val="20"/>
                <w:szCs w:val="20"/>
              </w:rPr>
            </w:pPr>
          </w:p>
          <w:p w14:paraId="42BCB9D4" w14:textId="77777777" w:rsidR="0021446D" w:rsidRDefault="0021446D" w:rsidP="00551D8A">
            <w:pPr>
              <w:ind w:right="-720"/>
              <w:rPr>
                <w:rFonts w:ascii="Arial" w:hAnsi="Arial" w:cs="Arial"/>
                <w:b/>
                <w:sz w:val="20"/>
                <w:szCs w:val="20"/>
              </w:rPr>
            </w:pPr>
          </w:p>
          <w:p w14:paraId="5998C030" w14:textId="77777777" w:rsidR="0021446D" w:rsidRDefault="0021446D" w:rsidP="00551D8A">
            <w:pPr>
              <w:ind w:right="-720"/>
              <w:rPr>
                <w:rFonts w:ascii="Arial" w:hAnsi="Arial" w:cs="Arial"/>
                <w:b/>
                <w:sz w:val="20"/>
                <w:szCs w:val="20"/>
              </w:rPr>
            </w:pPr>
          </w:p>
          <w:p w14:paraId="697DA1A7" w14:textId="77777777" w:rsidR="0021446D" w:rsidRDefault="0021446D" w:rsidP="00551D8A">
            <w:pPr>
              <w:ind w:right="-720"/>
              <w:rPr>
                <w:rFonts w:ascii="Arial" w:hAnsi="Arial" w:cs="Arial"/>
                <w:b/>
                <w:sz w:val="20"/>
                <w:szCs w:val="20"/>
              </w:rPr>
            </w:pPr>
          </w:p>
          <w:p w14:paraId="79DFF0A2" w14:textId="77777777" w:rsidR="0021446D" w:rsidRDefault="0021446D" w:rsidP="00551D8A">
            <w:pPr>
              <w:ind w:right="-720"/>
              <w:rPr>
                <w:rFonts w:ascii="Arial" w:hAnsi="Arial" w:cs="Arial"/>
                <w:b/>
                <w:sz w:val="20"/>
                <w:szCs w:val="20"/>
              </w:rPr>
            </w:pPr>
          </w:p>
          <w:p w14:paraId="4AAA4C85" w14:textId="77777777" w:rsidR="0021446D" w:rsidRDefault="0021446D" w:rsidP="00551D8A">
            <w:pPr>
              <w:ind w:right="-720"/>
              <w:rPr>
                <w:rFonts w:ascii="Arial" w:hAnsi="Arial" w:cs="Arial"/>
                <w:b/>
                <w:sz w:val="20"/>
                <w:szCs w:val="20"/>
              </w:rPr>
            </w:pPr>
          </w:p>
          <w:p w14:paraId="6EDB0086" w14:textId="77777777" w:rsidR="0021446D" w:rsidRDefault="0021446D" w:rsidP="00551D8A">
            <w:pPr>
              <w:ind w:right="-720"/>
              <w:rPr>
                <w:rFonts w:ascii="Arial" w:hAnsi="Arial" w:cs="Arial"/>
                <w:b/>
                <w:sz w:val="20"/>
                <w:szCs w:val="20"/>
              </w:rPr>
            </w:pPr>
          </w:p>
          <w:p w14:paraId="6CD153CF" w14:textId="77777777" w:rsidR="00601EBD" w:rsidRDefault="00601EBD" w:rsidP="00551D8A">
            <w:pPr>
              <w:ind w:right="-720"/>
              <w:rPr>
                <w:rFonts w:ascii="Arial" w:hAnsi="Arial" w:cs="Arial"/>
                <w:b/>
                <w:sz w:val="20"/>
                <w:szCs w:val="20"/>
              </w:rPr>
            </w:pPr>
          </w:p>
          <w:p w14:paraId="6C51027A" w14:textId="77777777" w:rsidR="00601EBD" w:rsidRDefault="00601EBD" w:rsidP="00551D8A">
            <w:pPr>
              <w:ind w:right="-720"/>
              <w:rPr>
                <w:rFonts w:ascii="Arial" w:hAnsi="Arial" w:cs="Arial"/>
                <w:b/>
                <w:sz w:val="20"/>
                <w:szCs w:val="20"/>
              </w:rPr>
            </w:pPr>
          </w:p>
          <w:p w14:paraId="5AFC239A" w14:textId="77777777" w:rsidR="00601EBD" w:rsidRDefault="00601EBD" w:rsidP="00551D8A">
            <w:pPr>
              <w:ind w:right="-720"/>
              <w:rPr>
                <w:rFonts w:ascii="Arial" w:hAnsi="Arial" w:cs="Arial"/>
                <w:b/>
                <w:sz w:val="20"/>
                <w:szCs w:val="20"/>
              </w:rPr>
            </w:pPr>
          </w:p>
          <w:p w14:paraId="1FEB99B1" w14:textId="77777777" w:rsidR="00601EBD" w:rsidRDefault="00601EBD" w:rsidP="00551D8A">
            <w:pPr>
              <w:ind w:right="-720"/>
              <w:rPr>
                <w:rFonts w:ascii="Arial" w:hAnsi="Arial" w:cs="Arial"/>
                <w:b/>
                <w:sz w:val="20"/>
                <w:szCs w:val="20"/>
              </w:rPr>
            </w:pPr>
          </w:p>
          <w:p w14:paraId="13DFF627" w14:textId="77777777" w:rsidR="00D90098" w:rsidRDefault="00D90098" w:rsidP="00551D8A">
            <w:pPr>
              <w:ind w:right="-720"/>
              <w:rPr>
                <w:rFonts w:ascii="Arial" w:hAnsi="Arial" w:cs="Arial"/>
                <w:b/>
                <w:sz w:val="20"/>
                <w:szCs w:val="20"/>
              </w:rPr>
            </w:pPr>
          </w:p>
          <w:p w14:paraId="089B215E" w14:textId="77777777" w:rsidR="00601EBD" w:rsidRDefault="00601EBD" w:rsidP="00551D8A">
            <w:pPr>
              <w:ind w:right="-720"/>
              <w:rPr>
                <w:rFonts w:ascii="Arial" w:hAnsi="Arial" w:cs="Arial"/>
                <w:b/>
                <w:sz w:val="20"/>
                <w:szCs w:val="20"/>
              </w:rPr>
            </w:pPr>
          </w:p>
        </w:tc>
      </w:tr>
    </w:tbl>
    <w:p w14:paraId="7F12CA28" w14:textId="77777777" w:rsidR="00037FBC" w:rsidRDefault="00037FBC" w:rsidP="00551D8A">
      <w:pPr>
        <w:spacing w:after="0"/>
        <w:ind w:left="-720" w:right="-720"/>
        <w:rPr>
          <w:rFonts w:ascii="Arial" w:hAnsi="Arial" w:cs="Arial"/>
          <w:sz w:val="20"/>
          <w:szCs w:val="20"/>
        </w:rPr>
      </w:pPr>
    </w:p>
    <w:p w14:paraId="644F73D0" w14:textId="77777777" w:rsidR="00F30AAF" w:rsidRDefault="00F30AAF" w:rsidP="00551D8A">
      <w:pPr>
        <w:spacing w:after="0"/>
        <w:ind w:left="-720" w:right="-720"/>
        <w:rPr>
          <w:rFonts w:ascii="Arial" w:hAnsi="Arial" w:cs="Arial"/>
          <w:sz w:val="20"/>
          <w:szCs w:val="20"/>
        </w:rPr>
      </w:pPr>
    </w:p>
    <w:p w14:paraId="317628EC" w14:textId="77777777" w:rsidR="00D90098" w:rsidRDefault="00D90098" w:rsidP="00551D8A">
      <w:pPr>
        <w:spacing w:after="0"/>
        <w:ind w:left="-720" w:right="-720"/>
        <w:rPr>
          <w:rFonts w:ascii="Arial" w:hAnsi="Arial" w:cs="Arial"/>
          <w:sz w:val="20"/>
          <w:szCs w:val="20"/>
        </w:rPr>
      </w:pPr>
    </w:p>
    <w:p w14:paraId="18535E77" w14:textId="77777777" w:rsidR="00F30AAF" w:rsidRDefault="00F30AAF" w:rsidP="00551D8A">
      <w:pPr>
        <w:spacing w:after="0"/>
        <w:ind w:left="-720" w:right="-720"/>
        <w:rPr>
          <w:rFonts w:ascii="Arial" w:hAnsi="Arial" w:cs="Arial"/>
          <w:sz w:val="20"/>
          <w:szCs w:val="20"/>
        </w:rPr>
      </w:pPr>
    </w:p>
    <w:p w14:paraId="1061C215" w14:textId="77777777" w:rsidR="00F30AAF" w:rsidRDefault="00F30AAF"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5E80F42C" w14:textId="77777777" w:rsidTr="00E35E0F">
        <w:tc>
          <w:tcPr>
            <w:tcW w:w="10908" w:type="dxa"/>
          </w:tcPr>
          <w:p w14:paraId="32BD8C0D" w14:textId="77777777" w:rsidR="00E35E0F" w:rsidRDefault="00E35E0F" w:rsidP="00551D8A">
            <w:pPr>
              <w:ind w:right="-720"/>
              <w:rPr>
                <w:rFonts w:ascii="Arial" w:hAnsi="Arial" w:cs="Arial"/>
                <w:sz w:val="20"/>
                <w:szCs w:val="20"/>
              </w:rPr>
            </w:pPr>
          </w:p>
          <w:p w14:paraId="108DF04C" w14:textId="77777777" w:rsidR="00E35E0F" w:rsidRDefault="00E35E0F" w:rsidP="00652DC0">
            <w:pPr>
              <w:ind w:right="5"/>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r w:rsidR="00A767C8">
              <w:rPr>
                <w:rFonts w:ascii="Arial" w:hAnsi="Arial" w:cs="Arial"/>
                <w:sz w:val="20"/>
                <w:szCs w:val="20"/>
              </w:rPr>
              <w:t>The DEM onset of particle motion stud</w:t>
            </w:r>
            <w:r w:rsidR="002B2E90">
              <w:rPr>
                <w:rFonts w:ascii="Arial" w:hAnsi="Arial" w:cs="Arial"/>
                <w:sz w:val="20"/>
                <w:szCs w:val="20"/>
              </w:rPr>
              <w:t>y</w:t>
            </w:r>
            <w:r w:rsidR="00A767C8">
              <w:rPr>
                <w:rFonts w:ascii="Arial" w:hAnsi="Arial" w:cs="Arial"/>
                <w:sz w:val="20"/>
                <w:szCs w:val="20"/>
              </w:rPr>
              <w:t xml:space="preserve"> </w:t>
            </w:r>
            <w:r w:rsidR="002B2E90">
              <w:rPr>
                <w:rFonts w:ascii="Arial" w:hAnsi="Arial" w:cs="Arial"/>
                <w:sz w:val="20"/>
                <w:szCs w:val="20"/>
              </w:rPr>
              <w:t>is</w:t>
            </w:r>
            <w:r w:rsidR="00A767C8">
              <w:rPr>
                <w:rFonts w:ascii="Arial" w:hAnsi="Arial" w:cs="Arial"/>
                <w:sz w:val="20"/>
                <w:szCs w:val="20"/>
              </w:rPr>
              <w:t xml:space="preserve"> being used to develop better methods to assess scour risk. The stream stability study is focused on developing a better method to predict stream migration risk and rates from</w:t>
            </w:r>
            <w:r w:rsidR="002B2E90">
              <w:rPr>
                <w:rFonts w:ascii="Arial" w:hAnsi="Arial" w:cs="Arial"/>
                <w:sz w:val="20"/>
                <w:szCs w:val="20"/>
              </w:rPr>
              <w:t xml:space="preserve"> rainfall rates over long periods of time.</w:t>
            </w:r>
          </w:p>
          <w:p w14:paraId="3521F5D0" w14:textId="77777777" w:rsidR="00547EE3" w:rsidRDefault="00547EE3" w:rsidP="00652DC0">
            <w:pPr>
              <w:ind w:right="5"/>
              <w:rPr>
                <w:rFonts w:ascii="Arial" w:hAnsi="Arial" w:cs="Arial"/>
                <w:sz w:val="20"/>
                <w:szCs w:val="20"/>
              </w:rPr>
            </w:pPr>
          </w:p>
          <w:p w14:paraId="527AEDDC" w14:textId="77777777" w:rsidR="00E35E0F" w:rsidRDefault="00E35E0F" w:rsidP="00A767C8">
            <w:pPr>
              <w:ind w:right="5"/>
              <w:rPr>
                <w:rFonts w:ascii="Arial" w:hAnsi="Arial" w:cs="Arial"/>
                <w:sz w:val="20"/>
                <w:szCs w:val="20"/>
              </w:rPr>
            </w:pPr>
          </w:p>
        </w:tc>
      </w:tr>
    </w:tbl>
    <w:p w14:paraId="3A438ABC"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6"/>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361F0F" w14:textId="77777777" w:rsidR="00094911" w:rsidRDefault="00094911" w:rsidP="00106C83">
      <w:pPr>
        <w:spacing w:after="0" w:line="240" w:lineRule="auto"/>
      </w:pPr>
      <w:r>
        <w:separator/>
      </w:r>
    </w:p>
  </w:endnote>
  <w:endnote w:type="continuationSeparator" w:id="0">
    <w:p w14:paraId="3FC0A438" w14:textId="77777777" w:rsidR="00094911" w:rsidRDefault="0009491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2BE2D4" w14:textId="77777777" w:rsidR="00A43875" w:rsidRDefault="00A43875" w:rsidP="00E371D1">
    <w:pPr>
      <w:pStyle w:val="Footer"/>
      <w:ind w:left="-810"/>
    </w:pPr>
    <w:r>
      <w:t xml:space="preserve">TPF </w:t>
    </w:r>
    <w:r w:rsidR="00CC4E9A">
      <w:t>– 5(279) Q</w:t>
    </w:r>
    <w:r w:rsidR="00A767C8">
      <w:t>1</w:t>
    </w:r>
    <w:r w:rsidR="00CC4E9A">
      <w:t xml:space="preserve"> 201</w:t>
    </w:r>
    <w:r w:rsidR="00A767C8">
      <w:t>7</w:t>
    </w:r>
    <w:r w:rsidR="00F30AAF">
      <w:t xml:space="preserve"> Report</w:t>
    </w:r>
  </w:p>
  <w:p w14:paraId="46688AD0" w14:textId="77777777"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5F311A" w14:textId="77777777" w:rsidR="00094911" w:rsidRDefault="00094911" w:rsidP="00106C83">
      <w:pPr>
        <w:spacing w:after="0" w:line="240" w:lineRule="auto"/>
      </w:pPr>
      <w:r>
        <w:separator/>
      </w:r>
    </w:p>
  </w:footnote>
  <w:footnote w:type="continuationSeparator" w:id="0">
    <w:p w14:paraId="61FE20D5" w14:textId="77777777" w:rsidR="00094911" w:rsidRDefault="00094911"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E56F28"/>
    <w:multiLevelType w:val="hybridMultilevel"/>
    <w:tmpl w:val="4E101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AB4B28"/>
    <w:multiLevelType w:val="hybridMultilevel"/>
    <w:tmpl w:val="E818A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C662BB"/>
    <w:multiLevelType w:val="hybridMultilevel"/>
    <w:tmpl w:val="BB7E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B052C7"/>
    <w:multiLevelType w:val="hybridMultilevel"/>
    <w:tmpl w:val="BDC0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7A3BBB"/>
    <w:multiLevelType w:val="hybridMultilevel"/>
    <w:tmpl w:val="6F629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7FBC"/>
    <w:rsid w:val="000567EC"/>
    <w:rsid w:val="00071FBC"/>
    <w:rsid w:val="000736BB"/>
    <w:rsid w:val="00073FE2"/>
    <w:rsid w:val="00094911"/>
    <w:rsid w:val="000A720C"/>
    <w:rsid w:val="000B665A"/>
    <w:rsid w:val="000E6DCB"/>
    <w:rsid w:val="00106C83"/>
    <w:rsid w:val="001547D0"/>
    <w:rsid w:val="00161153"/>
    <w:rsid w:val="001B7C44"/>
    <w:rsid w:val="001D150C"/>
    <w:rsid w:val="0021293D"/>
    <w:rsid w:val="0021446D"/>
    <w:rsid w:val="00293FD8"/>
    <w:rsid w:val="002A79C8"/>
    <w:rsid w:val="002B2E90"/>
    <w:rsid w:val="002E0895"/>
    <w:rsid w:val="00355987"/>
    <w:rsid w:val="00361F09"/>
    <w:rsid w:val="0038705A"/>
    <w:rsid w:val="003912C1"/>
    <w:rsid w:val="00396627"/>
    <w:rsid w:val="003D7EA5"/>
    <w:rsid w:val="004144E6"/>
    <w:rsid w:val="004156B2"/>
    <w:rsid w:val="00427459"/>
    <w:rsid w:val="00437734"/>
    <w:rsid w:val="0048154F"/>
    <w:rsid w:val="004E14DC"/>
    <w:rsid w:val="004F49D5"/>
    <w:rsid w:val="004F5017"/>
    <w:rsid w:val="00535598"/>
    <w:rsid w:val="00547EE3"/>
    <w:rsid w:val="00551030"/>
    <w:rsid w:val="00551D8A"/>
    <w:rsid w:val="00581B36"/>
    <w:rsid w:val="00583E8E"/>
    <w:rsid w:val="00601EBD"/>
    <w:rsid w:val="00652DC0"/>
    <w:rsid w:val="00682C5E"/>
    <w:rsid w:val="006B106E"/>
    <w:rsid w:val="006D1B38"/>
    <w:rsid w:val="006E4EA4"/>
    <w:rsid w:val="00743C01"/>
    <w:rsid w:val="00790C4A"/>
    <w:rsid w:val="007E5BD2"/>
    <w:rsid w:val="00872F18"/>
    <w:rsid w:val="00874EF7"/>
    <w:rsid w:val="00877A25"/>
    <w:rsid w:val="00906DBF"/>
    <w:rsid w:val="009D3C31"/>
    <w:rsid w:val="009E6837"/>
    <w:rsid w:val="009E6F32"/>
    <w:rsid w:val="009F1032"/>
    <w:rsid w:val="009F3AE6"/>
    <w:rsid w:val="00A43875"/>
    <w:rsid w:val="00A63677"/>
    <w:rsid w:val="00A767C8"/>
    <w:rsid w:val="00A905A3"/>
    <w:rsid w:val="00AE46B0"/>
    <w:rsid w:val="00B2185C"/>
    <w:rsid w:val="00B242E2"/>
    <w:rsid w:val="00B66A21"/>
    <w:rsid w:val="00BA622C"/>
    <w:rsid w:val="00BB13ED"/>
    <w:rsid w:val="00C13753"/>
    <w:rsid w:val="00C72490"/>
    <w:rsid w:val="00C82DD9"/>
    <w:rsid w:val="00CA55F7"/>
    <w:rsid w:val="00CB499B"/>
    <w:rsid w:val="00CC0487"/>
    <w:rsid w:val="00CC4E9A"/>
    <w:rsid w:val="00CF54CD"/>
    <w:rsid w:val="00D05A62"/>
    <w:rsid w:val="00D05DC0"/>
    <w:rsid w:val="00D3705C"/>
    <w:rsid w:val="00D90098"/>
    <w:rsid w:val="00E35E0F"/>
    <w:rsid w:val="00E371D1"/>
    <w:rsid w:val="00E53738"/>
    <w:rsid w:val="00E665E9"/>
    <w:rsid w:val="00ED5F67"/>
    <w:rsid w:val="00EF08AE"/>
    <w:rsid w:val="00EF4187"/>
    <w:rsid w:val="00EF5790"/>
    <w:rsid w:val="00F30AAF"/>
    <w:rsid w:val="00FA0047"/>
    <w:rsid w:val="00FD5EA2"/>
    <w:rsid w:val="00FF32BE"/>
    <w:rsid w:val="7F0EB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B41C37"/>
  <w15:docId w15:val="{4219E93C-BD45-4031-A8EE-E5BFC89C1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0A720C"/>
    <w:rPr>
      <w:b/>
      <w:bCs/>
    </w:rPr>
  </w:style>
  <w:style w:type="paragraph" w:styleId="ListParagraph">
    <w:name w:val="List Paragraph"/>
    <w:basedOn w:val="Normal"/>
    <w:uiPriority w:val="34"/>
    <w:qFormat/>
    <w:rsid w:val="00BA62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7983228">
      <w:bodyDiv w:val="1"/>
      <w:marLeft w:val="0"/>
      <w:marRight w:val="0"/>
      <w:marTop w:val="0"/>
      <w:marBottom w:val="0"/>
      <w:divBdr>
        <w:top w:val="none" w:sz="0" w:space="0" w:color="auto"/>
        <w:left w:val="none" w:sz="0" w:space="0" w:color="auto"/>
        <w:bottom w:val="none" w:sz="0" w:space="0" w:color="auto"/>
        <w:right w:val="none" w:sz="0" w:space="0" w:color="auto"/>
      </w:divBdr>
    </w:div>
    <w:div w:id="152269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msitek\Documents\PROJECTS\Scour-ForceResponders\circularPierDenmark\DecayFunction\MaxFlowVel@Depths%20(Autosaved)%20(Autosaved).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sitek\Documents\PROJECTS\Scour-ForceResponders\circularPierDenmark\DecayFunction\MaxFlowVel@Depths%20(Autosaved)%20(Autosaved).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7"/>
          <c:order val="0"/>
          <c:tx>
            <c:v>scoured-min</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'Uniform inlet flow'!$W$5:$W$12</c:f>
              <c:numCache>
                <c:formatCode>General</c:formatCode>
                <c:ptCount val="8"/>
                <c:pt idx="0">
                  <c:v>21.3</c:v>
                </c:pt>
                <c:pt idx="1">
                  <c:v>15.9</c:v>
                </c:pt>
                <c:pt idx="2">
                  <c:v>13</c:v>
                </c:pt>
                <c:pt idx="3">
                  <c:v>11.6</c:v>
                </c:pt>
                <c:pt idx="4">
                  <c:v>10.8</c:v>
                </c:pt>
                <c:pt idx="5">
                  <c:v>9.1999999999999993</c:v>
                </c:pt>
                <c:pt idx="6">
                  <c:v>7.9</c:v>
                </c:pt>
                <c:pt idx="7">
                  <c:v>6.5</c:v>
                </c:pt>
              </c:numCache>
            </c:numRef>
          </c:xVal>
          <c:yVal>
            <c:numRef>
              <c:f>'-contd'!$A$3:$A$9</c:f>
              <c:numCache>
                <c:formatCode>General</c:formatCode>
                <c:ptCount val="7"/>
                <c:pt idx="0">
                  <c:v>0</c:v>
                </c:pt>
                <c:pt idx="1">
                  <c:v>-0.28125</c:v>
                </c:pt>
                <c:pt idx="2">
                  <c:v>-0.53125</c:v>
                </c:pt>
                <c:pt idx="3">
                  <c:v>-0.65625</c:v>
                </c:pt>
                <c:pt idx="4">
                  <c:v>-0.78125</c:v>
                </c:pt>
                <c:pt idx="5">
                  <c:v>-0.90624999999999989</c:v>
                </c:pt>
                <c:pt idx="6">
                  <c:v>-1</c:v>
                </c:pt>
              </c:numCache>
            </c:numRef>
          </c:yVal>
          <c:smooth val="0"/>
          <c:extLst xmlns:c16r2="http://schemas.microsoft.com/office/drawing/2015/06/chart">
            <c:ext xmlns:c16="http://schemas.microsoft.com/office/drawing/2014/chart" uri="{C3380CC4-5D6E-409C-BE32-E72D297353CC}">
              <c16:uniqueId val="{00000000-6AD2-4F29-8FAD-D53AD0D4C07B}"/>
            </c:ext>
          </c:extLst>
        </c:ser>
        <c:ser>
          <c:idx val="8"/>
          <c:order val="1"/>
          <c:tx>
            <c:v>scoured-max</c:v>
          </c:tx>
          <c:spPr>
            <a:ln w="19050"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xVal>
            <c:numRef>
              <c:f>'Uniform inlet flow'!$Y$5:$Y$12</c:f>
              <c:numCache>
                <c:formatCode>General</c:formatCode>
                <c:ptCount val="8"/>
                <c:pt idx="0">
                  <c:v>41.6</c:v>
                </c:pt>
                <c:pt idx="1">
                  <c:v>30.9</c:v>
                </c:pt>
                <c:pt idx="2">
                  <c:v>25.2</c:v>
                </c:pt>
                <c:pt idx="3">
                  <c:v>22.2</c:v>
                </c:pt>
                <c:pt idx="4">
                  <c:v>20.6</c:v>
                </c:pt>
                <c:pt idx="5">
                  <c:v>17.5</c:v>
                </c:pt>
                <c:pt idx="6">
                  <c:v>14.8</c:v>
                </c:pt>
                <c:pt idx="7">
                  <c:v>12</c:v>
                </c:pt>
              </c:numCache>
            </c:numRef>
          </c:xVal>
          <c:yVal>
            <c:numRef>
              <c:f>'-contd'!$A$3:$A$9</c:f>
              <c:numCache>
                <c:formatCode>General</c:formatCode>
                <c:ptCount val="7"/>
                <c:pt idx="0">
                  <c:v>0</c:v>
                </c:pt>
                <c:pt idx="1">
                  <c:v>-0.28125</c:v>
                </c:pt>
                <c:pt idx="2">
                  <c:v>-0.53125</c:v>
                </c:pt>
                <c:pt idx="3">
                  <c:v>-0.65625</c:v>
                </c:pt>
                <c:pt idx="4">
                  <c:v>-0.78125</c:v>
                </c:pt>
                <c:pt idx="5">
                  <c:v>-0.90624999999999989</c:v>
                </c:pt>
                <c:pt idx="6">
                  <c:v>-1</c:v>
                </c:pt>
              </c:numCache>
            </c:numRef>
          </c:yVal>
          <c:smooth val="0"/>
          <c:extLst xmlns:c16r2="http://schemas.microsoft.com/office/drawing/2015/06/chart">
            <c:ext xmlns:c16="http://schemas.microsoft.com/office/drawing/2014/chart" uri="{C3380CC4-5D6E-409C-BE32-E72D297353CC}">
              <c16:uniqueId val="{00000001-6AD2-4F29-8FAD-D53AD0D4C07B}"/>
            </c:ext>
          </c:extLst>
        </c:ser>
        <c:ser>
          <c:idx val="9"/>
          <c:order val="2"/>
          <c:tx>
            <c:v>scoured-CFD</c:v>
          </c:tx>
          <c:spPr>
            <a:ln w="19050" cap="rnd">
              <a:solidFill>
                <a:srgbClr val="FF0000"/>
              </a:solidFill>
              <a:round/>
            </a:ln>
            <a:effectLst/>
          </c:spPr>
          <c:marker>
            <c:symbol val="circle"/>
            <c:size val="5"/>
            <c:spPr>
              <a:solidFill>
                <a:srgbClr val="FF0000"/>
              </a:solidFill>
              <a:ln w="9525">
                <a:solidFill>
                  <a:srgbClr val="FF0000"/>
                </a:solidFill>
              </a:ln>
              <a:effectLst/>
            </c:spPr>
          </c:marker>
          <c:xVal>
            <c:numRef>
              <c:f>'Uniform inlet flow'!$F$5:$F$12</c:f>
              <c:numCache>
                <c:formatCode>General</c:formatCode>
                <c:ptCount val="8"/>
                <c:pt idx="0">
                  <c:v>26</c:v>
                </c:pt>
                <c:pt idx="1">
                  <c:v>19</c:v>
                </c:pt>
                <c:pt idx="2">
                  <c:v>16</c:v>
                </c:pt>
                <c:pt idx="3">
                  <c:v>13</c:v>
                </c:pt>
                <c:pt idx="4">
                  <c:v>12</c:v>
                </c:pt>
                <c:pt idx="5">
                  <c:v>11</c:v>
                </c:pt>
                <c:pt idx="6">
                  <c:v>9</c:v>
                </c:pt>
                <c:pt idx="7">
                  <c:v>7</c:v>
                </c:pt>
              </c:numCache>
            </c:numRef>
          </c:xVal>
          <c:yVal>
            <c:numRef>
              <c:f>'-contd'!$A$3:$A$9</c:f>
              <c:numCache>
                <c:formatCode>General</c:formatCode>
                <c:ptCount val="7"/>
                <c:pt idx="0">
                  <c:v>0</c:v>
                </c:pt>
                <c:pt idx="1">
                  <c:v>-0.28125</c:v>
                </c:pt>
                <c:pt idx="2">
                  <c:v>-0.53125</c:v>
                </c:pt>
                <c:pt idx="3">
                  <c:v>-0.65625</c:v>
                </c:pt>
                <c:pt idx="4">
                  <c:v>-0.78125</c:v>
                </c:pt>
                <c:pt idx="5">
                  <c:v>-0.90624999999999989</c:v>
                </c:pt>
                <c:pt idx="6">
                  <c:v>-1</c:v>
                </c:pt>
              </c:numCache>
            </c:numRef>
          </c:yVal>
          <c:smooth val="0"/>
          <c:extLst xmlns:c16r2="http://schemas.microsoft.com/office/drawing/2015/06/chart">
            <c:ext xmlns:c16="http://schemas.microsoft.com/office/drawing/2014/chart" uri="{C3380CC4-5D6E-409C-BE32-E72D297353CC}">
              <c16:uniqueId val="{00000002-6AD2-4F29-8FAD-D53AD0D4C07B}"/>
            </c:ext>
          </c:extLst>
        </c:ser>
        <c:dLbls>
          <c:showLegendKey val="0"/>
          <c:showVal val="0"/>
          <c:showCatName val="0"/>
          <c:showSerName val="0"/>
          <c:showPercent val="0"/>
          <c:showBubbleSize val="0"/>
        </c:dLbls>
        <c:axId val="763461064"/>
        <c:axId val="763454400"/>
        <c:extLst xmlns:c16r2="http://schemas.microsoft.com/office/drawing/2015/06/chart">
          <c:ext xmlns:c15="http://schemas.microsoft.com/office/drawing/2012/chart" uri="{02D57815-91ED-43cb-92C2-25804820EDAC}">
            <c15:filteredScatterSeries>
              <c15:ser>
                <c:idx val="5"/>
                <c:order val="3"/>
                <c:tx>
                  <c:v>flat-min</c:v>
                </c:tx>
                <c:spPr>
                  <a:ln w="19050" cap="rnd">
                    <a:solidFill>
                      <a:srgbClr val="92D050"/>
                    </a:solidFill>
                    <a:round/>
                  </a:ln>
                  <a:effectLst/>
                </c:spPr>
                <c:marker>
                  <c:symbol val="x"/>
                  <c:size val="5"/>
                  <c:spPr>
                    <a:noFill/>
                    <a:ln w="9525">
                      <a:solidFill>
                        <a:srgbClr val="92D050"/>
                      </a:solidFill>
                    </a:ln>
                    <a:effectLst/>
                  </c:spPr>
                </c:marker>
                <c:xVal>
                  <c:numRef>
                    <c:extLst xmlns:c16r2="http://schemas.microsoft.com/office/drawing/2015/06/chart">
                      <c:ext uri="{02D57815-91ED-43cb-92C2-25804820EDAC}">
                        <c15:formulaRef>
                          <c15:sqref>('Uniform inlet flow'!$AD$5:$AD$9,'Uniform inlet flow'!$AD$11:$AD$12)</c15:sqref>
                        </c15:formulaRef>
                      </c:ext>
                    </c:extLst>
                    <c:numCache>
                      <c:formatCode>General</c:formatCode>
                      <c:ptCount val="7"/>
                      <c:pt idx="0">
                        <c:v>21.3</c:v>
                      </c:pt>
                      <c:pt idx="1">
                        <c:v>12.7</c:v>
                      </c:pt>
                      <c:pt idx="2">
                        <c:v>8.8000000000000007</c:v>
                      </c:pt>
                      <c:pt idx="3">
                        <c:v>7.7</c:v>
                      </c:pt>
                      <c:pt idx="4">
                        <c:v>6.6</c:v>
                      </c:pt>
                      <c:pt idx="5">
                        <c:v>5.6</c:v>
                      </c:pt>
                      <c:pt idx="6">
                        <c:v>5.5</c:v>
                      </c:pt>
                    </c:numCache>
                  </c:numRef>
                </c:xVal>
                <c:yVal>
                  <c:numRef>
                    <c:extLst xmlns:c16r2="http://schemas.microsoft.com/office/drawing/2015/06/chart">
                      <c:ext uri="{02D57815-91ED-43cb-92C2-25804820EDAC}">
                        <c15:formulaRef>
                          <c15:sqref>'-contd'!$A$3:$A$9</c15:sqref>
                        </c15:formulaRef>
                      </c:ext>
                    </c:extLst>
                    <c:numCache>
                      <c:formatCode>General</c:formatCode>
                      <c:ptCount val="7"/>
                      <c:pt idx="0">
                        <c:v>0</c:v>
                      </c:pt>
                      <c:pt idx="1">
                        <c:v>-0.28125</c:v>
                      </c:pt>
                      <c:pt idx="2">
                        <c:v>-0.53125</c:v>
                      </c:pt>
                      <c:pt idx="3">
                        <c:v>-0.65625</c:v>
                      </c:pt>
                      <c:pt idx="4">
                        <c:v>-0.78125</c:v>
                      </c:pt>
                      <c:pt idx="5">
                        <c:v>-0.90624999999999989</c:v>
                      </c:pt>
                      <c:pt idx="6">
                        <c:v>-1</c:v>
                      </c:pt>
                    </c:numCache>
                  </c:numRef>
                </c:yVal>
                <c:smooth val="0"/>
                <c:extLst xmlns:c16r2="http://schemas.microsoft.com/office/drawing/2015/06/chart">
                  <c:ext xmlns:c16="http://schemas.microsoft.com/office/drawing/2014/chart" uri="{C3380CC4-5D6E-409C-BE32-E72D297353CC}">
                    <c16:uniqueId val="{00000003-6AD2-4F29-8FAD-D53AD0D4C07B}"/>
                  </c:ext>
                </c:extLst>
              </c15:ser>
            </c15:filteredScatterSeries>
            <c15:filteredScatterSeries>
              <c15:ser>
                <c:idx val="3"/>
                <c:order val="4"/>
                <c:tx>
                  <c:v>flat-max</c:v>
                </c:tx>
                <c:spPr>
                  <a:ln w="19050" cap="rnd">
                    <a:solidFill>
                      <a:srgbClr val="00B050"/>
                    </a:solidFill>
                    <a:round/>
                  </a:ln>
                  <a:effectLst/>
                </c:spPr>
                <c:marker>
                  <c:symbol val="x"/>
                  <c:size val="5"/>
                  <c:spPr>
                    <a:noFill/>
                    <a:ln w="9525">
                      <a:solidFill>
                        <a:srgbClr val="00B050"/>
                      </a:solidFill>
                    </a:ln>
                    <a:effectLst/>
                  </c:spPr>
                </c:marker>
                <c:xVal>
                  <c:numRef>
                    <c:extLst xmlns:c15="http://schemas.microsoft.com/office/drawing/2012/chart" xmlns:c16r2="http://schemas.microsoft.com/office/drawing/2015/06/chart">
                      <c:ext xmlns:c15="http://schemas.microsoft.com/office/drawing/2012/chart" uri="{02D57815-91ED-43cb-92C2-25804820EDAC}">
                        <c15:formulaRef>
                          <c15:sqref>('Uniform inlet flow'!$AF$5:$AF$9,'Uniform inlet flow'!$AF$11:$AF$12)</c15:sqref>
                        </c15:formulaRef>
                      </c:ext>
                    </c:extLst>
                    <c:numCache>
                      <c:formatCode>General</c:formatCode>
                      <c:ptCount val="7"/>
                      <c:pt idx="0">
                        <c:v>41.6</c:v>
                      </c:pt>
                      <c:pt idx="1">
                        <c:v>24.4</c:v>
                      </c:pt>
                      <c:pt idx="2">
                        <c:v>16.600000000000001</c:v>
                      </c:pt>
                      <c:pt idx="3">
                        <c:v>14.4</c:v>
                      </c:pt>
                      <c:pt idx="4">
                        <c:v>12.3</c:v>
                      </c:pt>
                      <c:pt idx="5">
                        <c:v>10.3</c:v>
                      </c:pt>
                      <c:pt idx="6">
                        <c:v>10</c:v>
                      </c:pt>
                    </c:numCache>
                  </c:numRef>
                </c:xVal>
                <c:yVal>
                  <c:numRef>
                    <c:extLst xmlns:c15="http://schemas.microsoft.com/office/drawing/2012/chart" xmlns:c16r2="http://schemas.microsoft.com/office/drawing/2015/06/chart">
                      <c:ext xmlns:c15="http://schemas.microsoft.com/office/drawing/2012/chart" uri="{02D57815-91ED-43cb-92C2-25804820EDAC}">
                        <c15:formulaRef>
                          <c15:sqref>'-contd'!$A$3:$A$9</c15:sqref>
                        </c15:formulaRef>
                      </c:ext>
                    </c:extLst>
                    <c:numCache>
                      <c:formatCode>General</c:formatCode>
                      <c:ptCount val="7"/>
                      <c:pt idx="0">
                        <c:v>0</c:v>
                      </c:pt>
                      <c:pt idx="1">
                        <c:v>-0.28125</c:v>
                      </c:pt>
                      <c:pt idx="2">
                        <c:v>-0.53125</c:v>
                      </c:pt>
                      <c:pt idx="3">
                        <c:v>-0.65625</c:v>
                      </c:pt>
                      <c:pt idx="4">
                        <c:v>-0.78125</c:v>
                      </c:pt>
                      <c:pt idx="5">
                        <c:v>-0.90624999999999989</c:v>
                      </c:pt>
                      <c:pt idx="6">
                        <c:v>-1</c:v>
                      </c:pt>
                    </c:numCache>
                  </c:numRef>
                </c:yVal>
                <c:smooth val="0"/>
                <c:extLst xmlns:c15="http://schemas.microsoft.com/office/drawing/2012/chart" xmlns:c16r2="http://schemas.microsoft.com/office/drawing/2015/06/chart">
                  <c:ext xmlns:c16="http://schemas.microsoft.com/office/drawing/2014/chart" uri="{C3380CC4-5D6E-409C-BE32-E72D297353CC}">
                    <c16:uniqueId val="{00000004-6AD2-4F29-8FAD-D53AD0D4C07B}"/>
                  </c:ext>
                </c:extLst>
              </c15:ser>
            </c15:filteredScatterSeries>
            <c15:filteredScatterSeries>
              <c15:ser>
                <c:idx val="6"/>
                <c:order val="5"/>
                <c:tx>
                  <c:v>flat-CFD</c:v>
                </c:tx>
                <c:spPr>
                  <a:ln w="19050" cap="rnd">
                    <a:solidFill>
                      <a:srgbClr val="C00000"/>
                    </a:solidFill>
                    <a:round/>
                  </a:ln>
                  <a:effectLst/>
                </c:spPr>
                <c:marker>
                  <c:symbol val="x"/>
                  <c:size val="5"/>
                  <c:spPr>
                    <a:noFill/>
                    <a:ln w="9525">
                      <a:solidFill>
                        <a:srgbClr val="C00000"/>
                      </a:solidFill>
                    </a:ln>
                    <a:effectLst/>
                  </c:spPr>
                </c:marker>
                <c:xVal>
                  <c:numRef>
                    <c:extLst xmlns:c15="http://schemas.microsoft.com/office/drawing/2012/chart" xmlns:c16r2="http://schemas.microsoft.com/office/drawing/2015/06/chart">
                      <c:ext xmlns:c15="http://schemas.microsoft.com/office/drawing/2012/chart" uri="{02D57815-91ED-43cb-92C2-25804820EDAC}">
                        <c15:formulaRef>
                          <c15:sqref>('Uniform inlet flow'!$N$5:$N$9,'Uniform inlet flow'!$N$11:$N$12)</c15:sqref>
                        </c15:formulaRef>
                      </c:ext>
                    </c:extLst>
                    <c:numCache>
                      <c:formatCode>General</c:formatCode>
                      <c:ptCount val="7"/>
                      <c:pt idx="0">
                        <c:v>26</c:v>
                      </c:pt>
                      <c:pt idx="1">
                        <c:v>16</c:v>
                      </c:pt>
                      <c:pt idx="2">
                        <c:v>12</c:v>
                      </c:pt>
                      <c:pt idx="3">
                        <c:v>9</c:v>
                      </c:pt>
                      <c:pt idx="4">
                        <c:v>8</c:v>
                      </c:pt>
                      <c:pt idx="5">
                        <c:v>7</c:v>
                      </c:pt>
                      <c:pt idx="6">
                        <c:v>6</c:v>
                      </c:pt>
                    </c:numCache>
                  </c:numRef>
                </c:xVal>
                <c:yVal>
                  <c:numRef>
                    <c:extLst xmlns:c15="http://schemas.microsoft.com/office/drawing/2012/chart" xmlns:c16r2="http://schemas.microsoft.com/office/drawing/2015/06/chart">
                      <c:ext xmlns:c15="http://schemas.microsoft.com/office/drawing/2012/chart" uri="{02D57815-91ED-43cb-92C2-25804820EDAC}">
                        <c15:formulaRef>
                          <c15:sqref>'-contd'!$A$3:$A$9</c15:sqref>
                        </c15:formulaRef>
                      </c:ext>
                    </c:extLst>
                    <c:numCache>
                      <c:formatCode>General</c:formatCode>
                      <c:ptCount val="7"/>
                      <c:pt idx="0">
                        <c:v>0</c:v>
                      </c:pt>
                      <c:pt idx="1">
                        <c:v>-0.28125</c:v>
                      </c:pt>
                      <c:pt idx="2">
                        <c:v>-0.53125</c:v>
                      </c:pt>
                      <c:pt idx="3">
                        <c:v>-0.65625</c:v>
                      </c:pt>
                      <c:pt idx="4">
                        <c:v>-0.78125</c:v>
                      </c:pt>
                      <c:pt idx="5">
                        <c:v>-0.90624999999999989</c:v>
                      </c:pt>
                      <c:pt idx="6">
                        <c:v>-1</c:v>
                      </c:pt>
                    </c:numCache>
                  </c:numRef>
                </c:yVal>
                <c:smooth val="0"/>
                <c:extLst xmlns:c15="http://schemas.microsoft.com/office/drawing/2012/chart" xmlns:c16r2="http://schemas.microsoft.com/office/drawing/2015/06/chart">
                  <c:ext xmlns:c16="http://schemas.microsoft.com/office/drawing/2014/chart" uri="{C3380CC4-5D6E-409C-BE32-E72D297353CC}">
                    <c16:uniqueId val="{00000005-6AD2-4F29-8FAD-D53AD0D4C07B}"/>
                  </c:ext>
                </c:extLst>
              </c15:ser>
            </c15:filteredScatterSeries>
          </c:ext>
        </c:extLst>
      </c:scatterChart>
      <c:valAx>
        <c:axId val="76346106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50" b="0" i="0" u="none" strike="noStrike" kern="1200" baseline="0">
                    <a:solidFill>
                      <a:schemeClr val="tx1"/>
                    </a:solidFill>
                    <a:latin typeface="Arial Narrow" panose="020B0606020202030204" pitchFamily="34" charset="0"/>
                    <a:ea typeface="+mn-ea"/>
                    <a:cs typeface="+mn-cs"/>
                  </a:defRPr>
                </a:pPr>
                <a:r>
                  <a:rPr lang="en-US"/>
                  <a:t>Onset</a:t>
                </a:r>
                <a:r>
                  <a:rPr lang="en-US" baseline="0"/>
                  <a:t> of motion particle d</a:t>
                </a:r>
                <a:r>
                  <a:rPr lang="en-US"/>
                  <a:t>ensity [10</a:t>
                </a:r>
                <a:r>
                  <a:rPr lang="en-US" baseline="30000"/>
                  <a:t>3</a:t>
                </a:r>
                <a:r>
                  <a:rPr lang="en-US"/>
                  <a:t> kg/m^3]</a:t>
                </a:r>
              </a:p>
            </c:rich>
          </c:tx>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Arial Narrow" panose="020B0606020202030204" pitchFamily="34" charset="0"/>
                  <a:ea typeface="+mn-ea"/>
                  <a:cs typeface="+mn-cs"/>
                </a:defRPr>
              </a:pPr>
              <a:endParaRPr lang="en-US"/>
            </a:p>
          </c:txPr>
        </c:title>
        <c:numFmt formatCode="General" sourceLinked="1"/>
        <c:majorTickMark val="none"/>
        <c:minorTickMark val="none"/>
        <c:tickLblPos val="high"/>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Arial Narrow" panose="020B0606020202030204" pitchFamily="34" charset="0"/>
                <a:ea typeface="+mn-ea"/>
                <a:cs typeface="+mn-cs"/>
              </a:defRPr>
            </a:pPr>
            <a:endParaRPr lang="en-US"/>
          </a:p>
        </c:txPr>
        <c:crossAx val="763454400"/>
        <c:crosses val="autoZero"/>
        <c:crossBetween val="midCat"/>
      </c:valAx>
      <c:valAx>
        <c:axId val="763454400"/>
        <c:scaling>
          <c:orientation val="minMax"/>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chemeClr val="tx1"/>
                    </a:solidFill>
                    <a:latin typeface="Arial Narrow" panose="020B0606020202030204" pitchFamily="34" charset="0"/>
                    <a:ea typeface="+mn-ea"/>
                    <a:cs typeface="+mn-cs"/>
                  </a:defRPr>
                </a:pPr>
                <a:r>
                  <a:rPr lang="en-US"/>
                  <a:t>Relative depth </a:t>
                </a:r>
              </a:p>
            </c:rich>
          </c:tx>
          <c:overlay val="0"/>
          <c:spPr>
            <a:noFill/>
            <a:ln>
              <a:noFill/>
            </a:ln>
            <a:effectLst/>
          </c:spPr>
          <c:txPr>
            <a:bodyPr rot="-5400000" spcFirstLastPara="1" vertOverflow="ellipsis" vert="horz" wrap="square" anchor="ctr" anchorCtr="1"/>
            <a:lstStyle/>
            <a:p>
              <a:pPr>
                <a:defRPr sz="1050" b="0" i="0" u="none" strike="noStrike" kern="1200" baseline="0">
                  <a:solidFill>
                    <a:schemeClr val="tx1"/>
                  </a:solidFill>
                  <a:latin typeface="Arial Narrow" panose="020B0606020202030204" pitchFamily="34"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Arial Narrow" panose="020B0606020202030204" pitchFamily="34" charset="0"/>
                <a:ea typeface="+mn-ea"/>
                <a:cs typeface="+mn-cs"/>
              </a:defRPr>
            </a:pPr>
            <a:endParaRPr lang="en-US"/>
          </a:p>
        </c:txPr>
        <c:crossAx val="76346106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Arial Narrow" panose="020B0606020202030204" pitchFamily="34" charset="0"/>
              <a:ea typeface="+mn-ea"/>
              <a:cs typeface="+mn-cs"/>
            </a:defRPr>
          </a:pPr>
          <a:endParaRPr lang="en-US"/>
        </a:p>
      </c:txPr>
    </c:legend>
    <c:plotVisOnly val="1"/>
    <c:dispBlanksAs val="gap"/>
    <c:showDLblsOverMax val="0"/>
  </c:chart>
  <c:spPr>
    <a:solidFill>
      <a:schemeClr val="bg1"/>
    </a:solidFill>
    <a:ln w="9525" cap="flat" cmpd="sng" algn="ctr">
      <a:solidFill>
        <a:schemeClr val="bg1"/>
      </a:solidFill>
      <a:round/>
    </a:ln>
    <a:effectLst/>
  </c:spPr>
  <c:txPr>
    <a:bodyPr/>
    <a:lstStyle/>
    <a:p>
      <a:pPr>
        <a:defRPr sz="1050">
          <a:solidFill>
            <a:schemeClr val="tx1"/>
          </a:solidFill>
          <a:latin typeface="Arial Narrow" panose="020B060602020203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809844522586634"/>
          <c:y val="9.6161131590697474E-2"/>
          <c:w val="0.7020497520756156"/>
          <c:h val="0.6451935282813861"/>
        </c:manualLayout>
      </c:layout>
      <c:scatterChart>
        <c:scatterStyle val="lineMarker"/>
        <c:varyColors val="0"/>
        <c:ser>
          <c:idx val="5"/>
          <c:order val="3"/>
          <c:tx>
            <c:v>flat-min</c:v>
          </c:tx>
          <c:spPr>
            <a:ln w="19050" cap="rnd">
              <a:solidFill>
                <a:srgbClr val="92D050"/>
              </a:solidFill>
              <a:round/>
            </a:ln>
            <a:effectLst/>
          </c:spPr>
          <c:marker>
            <c:symbol val="x"/>
            <c:size val="5"/>
            <c:spPr>
              <a:noFill/>
              <a:ln w="9525">
                <a:solidFill>
                  <a:srgbClr val="92D050"/>
                </a:solidFill>
              </a:ln>
              <a:effectLst/>
            </c:spPr>
          </c:marker>
          <c:xVal>
            <c:numRef>
              <c:f>('Uniform inlet flow'!$AD$5:$AD$9,'Uniform inlet flow'!$AD$11:$AD$12)</c:f>
              <c:numCache>
                <c:formatCode>General</c:formatCode>
                <c:ptCount val="7"/>
                <c:pt idx="0">
                  <c:v>21.3</c:v>
                </c:pt>
                <c:pt idx="1">
                  <c:v>12.7</c:v>
                </c:pt>
                <c:pt idx="2">
                  <c:v>8.8000000000000007</c:v>
                </c:pt>
                <c:pt idx="3">
                  <c:v>7.7</c:v>
                </c:pt>
                <c:pt idx="4">
                  <c:v>6.6</c:v>
                </c:pt>
                <c:pt idx="5">
                  <c:v>5.6</c:v>
                </c:pt>
                <c:pt idx="6">
                  <c:v>5.5</c:v>
                </c:pt>
              </c:numCache>
              <c:extLst xmlns:c15="http://schemas.microsoft.com/office/drawing/2012/chart" xmlns:c16r2="http://schemas.microsoft.com/office/drawing/2015/06/chart"/>
            </c:numRef>
          </c:xVal>
          <c:yVal>
            <c:numRef>
              <c:f>'-contd'!$A$3:$A$9</c:f>
              <c:numCache>
                <c:formatCode>General</c:formatCode>
                <c:ptCount val="7"/>
                <c:pt idx="0">
                  <c:v>0</c:v>
                </c:pt>
                <c:pt idx="1">
                  <c:v>-0.28125</c:v>
                </c:pt>
                <c:pt idx="2">
                  <c:v>-0.53125</c:v>
                </c:pt>
                <c:pt idx="3">
                  <c:v>-0.65625</c:v>
                </c:pt>
                <c:pt idx="4">
                  <c:v>-0.78125</c:v>
                </c:pt>
                <c:pt idx="5">
                  <c:v>-0.90624999999999989</c:v>
                </c:pt>
                <c:pt idx="6">
                  <c:v>-1</c:v>
                </c:pt>
              </c:numCache>
              <c:extLst xmlns:c15="http://schemas.microsoft.com/office/drawing/2012/chart" xmlns:c16r2="http://schemas.microsoft.com/office/drawing/2015/06/chart"/>
            </c:numRef>
          </c:yVal>
          <c:smooth val="0"/>
          <c:extLst xmlns:c16r2="http://schemas.microsoft.com/office/drawing/2015/06/chart">
            <c:ext xmlns:c16="http://schemas.microsoft.com/office/drawing/2014/chart" uri="{C3380CC4-5D6E-409C-BE32-E72D297353CC}">
              <c16:uniqueId val="{00000000-D05D-4ECD-8420-FEDB8FFC1DBD}"/>
            </c:ext>
          </c:extLst>
        </c:ser>
        <c:ser>
          <c:idx val="3"/>
          <c:order val="4"/>
          <c:tx>
            <c:v>flat-max</c:v>
          </c:tx>
          <c:spPr>
            <a:ln w="19050" cap="rnd">
              <a:solidFill>
                <a:srgbClr val="00B050"/>
              </a:solidFill>
              <a:round/>
            </a:ln>
            <a:effectLst/>
          </c:spPr>
          <c:marker>
            <c:symbol val="x"/>
            <c:size val="5"/>
            <c:spPr>
              <a:noFill/>
              <a:ln w="9525">
                <a:solidFill>
                  <a:srgbClr val="00B050"/>
                </a:solidFill>
              </a:ln>
              <a:effectLst/>
            </c:spPr>
          </c:marker>
          <c:xVal>
            <c:numRef>
              <c:f>('Uniform inlet flow'!$AF$5:$AF$9,'Uniform inlet flow'!$AF$11:$AF$12)</c:f>
              <c:numCache>
                <c:formatCode>General</c:formatCode>
                <c:ptCount val="7"/>
                <c:pt idx="0">
                  <c:v>41.6</c:v>
                </c:pt>
                <c:pt idx="1">
                  <c:v>24.4</c:v>
                </c:pt>
                <c:pt idx="2">
                  <c:v>16.600000000000001</c:v>
                </c:pt>
                <c:pt idx="3">
                  <c:v>14.4</c:v>
                </c:pt>
                <c:pt idx="4">
                  <c:v>12.3</c:v>
                </c:pt>
                <c:pt idx="5">
                  <c:v>10.3</c:v>
                </c:pt>
                <c:pt idx="6">
                  <c:v>10</c:v>
                </c:pt>
              </c:numCache>
              <c:extLst xmlns:c15="http://schemas.microsoft.com/office/drawing/2012/chart" xmlns:c16r2="http://schemas.microsoft.com/office/drawing/2015/06/chart"/>
            </c:numRef>
          </c:xVal>
          <c:yVal>
            <c:numRef>
              <c:f>'-contd'!$A$3:$A$9</c:f>
              <c:numCache>
                <c:formatCode>General</c:formatCode>
                <c:ptCount val="7"/>
                <c:pt idx="0">
                  <c:v>0</c:v>
                </c:pt>
                <c:pt idx="1">
                  <c:v>-0.28125</c:v>
                </c:pt>
                <c:pt idx="2">
                  <c:v>-0.53125</c:v>
                </c:pt>
                <c:pt idx="3">
                  <c:v>-0.65625</c:v>
                </c:pt>
                <c:pt idx="4">
                  <c:v>-0.78125</c:v>
                </c:pt>
                <c:pt idx="5">
                  <c:v>-0.90624999999999989</c:v>
                </c:pt>
                <c:pt idx="6">
                  <c:v>-1</c:v>
                </c:pt>
              </c:numCache>
              <c:extLst xmlns:c15="http://schemas.microsoft.com/office/drawing/2012/chart" xmlns:c16r2="http://schemas.microsoft.com/office/drawing/2015/06/chart"/>
            </c:numRef>
          </c:yVal>
          <c:smooth val="0"/>
          <c:extLst xmlns:c16r2="http://schemas.microsoft.com/office/drawing/2015/06/chart">
            <c:ext xmlns:c16="http://schemas.microsoft.com/office/drawing/2014/chart" uri="{C3380CC4-5D6E-409C-BE32-E72D297353CC}">
              <c16:uniqueId val="{00000001-D05D-4ECD-8420-FEDB8FFC1DBD}"/>
            </c:ext>
          </c:extLst>
        </c:ser>
        <c:ser>
          <c:idx val="6"/>
          <c:order val="5"/>
          <c:tx>
            <c:v>flat-CFD</c:v>
          </c:tx>
          <c:spPr>
            <a:ln w="19050" cap="rnd">
              <a:solidFill>
                <a:srgbClr val="C00000"/>
              </a:solidFill>
              <a:round/>
            </a:ln>
            <a:effectLst/>
          </c:spPr>
          <c:marker>
            <c:symbol val="x"/>
            <c:size val="5"/>
            <c:spPr>
              <a:noFill/>
              <a:ln w="9525">
                <a:solidFill>
                  <a:srgbClr val="C00000"/>
                </a:solidFill>
              </a:ln>
              <a:effectLst/>
            </c:spPr>
          </c:marker>
          <c:xVal>
            <c:numRef>
              <c:f>('Uniform inlet flow'!$N$5:$N$9,'Uniform inlet flow'!$N$11:$N$12)</c:f>
              <c:numCache>
                <c:formatCode>General</c:formatCode>
                <c:ptCount val="7"/>
                <c:pt idx="0">
                  <c:v>26</c:v>
                </c:pt>
                <c:pt idx="1">
                  <c:v>16</c:v>
                </c:pt>
                <c:pt idx="2">
                  <c:v>12</c:v>
                </c:pt>
                <c:pt idx="3">
                  <c:v>9</c:v>
                </c:pt>
                <c:pt idx="4">
                  <c:v>8</c:v>
                </c:pt>
                <c:pt idx="5">
                  <c:v>7</c:v>
                </c:pt>
                <c:pt idx="6">
                  <c:v>6</c:v>
                </c:pt>
              </c:numCache>
              <c:extLst xmlns:c15="http://schemas.microsoft.com/office/drawing/2012/chart" xmlns:c16r2="http://schemas.microsoft.com/office/drawing/2015/06/chart"/>
            </c:numRef>
          </c:xVal>
          <c:yVal>
            <c:numRef>
              <c:f>'-contd'!$A$3:$A$9</c:f>
              <c:numCache>
                <c:formatCode>General</c:formatCode>
                <c:ptCount val="7"/>
                <c:pt idx="0">
                  <c:v>0</c:v>
                </c:pt>
                <c:pt idx="1">
                  <c:v>-0.28125</c:v>
                </c:pt>
                <c:pt idx="2">
                  <c:v>-0.53125</c:v>
                </c:pt>
                <c:pt idx="3">
                  <c:v>-0.65625</c:v>
                </c:pt>
                <c:pt idx="4">
                  <c:v>-0.78125</c:v>
                </c:pt>
                <c:pt idx="5">
                  <c:v>-0.90624999999999989</c:v>
                </c:pt>
                <c:pt idx="6">
                  <c:v>-1</c:v>
                </c:pt>
              </c:numCache>
              <c:extLst xmlns:c15="http://schemas.microsoft.com/office/drawing/2012/chart" xmlns:c16r2="http://schemas.microsoft.com/office/drawing/2015/06/chart"/>
            </c:numRef>
          </c:yVal>
          <c:smooth val="0"/>
          <c:extLst xmlns:c16r2="http://schemas.microsoft.com/office/drawing/2015/06/chart">
            <c:ext xmlns:c16="http://schemas.microsoft.com/office/drawing/2014/chart" uri="{C3380CC4-5D6E-409C-BE32-E72D297353CC}">
              <c16:uniqueId val="{00000002-D05D-4ECD-8420-FEDB8FFC1DBD}"/>
            </c:ext>
          </c:extLst>
        </c:ser>
        <c:dLbls>
          <c:showLegendKey val="0"/>
          <c:showVal val="0"/>
          <c:showCatName val="0"/>
          <c:showSerName val="0"/>
          <c:showPercent val="0"/>
          <c:showBubbleSize val="0"/>
        </c:dLbls>
        <c:axId val="763455968"/>
        <c:axId val="763457536"/>
        <c:extLst xmlns:c16r2="http://schemas.microsoft.com/office/drawing/2015/06/chart">
          <c:ext xmlns:c15="http://schemas.microsoft.com/office/drawing/2012/chart" uri="{02D57815-91ED-43cb-92C2-25804820EDAC}">
            <c15:filteredScatterSeries>
              <c15:ser>
                <c:idx val="7"/>
                <c:order val="0"/>
                <c:tx>
                  <c:v>scoured-min</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extLst xmlns:c16r2="http://schemas.microsoft.com/office/drawing/2015/06/chart">
                      <c:ext uri="{02D57815-91ED-43cb-92C2-25804820EDAC}">
                        <c15:formulaRef>
                          <c15:sqref>'Uniform inlet flow'!$W$5:$W$12</c15:sqref>
                        </c15:formulaRef>
                      </c:ext>
                    </c:extLst>
                    <c:numCache>
                      <c:formatCode>General</c:formatCode>
                      <c:ptCount val="8"/>
                      <c:pt idx="0">
                        <c:v>21.3</c:v>
                      </c:pt>
                      <c:pt idx="1">
                        <c:v>15.9</c:v>
                      </c:pt>
                      <c:pt idx="2">
                        <c:v>13</c:v>
                      </c:pt>
                      <c:pt idx="3">
                        <c:v>11.6</c:v>
                      </c:pt>
                      <c:pt idx="4">
                        <c:v>10.8</c:v>
                      </c:pt>
                      <c:pt idx="5">
                        <c:v>9.1999999999999993</c:v>
                      </c:pt>
                      <c:pt idx="6">
                        <c:v>7.9</c:v>
                      </c:pt>
                      <c:pt idx="7">
                        <c:v>6.5</c:v>
                      </c:pt>
                    </c:numCache>
                  </c:numRef>
                </c:xVal>
                <c:yVal>
                  <c:numRef>
                    <c:extLst xmlns:c16r2="http://schemas.microsoft.com/office/drawing/2015/06/chart">
                      <c:ext uri="{02D57815-91ED-43cb-92C2-25804820EDAC}">
                        <c15:formulaRef>
                          <c15:sqref>'-contd'!$A$3:$A$9</c15:sqref>
                        </c15:formulaRef>
                      </c:ext>
                    </c:extLst>
                    <c:numCache>
                      <c:formatCode>General</c:formatCode>
                      <c:ptCount val="7"/>
                      <c:pt idx="0">
                        <c:v>0</c:v>
                      </c:pt>
                      <c:pt idx="1">
                        <c:v>-0.28125</c:v>
                      </c:pt>
                      <c:pt idx="2">
                        <c:v>-0.53125</c:v>
                      </c:pt>
                      <c:pt idx="3">
                        <c:v>-0.65625</c:v>
                      </c:pt>
                      <c:pt idx="4">
                        <c:v>-0.78125</c:v>
                      </c:pt>
                      <c:pt idx="5">
                        <c:v>-0.90624999999999989</c:v>
                      </c:pt>
                      <c:pt idx="6">
                        <c:v>-1</c:v>
                      </c:pt>
                    </c:numCache>
                  </c:numRef>
                </c:yVal>
                <c:smooth val="0"/>
                <c:extLst xmlns:c16r2="http://schemas.microsoft.com/office/drawing/2015/06/chart">
                  <c:ext xmlns:c16="http://schemas.microsoft.com/office/drawing/2014/chart" uri="{C3380CC4-5D6E-409C-BE32-E72D297353CC}">
                    <c16:uniqueId val="{00000003-D05D-4ECD-8420-FEDB8FFC1DBD}"/>
                  </c:ext>
                </c:extLst>
              </c15:ser>
            </c15:filteredScatterSeries>
            <c15:filteredScatterSeries>
              <c15:ser>
                <c:idx val="8"/>
                <c:order val="1"/>
                <c:tx>
                  <c:v>scoured-max</c:v>
                </c:tx>
                <c:spPr>
                  <a:ln w="19050"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xVal>
                  <c:numRef>
                    <c:extLst xmlns:c15="http://schemas.microsoft.com/office/drawing/2012/chart" xmlns:c16r2="http://schemas.microsoft.com/office/drawing/2015/06/chart">
                      <c:ext xmlns:c15="http://schemas.microsoft.com/office/drawing/2012/chart" uri="{02D57815-91ED-43cb-92C2-25804820EDAC}">
                        <c15:formulaRef>
                          <c15:sqref>'Uniform inlet flow'!$Y$5:$Y$12</c15:sqref>
                        </c15:formulaRef>
                      </c:ext>
                    </c:extLst>
                    <c:numCache>
                      <c:formatCode>General</c:formatCode>
                      <c:ptCount val="8"/>
                      <c:pt idx="0">
                        <c:v>41.6</c:v>
                      </c:pt>
                      <c:pt idx="1">
                        <c:v>30.9</c:v>
                      </c:pt>
                      <c:pt idx="2">
                        <c:v>25.2</c:v>
                      </c:pt>
                      <c:pt idx="3">
                        <c:v>22.2</c:v>
                      </c:pt>
                      <c:pt idx="4">
                        <c:v>20.6</c:v>
                      </c:pt>
                      <c:pt idx="5">
                        <c:v>17.5</c:v>
                      </c:pt>
                      <c:pt idx="6">
                        <c:v>14.8</c:v>
                      </c:pt>
                      <c:pt idx="7">
                        <c:v>12</c:v>
                      </c:pt>
                    </c:numCache>
                  </c:numRef>
                </c:xVal>
                <c:yVal>
                  <c:numRef>
                    <c:extLst xmlns:c15="http://schemas.microsoft.com/office/drawing/2012/chart" xmlns:c16r2="http://schemas.microsoft.com/office/drawing/2015/06/chart">
                      <c:ext xmlns:c15="http://schemas.microsoft.com/office/drawing/2012/chart" uri="{02D57815-91ED-43cb-92C2-25804820EDAC}">
                        <c15:formulaRef>
                          <c15:sqref>'-contd'!$A$3:$A$9</c15:sqref>
                        </c15:formulaRef>
                      </c:ext>
                    </c:extLst>
                    <c:numCache>
                      <c:formatCode>General</c:formatCode>
                      <c:ptCount val="7"/>
                      <c:pt idx="0">
                        <c:v>0</c:v>
                      </c:pt>
                      <c:pt idx="1">
                        <c:v>-0.28125</c:v>
                      </c:pt>
                      <c:pt idx="2">
                        <c:v>-0.53125</c:v>
                      </c:pt>
                      <c:pt idx="3">
                        <c:v>-0.65625</c:v>
                      </c:pt>
                      <c:pt idx="4">
                        <c:v>-0.78125</c:v>
                      </c:pt>
                      <c:pt idx="5">
                        <c:v>-0.90624999999999989</c:v>
                      </c:pt>
                      <c:pt idx="6">
                        <c:v>-1</c:v>
                      </c:pt>
                    </c:numCache>
                  </c:numRef>
                </c:yVal>
                <c:smooth val="0"/>
                <c:extLst xmlns:c15="http://schemas.microsoft.com/office/drawing/2012/chart" xmlns:c16r2="http://schemas.microsoft.com/office/drawing/2015/06/chart">
                  <c:ext xmlns:c16="http://schemas.microsoft.com/office/drawing/2014/chart" uri="{C3380CC4-5D6E-409C-BE32-E72D297353CC}">
                    <c16:uniqueId val="{00000004-D05D-4ECD-8420-FEDB8FFC1DBD}"/>
                  </c:ext>
                </c:extLst>
              </c15:ser>
            </c15:filteredScatterSeries>
            <c15:filteredScatterSeries>
              <c15:ser>
                <c:idx val="9"/>
                <c:order val="2"/>
                <c:tx>
                  <c:v>scoured-CFD</c:v>
                </c:tx>
                <c:spPr>
                  <a:ln w="19050" cap="rnd">
                    <a:solidFill>
                      <a:srgbClr val="FF0000"/>
                    </a:solidFill>
                    <a:round/>
                  </a:ln>
                  <a:effectLst/>
                </c:spPr>
                <c:marker>
                  <c:symbol val="circle"/>
                  <c:size val="5"/>
                  <c:spPr>
                    <a:solidFill>
                      <a:srgbClr val="FF0000"/>
                    </a:solidFill>
                    <a:ln w="9525">
                      <a:solidFill>
                        <a:srgbClr val="FF0000"/>
                      </a:solidFill>
                    </a:ln>
                    <a:effectLst/>
                  </c:spPr>
                </c:marker>
                <c:xVal>
                  <c:numRef>
                    <c:extLst xmlns:c15="http://schemas.microsoft.com/office/drawing/2012/chart" xmlns:c16r2="http://schemas.microsoft.com/office/drawing/2015/06/chart">
                      <c:ext xmlns:c15="http://schemas.microsoft.com/office/drawing/2012/chart" uri="{02D57815-91ED-43cb-92C2-25804820EDAC}">
                        <c15:formulaRef>
                          <c15:sqref>'Uniform inlet flow'!$F$5:$F$12</c15:sqref>
                        </c15:formulaRef>
                      </c:ext>
                    </c:extLst>
                    <c:numCache>
                      <c:formatCode>General</c:formatCode>
                      <c:ptCount val="8"/>
                      <c:pt idx="0">
                        <c:v>26</c:v>
                      </c:pt>
                      <c:pt idx="1">
                        <c:v>19</c:v>
                      </c:pt>
                      <c:pt idx="2">
                        <c:v>16</c:v>
                      </c:pt>
                      <c:pt idx="3">
                        <c:v>13</c:v>
                      </c:pt>
                      <c:pt idx="4">
                        <c:v>12</c:v>
                      </c:pt>
                      <c:pt idx="5">
                        <c:v>11</c:v>
                      </c:pt>
                      <c:pt idx="6">
                        <c:v>9</c:v>
                      </c:pt>
                      <c:pt idx="7">
                        <c:v>7</c:v>
                      </c:pt>
                    </c:numCache>
                  </c:numRef>
                </c:xVal>
                <c:yVal>
                  <c:numRef>
                    <c:extLst xmlns:c15="http://schemas.microsoft.com/office/drawing/2012/chart" xmlns:c16r2="http://schemas.microsoft.com/office/drawing/2015/06/chart">
                      <c:ext xmlns:c15="http://schemas.microsoft.com/office/drawing/2012/chart" uri="{02D57815-91ED-43cb-92C2-25804820EDAC}">
                        <c15:formulaRef>
                          <c15:sqref>'-contd'!$A$3:$A$9</c15:sqref>
                        </c15:formulaRef>
                      </c:ext>
                    </c:extLst>
                    <c:numCache>
                      <c:formatCode>General</c:formatCode>
                      <c:ptCount val="7"/>
                      <c:pt idx="0">
                        <c:v>0</c:v>
                      </c:pt>
                      <c:pt idx="1">
                        <c:v>-0.28125</c:v>
                      </c:pt>
                      <c:pt idx="2">
                        <c:v>-0.53125</c:v>
                      </c:pt>
                      <c:pt idx="3">
                        <c:v>-0.65625</c:v>
                      </c:pt>
                      <c:pt idx="4">
                        <c:v>-0.78125</c:v>
                      </c:pt>
                      <c:pt idx="5">
                        <c:v>-0.90624999999999989</c:v>
                      </c:pt>
                      <c:pt idx="6">
                        <c:v>-1</c:v>
                      </c:pt>
                    </c:numCache>
                  </c:numRef>
                </c:yVal>
                <c:smooth val="0"/>
                <c:extLst xmlns:c15="http://schemas.microsoft.com/office/drawing/2012/chart" xmlns:c16r2="http://schemas.microsoft.com/office/drawing/2015/06/chart">
                  <c:ext xmlns:c16="http://schemas.microsoft.com/office/drawing/2014/chart" uri="{C3380CC4-5D6E-409C-BE32-E72D297353CC}">
                    <c16:uniqueId val="{00000005-D05D-4ECD-8420-FEDB8FFC1DBD}"/>
                  </c:ext>
                </c:extLst>
              </c15:ser>
            </c15:filteredScatterSeries>
          </c:ext>
        </c:extLst>
      </c:scatterChart>
      <c:valAx>
        <c:axId val="76345596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50" b="0" i="0" u="none" strike="noStrike" kern="1200" baseline="0">
                    <a:solidFill>
                      <a:schemeClr val="tx1"/>
                    </a:solidFill>
                    <a:latin typeface="Arial Narrow" panose="020B0606020202030204" pitchFamily="34" charset="0"/>
                    <a:ea typeface="+mn-ea"/>
                    <a:cs typeface="+mn-cs"/>
                  </a:defRPr>
                </a:pPr>
                <a:r>
                  <a:rPr lang="en-US"/>
                  <a:t>Onset</a:t>
                </a:r>
                <a:r>
                  <a:rPr lang="en-US" baseline="0"/>
                  <a:t> of motion particle d</a:t>
                </a:r>
                <a:r>
                  <a:rPr lang="en-US"/>
                  <a:t>ensity [10</a:t>
                </a:r>
                <a:r>
                  <a:rPr lang="en-US" baseline="30000"/>
                  <a:t>3</a:t>
                </a:r>
                <a:r>
                  <a:rPr lang="en-US"/>
                  <a:t> kg/m^3]</a:t>
                </a:r>
              </a:p>
            </c:rich>
          </c:tx>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Arial Narrow" panose="020B0606020202030204" pitchFamily="34" charset="0"/>
                  <a:ea typeface="+mn-ea"/>
                  <a:cs typeface="+mn-cs"/>
                </a:defRPr>
              </a:pPr>
              <a:endParaRPr lang="en-US"/>
            </a:p>
          </c:txPr>
        </c:title>
        <c:numFmt formatCode="General" sourceLinked="1"/>
        <c:majorTickMark val="none"/>
        <c:minorTickMark val="none"/>
        <c:tickLblPos val="high"/>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Arial Narrow" panose="020B0606020202030204" pitchFamily="34" charset="0"/>
                <a:ea typeface="+mn-ea"/>
                <a:cs typeface="+mn-cs"/>
              </a:defRPr>
            </a:pPr>
            <a:endParaRPr lang="en-US"/>
          </a:p>
        </c:txPr>
        <c:crossAx val="763457536"/>
        <c:crosses val="autoZero"/>
        <c:crossBetween val="midCat"/>
        <c:majorUnit val="10"/>
      </c:valAx>
      <c:valAx>
        <c:axId val="763457536"/>
        <c:scaling>
          <c:orientation val="minMax"/>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chemeClr val="tx1"/>
                    </a:solidFill>
                    <a:latin typeface="Arial Narrow" panose="020B0606020202030204" pitchFamily="34" charset="0"/>
                    <a:ea typeface="+mn-ea"/>
                    <a:cs typeface="+mn-cs"/>
                  </a:defRPr>
                </a:pPr>
                <a:r>
                  <a:rPr lang="en-US"/>
                  <a:t>Relative</a:t>
                </a:r>
                <a:r>
                  <a:rPr lang="en-US" baseline="0"/>
                  <a:t> d</a:t>
                </a:r>
                <a:r>
                  <a:rPr lang="en-US"/>
                  <a:t>epth </a:t>
                </a:r>
              </a:p>
            </c:rich>
          </c:tx>
          <c:overlay val="0"/>
          <c:spPr>
            <a:noFill/>
            <a:ln>
              <a:noFill/>
            </a:ln>
            <a:effectLst/>
          </c:spPr>
          <c:txPr>
            <a:bodyPr rot="-5400000" spcFirstLastPara="1" vertOverflow="ellipsis" vert="horz" wrap="square" anchor="ctr" anchorCtr="1"/>
            <a:lstStyle/>
            <a:p>
              <a:pPr>
                <a:defRPr sz="1050" b="0" i="0" u="none" strike="noStrike" kern="1200" baseline="0">
                  <a:solidFill>
                    <a:schemeClr val="tx1"/>
                  </a:solidFill>
                  <a:latin typeface="Arial Narrow" panose="020B0606020202030204" pitchFamily="34"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Arial Narrow" panose="020B0606020202030204" pitchFamily="34" charset="0"/>
                <a:ea typeface="+mn-ea"/>
                <a:cs typeface="+mn-cs"/>
              </a:defRPr>
            </a:pPr>
            <a:endParaRPr lang="en-US"/>
          </a:p>
        </c:txPr>
        <c:crossAx val="76345596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Arial Narrow" panose="020B0606020202030204" pitchFamily="34" charset="0"/>
              <a:ea typeface="+mn-ea"/>
              <a:cs typeface="+mn-cs"/>
            </a:defRPr>
          </a:pPr>
          <a:endParaRPr lang="en-US"/>
        </a:p>
      </c:txPr>
    </c:legend>
    <c:plotVisOnly val="1"/>
    <c:dispBlanksAs val="gap"/>
    <c:showDLblsOverMax val="0"/>
  </c:chart>
  <c:spPr>
    <a:solidFill>
      <a:schemeClr val="bg1"/>
    </a:solidFill>
    <a:ln w="9525" cap="flat" cmpd="sng" algn="ctr">
      <a:solidFill>
        <a:schemeClr val="bg1"/>
      </a:solidFill>
      <a:round/>
    </a:ln>
    <a:effectLst/>
  </c:spPr>
  <c:txPr>
    <a:bodyPr/>
    <a:lstStyle/>
    <a:p>
      <a:pPr>
        <a:defRPr sz="1050">
          <a:solidFill>
            <a:schemeClr val="tx1"/>
          </a:solidFill>
          <a:latin typeface="Arial Narrow" panose="020B060602020203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2E377C-3877-4645-B20B-875878510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1421</Words>
  <Characters>8106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9508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Sitek, Marta Anna</cp:lastModifiedBy>
  <cp:revision>2</cp:revision>
  <cp:lastPrinted>2011-06-21T20:32:00Z</cp:lastPrinted>
  <dcterms:created xsi:type="dcterms:W3CDTF">2017-06-08T21:14:00Z</dcterms:created>
  <dcterms:modified xsi:type="dcterms:W3CDTF">2017-06-08T21:14:00Z</dcterms:modified>
</cp:coreProperties>
</file>