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D107CE" w:rsidRDefault="000C209F" w:rsidP="00360664">
            <w:pPr>
              <w:spacing w:after="0" w:line="240" w:lineRule="auto"/>
              <w:ind w:left="-108" w:right="-720"/>
              <w:rPr>
                <w:rFonts w:ascii="Arial" w:hAnsi="Arial" w:cs="Arial"/>
                <w:b/>
                <w:sz w:val="20"/>
                <w:szCs w:val="20"/>
              </w:rPr>
            </w:pPr>
            <w:r w:rsidRPr="00A44721">
              <w:rPr>
                <w:rFonts w:ascii="Arial" w:hAnsi="Arial" w:cs="Arial"/>
                <w:sz w:val="36"/>
                <w:szCs w:val="36"/>
              </w:rPr>
              <w:t xml:space="preserve"> </w:t>
            </w:r>
            <w:r w:rsidR="00D107CE" w:rsidRPr="00D107CE">
              <w:rPr>
                <w:rFonts w:ascii="Arial" w:hAnsi="Arial" w:cs="Arial"/>
                <w:sz w:val="36"/>
                <w:szCs w:val="36"/>
                <w:u w:val="single"/>
              </w:rPr>
              <w:t>x</w:t>
            </w:r>
            <w:r w:rsidRPr="00D107CE">
              <w:rPr>
                <w:rFonts w:ascii="Arial" w:hAnsi="Arial" w:cs="Arial"/>
                <w:b/>
                <w:sz w:val="36"/>
                <w:szCs w:val="36"/>
              </w:rPr>
              <w:t xml:space="preserve"> </w:t>
            </w:r>
            <w:r w:rsidRPr="00D107CE">
              <w:rPr>
                <w:rFonts w:ascii="Arial" w:hAnsi="Arial" w:cs="Arial"/>
                <w:b/>
                <w:sz w:val="20"/>
                <w:szCs w:val="20"/>
              </w:rPr>
              <w:t>Quarter 1 (January 1 – March 31</w:t>
            </w:r>
            <w:r w:rsidR="005C75FE" w:rsidRPr="00D107CE">
              <w:rPr>
                <w:rFonts w:ascii="Arial" w:hAnsi="Arial" w:cs="Arial"/>
                <w:b/>
                <w:sz w:val="20"/>
                <w:szCs w:val="20"/>
              </w:rPr>
              <w:t xml:space="preserve">, </w:t>
            </w:r>
            <w:r w:rsidR="004E46AD" w:rsidRPr="00D107CE">
              <w:rPr>
                <w:rFonts w:ascii="Arial" w:hAnsi="Arial" w:cs="Arial"/>
                <w:b/>
                <w:sz w:val="20"/>
                <w:szCs w:val="20"/>
              </w:rPr>
              <w:t>201</w:t>
            </w:r>
            <w:r w:rsidR="00D107CE" w:rsidRPr="00D107CE">
              <w:rPr>
                <w:rFonts w:ascii="Arial" w:hAnsi="Arial" w:cs="Arial"/>
                <w:b/>
                <w:sz w:val="20"/>
                <w:szCs w:val="20"/>
              </w:rPr>
              <w:t>7</w:t>
            </w:r>
            <w:r w:rsidRPr="00D107CE">
              <w:rPr>
                <w:rFonts w:ascii="Arial" w:hAnsi="Arial" w:cs="Arial"/>
                <w:b/>
                <w:sz w:val="20"/>
                <w:szCs w:val="20"/>
              </w:rPr>
              <w:t>)</w:t>
            </w:r>
          </w:p>
          <w:p w:rsidR="000C209F" w:rsidRPr="00351BD8" w:rsidRDefault="000C209F" w:rsidP="00360664">
            <w:pPr>
              <w:spacing w:after="0" w:line="240" w:lineRule="auto"/>
              <w:ind w:left="-108" w:right="-108"/>
              <w:rPr>
                <w:rFonts w:ascii="Arial" w:hAnsi="Arial" w:cs="Arial"/>
                <w:sz w:val="20"/>
                <w:szCs w:val="20"/>
              </w:rPr>
            </w:pPr>
            <w:r w:rsidRPr="00351BD8">
              <w:rPr>
                <w:rFonts w:ascii="Arial" w:hAnsi="Arial" w:cs="Arial"/>
                <w:sz w:val="36"/>
                <w:szCs w:val="36"/>
              </w:rPr>
              <w:t xml:space="preserve"> </w:t>
            </w:r>
            <w:r w:rsidR="00351BD8" w:rsidRPr="00351BD8">
              <w:rPr>
                <w:rFonts w:ascii="Arial" w:hAnsi="Arial" w:cs="Arial"/>
                <w:sz w:val="36"/>
                <w:szCs w:val="36"/>
              </w:rPr>
              <w:t>_</w:t>
            </w:r>
            <w:r w:rsidR="00B5625E" w:rsidRPr="00351BD8">
              <w:rPr>
                <w:rFonts w:ascii="Arial" w:hAnsi="Arial" w:cs="Arial"/>
                <w:sz w:val="36"/>
                <w:szCs w:val="36"/>
              </w:rPr>
              <w:t xml:space="preserve"> </w:t>
            </w:r>
            <w:r w:rsidRPr="00351BD8">
              <w:rPr>
                <w:rFonts w:ascii="Arial" w:hAnsi="Arial" w:cs="Arial"/>
                <w:sz w:val="20"/>
                <w:szCs w:val="20"/>
              </w:rPr>
              <w:t>Quarter 2 (April 1 – June 30</w:t>
            </w:r>
            <w:r w:rsidR="002C4321" w:rsidRPr="00351BD8">
              <w:rPr>
                <w:rFonts w:ascii="Arial" w:hAnsi="Arial" w:cs="Arial"/>
                <w:sz w:val="20"/>
                <w:szCs w:val="20"/>
              </w:rPr>
              <w:t>, 201</w:t>
            </w:r>
            <w:r w:rsidR="00D107CE">
              <w:rPr>
                <w:rFonts w:ascii="Arial" w:hAnsi="Arial" w:cs="Arial"/>
                <w:sz w:val="20"/>
                <w:szCs w:val="20"/>
              </w:rPr>
              <w:t>7</w:t>
            </w:r>
            <w:r w:rsidRPr="00351BD8">
              <w:rPr>
                <w:rFonts w:ascii="Arial" w:hAnsi="Arial" w:cs="Arial"/>
                <w:sz w:val="20"/>
                <w:szCs w:val="20"/>
              </w:rPr>
              <w:t>)</w:t>
            </w:r>
          </w:p>
          <w:p w:rsidR="000C209F" w:rsidRPr="00F872BD" w:rsidRDefault="00F872BD" w:rsidP="00360664">
            <w:pPr>
              <w:spacing w:after="0" w:line="240" w:lineRule="auto"/>
              <w:ind w:right="-720"/>
              <w:rPr>
                <w:rFonts w:ascii="Arial" w:hAnsi="Arial" w:cs="Arial"/>
                <w:sz w:val="20"/>
                <w:szCs w:val="20"/>
              </w:rPr>
            </w:pPr>
            <w:r w:rsidRPr="00F872BD">
              <w:rPr>
                <w:rFonts w:ascii="Arial" w:hAnsi="Arial" w:cs="Arial"/>
                <w:sz w:val="36"/>
                <w:szCs w:val="36"/>
              </w:rPr>
              <w:t>_</w:t>
            </w:r>
            <w:r w:rsidR="000C209F" w:rsidRPr="00F872BD">
              <w:rPr>
                <w:rFonts w:ascii="Arial" w:hAnsi="Arial" w:cs="Arial"/>
                <w:sz w:val="36"/>
                <w:szCs w:val="36"/>
              </w:rPr>
              <w:t xml:space="preserve"> </w:t>
            </w:r>
            <w:r w:rsidR="000C209F" w:rsidRPr="00F872BD">
              <w:rPr>
                <w:rFonts w:ascii="Arial" w:hAnsi="Arial" w:cs="Arial"/>
                <w:sz w:val="20"/>
                <w:szCs w:val="20"/>
              </w:rPr>
              <w:t>Quarter 3 (July 1 – September 30</w:t>
            </w:r>
            <w:r w:rsidR="002C4321" w:rsidRPr="00F872BD">
              <w:rPr>
                <w:rFonts w:ascii="Arial" w:hAnsi="Arial" w:cs="Arial"/>
                <w:sz w:val="20"/>
                <w:szCs w:val="20"/>
              </w:rPr>
              <w:t>, 201</w:t>
            </w:r>
            <w:r w:rsidR="00D107CE">
              <w:rPr>
                <w:rFonts w:ascii="Arial" w:hAnsi="Arial" w:cs="Arial"/>
                <w:sz w:val="20"/>
                <w:szCs w:val="20"/>
              </w:rPr>
              <w:t>7</w:t>
            </w:r>
            <w:r w:rsidR="000C209F" w:rsidRPr="00F872BD">
              <w:rPr>
                <w:rFonts w:ascii="Arial" w:hAnsi="Arial" w:cs="Arial"/>
                <w:sz w:val="20"/>
                <w:szCs w:val="20"/>
              </w:rPr>
              <w:t>)</w:t>
            </w:r>
          </w:p>
          <w:p w:rsidR="000C209F" w:rsidRPr="00087797" w:rsidRDefault="00F872BD" w:rsidP="00D107CE">
            <w:pPr>
              <w:spacing w:after="0" w:line="240" w:lineRule="auto"/>
              <w:ind w:right="-720"/>
              <w:rPr>
                <w:rFonts w:ascii="Arial" w:hAnsi="Arial" w:cs="Arial"/>
                <w:sz w:val="20"/>
                <w:szCs w:val="20"/>
              </w:rPr>
            </w:pPr>
            <w:r>
              <w:rPr>
                <w:rFonts w:ascii="Arial" w:hAnsi="Arial" w:cs="Arial"/>
                <w:sz w:val="36"/>
                <w:szCs w:val="36"/>
              </w:rPr>
              <w:softHyphen/>
            </w:r>
            <w:r w:rsidR="00D107CE" w:rsidRPr="00F872BD">
              <w:rPr>
                <w:rFonts w:ascii="Arial" w:hAnsi="Arial" w:cs="Arial"/>
                <w:sz w:val="36"/>
                <w:szCs w:val="36"/>
              </w:rPr>
              <w:t>_</w:t>
            </w:r>
            <w:r w:rsidR="002718CD" w:rsidRPr="00D107CE">
              <w:rPr>
                <w:rFonts w:ascii="Arial" w:hAnsi="Arial" w:cs="Arial"/>
                <w:sz w:val="36"/>
                <w:szCs w:val="36"/>
              </w:rPr>
              <w:t xml:space="preserve"> </w:t>
            </w:r>
            <w:r w:rsidR="000C209F" w:rsidRPr="00D107CE">
              <w:rPr>
                <w:rFonts w:ascii="Arial" w:hAnsi="Arial" w:cs="Arial"/>
                <w:sz w:val="20"/>
                <w:szCs w:val="20"/>
              </w:rPr>
              <w:t xml:space="preserve">Quarter </w:t>
            </w:r>
            <w:r w:rsidR="005C75FE" w:rsidRPr="00D107CE">
              <w:rPr>
                <w:rFonts w:ascii="Arial" w:hAnsi="Arial" w:cs="Arial"/>
                <w:sz w:val="20"/>
                <w:szCs w:val="20"/>
              </w:rPr>
              <w:t>4 (October 1 – December 31</w:t>
            </w:r>
            <w:r w:rsidR="002C4321" w:rsidRPr="00D107CE">
              <w:rPr>
                <w:rFonts w:ascii="Arial" w:hAnsi="Arial" w:cs="Arial"/>
                <w:sz w:val="20"/>
                <w:szCs w:val="20"/>
              </w:rPr>
              <w:t>, 201</w:t>
            </w:r>
            <w:r w:rsidR="00D107CE" w:rsidRPr="00D107CE">
              <w:rPr>
                <w:rFonts w:ascii="Arial" w:hAnsi="Arial" w:cs="Arial"/>
                <w:sz w:val="20"/>
                <w:szCs w:val="20"/>
              </w:rPr>
              <w:t>7</w:t>
            </w:r>
            <w:r w:rsidR="000C209F" w:rsidRPr="00D107CE">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764D47">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764D47">
              <w:rPr>
                <w:rFonts w:ascii="Arial" w:hAnsi="Arial" w:cs="Arial"/>
                <w:sz w:val="20"/>
                <w:szCs w:val="20"/>
              </w:rPr>
              <w:t>June 30, 2017</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471D8B"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966A5">
              <w:rPr>
                <w:rFonts w:ascii="Arial" w:hAnsi="Arial" w:cs="Arial"/>
                <w:sz w:val="20"/>
                <w:szCs w:val="20"/>
              </w:rPr>
              <w:t>2</w:t>
            </w: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6D152C">
            <w:pPr>
              <w:spacing w:after="0" w:line="240" w:lineRule="auto"/>
              <w:ind w:left="-108" w:right="-108"/>
              <w:jc w:val="center"/>
              <w:rPr>
                <w:rFonts w:ascii="Arial" w:hAnsi="Arial" w:cs="Arial"/>
                <w:sz w:val="20"/>
                <w:szCs w:val="20"/>
              </w:rPr>
            </w:pPr>
            <w:r w:rsidRPr="00BA017A">
              <w:rPr>
                <w:rFonts w:ascii="Arial" w:hAnsi="Arial" w:cs="Arial"/>
                <w:sz w:val="20"/>
                <w:szCs w:val="20"/>
              </w:rPr>
              <w:t>$</w:t>
            </w:r>
            <w:r w:rsidR="006D152C">
              <w:rPr>
                <w:rFonts w:ascii="Arial" w:hAnsi="Arial" w:cs="Arial"/>
                <w:sz w:val="20"/>
                <w:szCs w:val="20"/>
              </w:rPr>
              <w:t>61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rsidR="000C209F" w:rsidRPr="00BA017A" w:rsidRDefault="00C05118" w:rsidP="00360664">
            <w:pPr>
              <w:spacing w:after="0" w:line="240" w:lineRule="auto"/>
              <w:ind w:left="-108" w:right="-108"/>
              <w:jc w:val="center"/>
              <w:rPr>
                <w:rFonts w:ascii="Arial" w:hAnsi="Arial" w:cs="Arial"/>
                <w:sz w:val="20"/>
                <w:szCs w:val="20"/>
              </w:rPr>
            </w:pPr>
            <w:r>
              <w:rPr>
                <w:rFonts w:ascii="Arial" w:hAnsi="Arial" w:cs="Arial"/>
                <w:sz w:val="20"/>
                <w:szCs w:val="20"/>
              </w:rPr>
              <w:t>7</w:t>
            </w:r>
            <w:r w:rsidR="002037B0">
              <w:rPr>
                <w:rFonts w:ascii="Arial" w:hAnsi="Arial" w:cs="Arial"/>
                <w:sz w:val="20"/>
                <w:szCs w:val="20"/>
              </w:rPr>
              <w:t>0</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237C6A"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237C6A">
            <w:pPr>
              <w:spacing w:after="0" w:line="240" w:lineRule="auto"/>
              <w:ind w:right="-108"/>
              <w:jc w:val="center"/>
              <w:rPr>
                <w:rFonts w:ascii="Arial" w:hAnsi="Arial" w:cs="Arial"/>
                <w:sz w:val="20"/>
                <w:szCs w:val="20"/>
              </w:rPr>
            </w:pPr>
            <w:r w:rsidRPr="00BA017A">
              <w:rPr>
                <w:rFonts w:ascii="Arial" w:hAnsi="Arial" w:cs="Arial"/>
                <w:sz w:val="20"/>
                <w:szCs w:val="20"/>
              </w:rPr>
              <w:t>$</w:t>
            </w:r>
            <w:r w:rsidR="00237C6A">
              <w:rPr>
                <w:rFonts w:ascii="Arial" w:hAnsi="Arial" w:cs="Arial"/>
                <w:sz w:val="20"/>
                <w:szCs w:val="20"/>
              </w:rPr>
              <w:t>0</w:t>
            </w:r>
          </w:p>
        </w:tc>
        <w:tc>
          <w:tcPr>
            <w:tcW w:w="3420" w:type="dxa"/>
          </w:tcPr>
          <w:p w:rsidR="000C209F" w:rsidRPr="00BA017A" w:rsidRDefault="00A874B3" w:rsidP="006D152C">
            <w:pPr>
              <w:spacing w:after="0" w:line="240" w:lineRule="auto"/>
              <w:ind w:left="-108" w:right="-108"/>
              <w:jc w:val="center"/>
              <w:rPr>
                <w:rFonts w:ascii="Arial" w:hAnsi="Arial" w:cs="Arial"/>
                <w:sz w:val="20"/>
                <w:szCs w:val="20"/>
              </w:rPr>
            </w:pPr>
            <w:r>
              <w:rPr>
                <w:rFonts w:ascii="Arial" w:hAnsi="Arial" w:cs="Arial"/>
                <w:sz w:val="20"/>
                <w:szCs w:val="20"/>
              </w:rPr>
              <w:t>90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8252B6">
              <w:rPr>
                <w:rFonts w:ascii="Arial" w:hAnsi="Arial" w:cs="Arial"/>
                <w:sz w:val="20"/>
                <w:szCs w:val="20"/>
              </w:rPr>
              <w:t>90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r w:rsidR="008252B6">
              <w:rPr>
                <w:rFonts w:ascii="Arial" w:hAnsi="Arial" w:cs="Arial"/>
                <w:sz w:val="20"/>
                <w:szCs w:val="20"/>
              </w:rPr>
              <w:t xml:space="preserve">BYU prepared a data reduction </w:t>
            </w:r>
            <w:r w:rsidR="00C57337">
              <w:rPr>
                <w:rFonts w:ascii="Arial" w:hAnsi="Arial" w:cs="Arial"/>
                <w:sz w:val="20"/>
                <w:szCs w:val="20"/>
              </w:rPr>
              <w:t>report</w:t>
            </w:r>
            <w:r w:rsidR="008252B6">
              <w:rPr>
                <w:rFonts w:ascii="Arial" w:hAnsi="Arial" w:cs="Arial"/>
                <w:sz w:val="20"/>
                <w:szCs w:val="20"/>
              </w:rPr>
              <w: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C05118">
              <w:rPr>
                <w:rFonts w:ascii="Arial" w:hAnsi="Arial" w:cs="Arial"/>
                <w:sz w:val="20"/>
                <w:szCs w:val="20"/>
              </w:rPr>
              <w:t>7</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F3178E">
              <w:rPr>
                <w:rFonts w:ascii="Arial" w:hAnsi="Arial" w:cs="Arial"/>
                <w:sz w:val="20"/>
                <w:szCs w:val="20"/>
              </w:rPr>
              <w:t>5</w:t>
            </w:r>
            <w:r w:rsidR="004A130B">
              <w:rPr>
                <w:rFonts w:ascii="Arial" w:hAnsi="Arial" w:cs="Arial"/>
                <w:sz w:val="20"/>
                <w:szCs w:val="20"/>
              </w:rPr>
              <w:t>0% complete.  BYU prepared portions of the final report.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6147C0">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8959EE">
              <w:rPr>
                <w:rFonts w:ascii="Arial" w:hAnsi="Arial" w:cs="Arial"/>
                <w:sz w:val="20"/>
                <w:szCs w:val="20"/>
              </w:rPr>
              <w:t>No changes this quarter.</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33136">
              <w:rPr>
                <w:rFonts w:ascii="Arial" w:hAnsi="Arial" w:cs="Arial"/>
                <w:sz w:val="20"/>
                <w:szCs w:val="20"/>
              </w:rPr>
              <w:t>Post the revised task report on the TPF website.</w:t>
            </w:r>
            <w:r w:rsidR="00292E01">
              <w:rPr>
                <w:rFonts w:ascii="Arial" w:hAnsi="Arial" w:cs="Arial"/>
                <w:sz w:val="20"/>
                <w:szCs w:val="20"/>
              </w:rPr>
              <w:t xml:space="preserve"> Provide a data reduction report for TAC review.</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r w:rsidR="00292E01">
              <w:rPr>
                <w:rFonts w:ascii="Arial" w:hAnsi="Arial" w:cs="Arial"/>
                <w:sz w:val="20"/>
                <w:szCs w:val="20"/>
              </w:rPr>
              <w:t xml:space="preserve"> Provide a predictive methods report for TAC review.</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292E01">
              <w:rPr>
                <w:rFonts w:ascii="Arial" w:hAnsi="Arial" w:cs="Arial"/>
                <w:sz w:val="20"/>
                <w:szCs w:val="20"/>
              </w:rPr>
              <w:t>Complete the draft final report for TAC review.</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FE2CF4">
              <w:rPr>
                <w:rFonts w:ascii="Arial" w:hAnsi="Arial" w:cs="Arial"/>
                <w:sz w:val="20"/>
                <w:szCs w:val="20"/>
              </w:rPr>
              <w:t xml:space="preserve">final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FE2CF4">
              <w:rPr>
                <w:rFonts w:ascii="Arial" w:hAnsi="Arial" w:cs="Arial"/>
                <w:sz w:val="20"/>
                <w:szCs w:val="20"/>
              </w:rPr>
              <w:t xml:space="preserve"> </w:t>
            </w:r>
            <w:r w:rsidR="004A130B">
              <w:rPr>
                <w:rFonts w:ascii="Arial" w:hAnsi="Arial" w:cs="Arial"/>
                <w:sz w:val="20"/>
                <w:szCs w:val="20"/>
              </w:rPr>
              <w:t>Consider</w:t>
            </w:r>
            <w:r w:rsidR="00FE2CF4">
              <w:rPr>
                <w:rFonts w:ascii="Arial" w:hAnsi="Arial" w:cs="Arial"/>
                <w:sz w:val="20"/>
                <w:szCs w:val="20"/>
              </w:rPr>
              <w:t xml:space="preserve"> travel and implementation support needs of the TAC members.</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8959EE">
              <w:rPr>
                <w:rFonts w:ascii="Arial" w:hAnsi="Arial" w:cs="Arial"/>
                <w:sz w:val="20"/>
                <w:szCs w:val="20"/>
              </w:rPr>
              <w:t>Extend</w:t>
            </w:r>
            <w:r w:rsidR="008959EE" w:rsidRPr="008959EE">
              <w:rPr>
                <w:rFonts w:ascii="Arial" w:hAnsi="Arial" w:cs="Arial"/>
                <w:sz w:val="20"/>
                <w:szCs w:val="20"/>
              </w:rPr>
              <w:t xml:space="preserve"> the contract end date to allow for report completion and reviews</w:t>
            </w:r>
            <w:r w:rsidR="008959EE">
              <w:rPr>
                <w:rFonts w:ascii="Arial" w:hAnsi="Arial" w:cs="Arial"/>
                <w:sz w:val="20"/>
                <w:szCs w:val="20"/>
              </w:rPr>
              <w: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65129D">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430194" w:rsidRDefault="00430194" w:rsidP="00360664">
            <w:pPr>
              <w:spacing w:after="0" w:line="240" w:lineRule="auto"/>
              <w:rPr>
                <w:rFonts w:ascii="Arial" w:hAnsi="Arial" w:cs="Arial"/>
                <w:sz w:val="20"/>
                <w:szCs w:val="20"/>
              </w:rPr>
            </w:pPr>
          </w:p>
          <w:p w:rsidR="00430194" w:rsidRDefault="00430194" w:rsidP="009C604B">
            <w:pPr>
              <w:spacing w:after="0" w:line="240" w:lineRule="auto"/>
              <w:rPr>
                <w:rFonts w:ascii="Arial" w:hAnsi="Arial" w:cs="Arial"/>
                <w:i/>
                <w:sz w:val="20"/>
                <w:szCs w:val="20"/>
              </w:rPr>
            </w:pPr>
            <w:r>
              <w:rPr>
                <w:rFonts w:ascii="Arial" w:hAnsi="Arial" w:cs="Arial"/>
                <w:sz w:val="20"/>
                <w:szCs w:val="20"/>
              </w:rPr>
              <w:t xml:space="preserve">During the past quarter, analysis work and parameter studies were largely completed.  Reasonable agreement with the measured curves was obtained using parameters identified from the shaking table testing. Additional testing regarding the relative density were necessary to refine the values specified by the lab at University of Buffalo.  The maximum void ratio was higher than initially reported presumably because of grain size changes during the repeated testing with the same sand. </w:t>
            </w:r>
            <w:r w:rsidRPr="00430194">
              <w:rPr>
                <w:rFonts w:ascii="Arial" w:hAnsi="Arial" w:cs="Arial"/>
                <w:sz w:val="20"/>
                <w:szCs w:val="20"/>
              </w:rPr>
              <w:t xml:space="preserve">Final reports on the results of the </w:t>
            </w:r>
            <w:r>
              <w:rPr>
                <w:rFonts w:ascii="Arial" w:hAnsi="Arial" w:cs="Arial"/>
                <w:sz w:val="20"/>
                <w:szCs w:val="20"/>
              </w:rPr>
              <w:t>numerical analyses are in preparation.</w:t>
            </w:r>
            <w:bookmarkStart w:id="0" w:name="_GoBack"/>
            <w:bookmarkEnd w:id="0"/>
          </w:p>
          <w:p w:rsidR="00C95AE1" w:rsidRDefault="00C95AE1" w:rsidP="009C604B">
            <w:pPr>
              <w:spacing w:after="0" w:line="240" w:lineRule="auto"/>
              <w:rPr>
                <w:rFonts w:ascii="Arial" w:hAnsi="Arial" w:cs="Arial"/>
                <w:sz w:val="20"/>
                <w:szCs w:val="20"/>
              </w:rPr>
            </w:pPr>
          </w:p>
          <w:p w:rsidR="008B1ECD" w:rsidRPr="002D15D9" w:rsidRDefault="00621AD0" w:rsidP="00430194">
            <w:pPr>
              <w:spacing w:after="0" w:line="240" w:lineRule="auto"/>
              <w:rPr>
                <w:rFonts w:ascii="Arial" w:hAnsi="Arial" w:cs="Arial"/>
                <w:b/>
                <w:sz w:val="20"/>
                <w:szCs w:val="20"/>
              </w:rPr>
            </w:pPr>
            <w:r>
              <w:rPr>
                <w:rFonts w:ascii="Arial" w:hAnsi="Arial" w:cs="Arial"/>
                <w:sz w:val="20"/>
                <w:szCs w:val="20"/>
              </w:rPr>
              <w:t xml:space="preserve"> </w:t>
            </w: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rsidR="00485BCB" w:rsidRDefault="00485BCB" w:rsidP="00E07FE7">
            <w:pPr>
              <w:spacing w:after="0" w:line="240" w:lineRule="auto"/>
              <w:rPr>
                <w:rFonts w:ascii="Arial" w:hAnsi="Arial" w:cs="Arial"/>
                <w:sz w:val="20"/>
                <w:szCs w:val="20"/>
              </w:rPr>
            </w:pPr>
          </w:p>
          <w:p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complete reports and reviews by the TAC.  Therefore the contract was amended to reflect the project ending in </w:t>
            </w:r>
            <w:r w:rsidR="007F5B34">
              <w:rPr>
                <w:rFonts w:ascii="Arial" w:hAnsi="Arial" w:cs="Arial"/>
                <w:sz w:val="20"/>
                <w:szCs w:val="20"/>
              </w:rPr>
              <w:t>June 2017</w:t>
            </w:r>
            <w:r w:rsidR="00FE0353">
              <w:rPr>
                <w:rFonts w:ascii="Arial" w:hAnsi="Arial" w:cs="Arial"/>
                <w:sz w:val="20"/>
                <w:szCs w:val="20"/>
              </w:rPr>
              <w:t xml:space="preserve"> instead of the original plan.</w:t>
            </w:r>
          </w:p>
          <w:p w:rsidR="00A459A9" w:rsidRPr="00C72C8A" w:rsidRDefault="00A459A9" w:rsidP="00E07FE7">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C72C8A">
      <w:pPr>
        <w:spacing w:after="0"/>
        <w:ind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69" w:rsidRDefault="00AA4F69" w:rsidP="00106C83">
      <w:pPr>
        <w:spacing w:after="0" w:line="240" w:lineRule="auto"/>
      </w:pPr>
      <w:r>
        <w:separator/>
      </w:r>
    </w:p>
  </w:endnote>
  <w:endnote w:type="continuationSeparator" w:id="0">
    <w:p w:rsidR="00AA4F69" w:rsidRDefault="00AA4F6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16" w:rsidRDefault="00451E16" w:rsidP="00E371D1">
    <w:pPr>
      <w:pStyle w:val="Footer"/>
      <w:ind w:left="-810"/>
    </w:pPr>
    <w:r>
      <w:t>TPF Program Standard Quarterly Reporting Format – 7/2011</w:t>
    </w:r>
  </w:p>
  <w:p w:rsidR="00451E16" w:rsidRDefault="00451E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69" w:rsidRDefault="00AA4F69" w:rsidP="00106C83">
      <w:pPr>
        <w:spacing w:after="0" w:line="240" w:lineRule="auto"/>
      </w:pPr>
      <w:r>
        <w:separator/>
      </w:r>
    </w:p>
  </w:footnote>
  <w:footnote w:type="continuationSeparator" w:id="0">
    <w:p w:rsidR="00AA4F69" w:rsidRDefault="00AA4F6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AA"/>
    <w:rsid w:val="0001316D"/>
    <w:rsid w:val="00020065"/>
    <w:rsid w:val="00021FF2"/>
    <w:rsid w:val="00033E93"/>
    <w:rsid w:val="00034653"/>
    <w:rsid w:val="00036117"/>
    <w:rsid w:val="00037FBC"/>
    <w:rsid w:val="00040C17"/>
    <w:rsid w:val="00046DCA"/>
    <w:rsid w:val="00047E96"/>
    <w:rsid w:val="00056C80"/>
    <w:rsid w:val="00057F22"/>
    <w:rsid w:val="00060908"/>
    <w:rsid w:val="00064BD6"/>
    <w:rsid w:val="00065E9D"/>
    <w:rsid w:val="00066F64"/>
    <w:rsid w:val="000672D5"/>
    <w:rsid w:val="000707EE"/>
    <w:rsid w:val="000736BB"/>
    <w:rsid w:val="000759D5"/>
    <w:rsid w:val="00087797"/>
    <w:rsid w:val="00087DC0"/>
    <w:rsid w:val="00097F39"/>
    <w:rsid w:val="000A0D23"/>
    <w:rsid w:val="000A20F3"/>
    <w:rsid w:val="000A51D5"/>
    <w:rsid w:val="000A7C22"/>
    <w:rsid w:val="000B0226"/>
    <w:rsid w:val="000B665A"/>
    <w:rsid w:val="000C209F"/>
    <w:rsid w:val="000C2503"/>
    <w:rsid w:val="000D13A6"/>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C0A2C"/>
    <w:rsid w:val="001C1E3F"/>
    <w:rsid w:val="001C6EB8"/>
    <w:rsid w:val="001C6EFD"/>
    <w:rsid w:val="001D012C"/>
    <w:rsid w:val="001D2FB4"/>
    <w:rsid w:val="001D404B"/>
    <w:rsid w:val="001D7748"/>
    <w:rsid w:val="001D7CC0"/>
    <w:rsid w:val="001E3627"/>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D73"/>
    <w:rsid w:val="0022469B"/>
    <w:rsid w:val="002263E0"/>
    <w:rsid w:val="00237C6A"/>
    <w:rsid w:val="00241887"/>
    <w:rsid w:val="002442E9"/>
    <w:rsid w:val="00245D5B"/>
    <w:rsid w:val="00254713"/>
    <w:rsid w:val="00266EF9"/>
    <w:rsid w:val="0027143D"/>
    <w:rsid w:val="002718CD"/>
    <w:rsid w:val="00291F1C"/>
    <w:rsid w:val="00292E01"/>
    <w:rsid w:val="00293325"/>
    <w:rsid w:val="00293FD8"/>
    <w:rsid w:val="00294DE6"/>
    <w:rsid w:val="002953FD"/>
    <w:rsid w:val="00296B7E"/>
    <w:rsid w:val="00297670"/>
    <w:rsid w:val="002A322A"/>
    <w:rsid w:val="002A378C"/>
    <w:rsid w:val="002A79C8"/>
    <w:rsid w:val="002B084F"/>
    <w:rsid w:val="002B12AD"/>
    <w:rsid w:val="002B7515"/>
    <w:rsid w:val="002B777E"/>
    <w:rsid w:val="002C2937"/>
    <w:rsid w:val="002C4321"/>
    <w:rsid w:val="002D15D9"/>
    <w:rsid w:val="002D353E"/>
    <w:rsid w:val="002E0AFF"/>
    <w:rsid w:val="002E661B"/>
    <w:rsid w:val="00303BFD"/>
    <w:rsid w:val="00312592"/>
    <w:rsid w:val="0031390E"/>
    <w:rsid w:val="00315979"/>
    <w:rsid w:val="0031653B"/>
    <w:rsid w:val="00317414"/>
    <w:rsid w:val="00320052"/>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A0D13"/>
    <w:rsid w:val="003A3C99"/>
    <w:rsid w:val="003A6804"/>
    <w:rsid w:val="003A720F"/>
    <w:rsid w:val="003B06B3"/>
    <w:rsid w:val="003B6134"/>
    <w:rsid w:val="003B6363"/>
    <w:rsid w:val="003B6B3A"/>
    <w:rsid w:val="003B79D4"/>
    <w:rsid w:val="003C0478"/>
    <w:rsid w:val="003C1223"/>
    <w:rsid w:val="003C20F5"/>
    <w:rsid w:val="003C7AFE"/>
    <w:rsid w:val="003E0A8C"/>
    <w:rsid w:val="003E4104"/>
    <w:rsid w:val="003F2F67"/>
    <w:rsid w:val="00400E6C"/>
    <w:rsid w:val="004034A7"/>
    <w:rsid w:val="00403587"/>
    <w:rsid w:val="00404687"/>
    <w:rsid w:val="004065F9"/>
    <w:rsid w:val="00407062"/>
    <w:rsid w:val="00412078"/>
    <w:rsid w:val="004144E6"/>
    <w:rsid w:val="00414F87"/>
    <w:rsid w:val="004156B2"/>
    <w:rsid w:val="00420ACA"/>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0C3"/>
    <w:rsid w:val="00474477"/>
    <w:rsid w:val="00477D92"/>
    <w:rsid w:val="00483930"/>
    <w:rsid w:val="00484AAB"/>
    <w:rsid w:val="00484F35"/>
    <w:rsid w:val="00485BCB"/>
    <w:rsid w:val="00487C28"/>
    <w:rsid w:val="004913CE"/>
    <w:rsid w:val="00491693"/>
    <w:rsid w:val="00492E2B"/>
    <w:rsid w:val="00496024"/>
    <w:rsid w:val="004963B0"/>
    <w:rsid w:val="004A0AD5"/>
    <w:rsid w:val="004A130B"/>
    <w:rsid w:val="004B3555"/>
    <w:rsid w:val="004C447F"/>
    <w:rsid w:val="004C4487"/>
    <w:rsid w:val="004C7444"/>
    <w:rsid w:val="004D5CDC"/>
    <w:rsid w:val="004D5EEE"/>
    <w:rsid w:val="004D6151"/>
    <w:rsid w:val="004D6DF5"/>
    <w:rsid w:val="004D778C"/>
    <w:rsid w:val="004D7E77"/>
    <w:rsid w:val="004E04B8"/>
    <w:rsid w:val="004E14DC"/>
    <w:rsid w:val="004E46AD"/>
    <w:rsid w:val="004E4A6C"/>
    <w:rsid w:val="005030A0"/>
    <w:rsid w:val="0051500B"/>
    <w:rsid w:val="00530842"/>
    <w:rsid w:val="00535598"/>
    <w:rsid w:val="00535AE5"/>
    <w:rsid w:val="0053701E"/>
    <w:rsid w:val="005373F0"/>
    <w:rsid w:val="0054002B"/>
    <w:rsid w:val="00547EE3"/>
    <w:rsid w:val="00551723"/>
    <w:rsid w:val="0055178A"/>
    <w:rsid w:val="00551855"/>
    <w:rsid w:val="00551D8A"/>
    <w:rsid w:val="00553DF8"/>
    <w:rsid w:val="00574EA0"/>
    <w:rsid w:val="00581B36"/>
    <w:rsid w:val="00582FD5"/>
    <w:rsid w:val="005831C1"/>
    <w:rsid w:val="00583E8E"/>
    <w:rsid w:val="005841C9"/>
    <w:rsid w:val="0059223A"/>
    <w:rsid w:val="00592A79"/>
    <w:rsid w:val="0059636D"/>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47C0"/>
    <w:rsid w:val="00621AD0"/>
    <w:rsid w:val="006228E5"/>
    <w:rsid w:val="00630F0C"/>
    <w:rsid w:val="0063129B"/>
    <w:rsid w:val="006420DB"/>
    <w:rsid w:val="00642B51"/>
    <w:rsid w:val="00647D8B"/>
    <w:rsid w:val="0065129D"/>
    <w:rsid w:val="00655F26"/>
    <w:rsid w:val="0065752D"/>
    <w:rsid w:val="00660155"/>
    <w:rsid w:val="00665E69"/>
    <w:rsid w:val="00667348"/>
    <w:rsid w:val="00672286"/>
    <w:rsid w:val="006761F6"/>
    <w:rsid w:val="00680867"/>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152C"/>
    <w:rsid w:val="006D4192"/>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3C01"/>
    <w:rsid w:val="00743DD9"/>
    <w:rsid w:val="0074450D"/>
    <w:rsid w:val="007456DB"/>
    <w:rsid w:val="00750759"/>
    <w:rsid w:val="00751684"/>
    <w:rsid w:val="0075666E"/>
    <w:rsid w:val="007577D6"/>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3739"/>
    <w:rsid w:val="007D4A84"/>
    <w:rsid w:val="007E19E1"/>
    <w:rsid w:val="007E4EA6"/>
    <w:rsid w:val="007E5BD2"/>
    <w:rsid w:val="007F5B34"/>
    <w:rsid w:val="008048C2"/>
    <w:rsid w:val="00804EC7"/>
    <w:rsid w:val="008202B0"/>
    <w:rsid w:val="00821AC5"/>
    <w:rsid w:val="00823934"/>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92EB4"/>
    <w:rsid w:val="0089471A"/>
    <w:rsid w:val="008959EE"/>
    <w:rsid w:val="008B1ECD"/>
    <w:rsid w:val="008B7E74"/>
    <w:rsid w:val="008C3A9E"/>
    <w:rsid w:val="008C59B4"/>
    <w:rsid w:val="008D22CB"/>
    <w:rsid w:val="008D33CE"/>
    <w:rsid w:val="008E0978"/>
    <w:rsid w:val="008E75C5"/>
    <w:rsid w:val="008F34E8"/>
    <w:rsid w:val="008F4B61"/>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676B"/>
    <w:rsid w:val="009769E2"/>
    <w:rsid w:val="0098388E"/>
    <w:rsid w:val="009934E8"/>
    <w:rsid w:val="00994752"/>
    <w:rsid w:val="009A062F"/>
    <w:rsid w:val="009A1C5A"/>
    <w:rsid w:val="009A398D"/>
    <w:rsid w:val="009A5C18"/>
    <w:rsid w:val="009A5CE9"/>
    <w:rsid w:val="009B1A1B"/>
    <w:rsid w:val="009B229B"/>
    <w:rsid w:val="009B699B"/>
    <w:rsid w:val="009C3C41"/>
    <w:rsid w:val="009C604B"/>
    <w:rsid w:val="009C6BF4"/>
    <w:rsid w:val="009D13DC"/>
    <w:rsid w:val="009D22CE"/>
    <w:rsid w:val="009D3B57"/>
    <w:rsid w:val="009E5256"/>
    <w:rsid w:val="009E7D51"/>
    <w:rsid w:val="009F2C97"/>
    <w:rsid w:val="009F5CE7"/>
    <w:rsid w:val="00A06383"/>
    <w:rsid w:val="00A16D08"/>
    <w:rsid w:val="00A217DC"/>
    <w:rsid w:val="00A31725"/>
    <w:rsid w:val="00A43875"/>
    <w:rsid w:val="00A44721"/>
    <w:rsid w:val="00A459A9"/>
    <w:rsid w:val="00A4783E"/>
    <w:rsid w:val="00A52589"/>
    <w:rsid w:val="00A52E0D"/>
    <w:rsid w:val="00A63086"/>
    <w:rsid w:val="00A63677"/>
    <w:rsid w:val="00A654AE"/>
    <w:rsid w:val="00A7047E"/>
    <w:rsid w:val="00A707E3"/>
    <w:rsid w:val="00A74CE1"/>
    <w:rsid w:val="00A852A7"/>
    <w:rsid w:val="00A874B3"/>
    <w:rsid w:val="00A900B9"/>
    <w:rsid w:val="00A937D9"/>
    <w:rsid w:val="00A95DA3"/>
    <w:rsid w:val="00A95FA8"/>
    <w:rsid w:val="00A97723"/>
    <w:rsid w:val="00AA4194"/>
    <w:rsid w:val="00AA4F69"/>
    <w:rsid w:val="00AB0016"/>
    <w:rsid w:val="00AB1873"/>
    <w:rsid w:val="00AB1C0D"/>
    <w:rsid w:val="00AB3C32"/>
    <w:rsid w:val="00AB4B9B"/>
    <w:rsid w:val="00AC5A48"/>
    <w:rsid w:val="00AC6891"/>
    <w:rsid w:val="00AC7DA7"/>
    <w:rsid w:val="00AD53DD"/>
    <w:rsid w:val="00AE04D3"/>
    <w:rsid w:val="00AE3153"/>
    <w:rsid w:val="00AE40EB"/>
    <w:rsid w:val="00AE46B0"/>
    <w:rsid w:val="00AF11D1"/>
    <w:rsid w:val="00AF52BA"/>
    <w:rsid w:val="00AF6033"/>
    <w:rsid w:val="00B00AC2"/>
    <w:rsid w:val="00B05283"/>
    <w:rsid w:val="00B1379E"/>
    <w:rsid w:val="00B2185C"/>
    <w:rsid w:val="00B21C49"/>
    <w:rsid w:val="00B236DD"/>
    <w:rsid w:val="00B247B3"/>
    <w:rsid w:val="00B24C30"/>
    <w:rsid w:val="00B27158"/>
    <w:rsid w:val="00B30F4C"/>
    <w:rsid w:val="00B33606"/>
    <w:rsid w:val="00B43799"/>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D0D1E"/>
    <w:rsid w:val="00BD1068"/>
    <w:rsid w:val="00BD26AD"/>
    <w:rsid w:val="00BD330E"/>
    <w:rsid w:val="00BD73B3"/>
    <w:rsid w:val="00BE098B"/>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6B55"/>
    <w:rsid w:val="00C475FE"/>
    <w:rsid w:val="00C478EA"/>
    <w:rsid w:val="00C51E33"/>
    <w:rsid w:val="00C57337"/>
    <w:rsid w:val="00C6237D"/>
    <w:rsid w:val="00C6642A"/>
    <w:rsid w:val="00C66E05"/>
    <w:rsid w:val="00C71739"/>
    <w:rsid w:val="00C72C8A"/>
    <w:rsid w:val="00C73CC8"/>
    <w:rsid w:val="00C7412A"/>
    <w:rsid w:val="00C7699B"/>
    <w:rsid w:val="00C8267C"/>
    <w:rsid w:val="00C83343"/>
    <w:rsid w:val="00C8445D"/>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2813"/>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E1EB7"/>
    <w:rsid w:val="00DE2E58"/>
    <w:rsid w:val="00DE3DFB"/>
    <w:rsid w:val="00DE71FF"/>
    <w:rsid w:val="00DF0297"/>
    <w:rsid w:val="00DF2025"/>
    <w:rsid w:val="00DF4405"/>
    <w:rsid w:val="00DF6449"/>
    <w:rsid w:val="00DF77B1"/>
    <w:rsid w:val="00E01FFA"/>
    <w:rsid w:val="00E05F02"/>
    <w:rsid w:val="00E07FE7"/>
    <w:rsid w:val="00E125CE"/>
    <w:rsid w:val="00E14350"/>
    <w:rsid w:val="00E145A4"/>
    <w:rsid w:val="00E14EE9"/>
    <w:rsid w:val="00E17A26"/>
    <w:rsid w:val="00E2307B"/>
    <w:rsid w:val="00E32E90"/>
    <w:rsid w:val="00E3578E"/>
    <w:rsid w:val="00E35E0F"/>
    <w:rsid w:val="00E36F6B"/>
    <w:rsid w:val="00E371D1"/>
    <w:rsid w:val="00E53738"/>
    <w:rsid w:val="00E556EF"/>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B85"/>
    <w:rsid w:val="00FB4F80"/>
    <w:rsid w:val="00FC2B72"/>
    <w:rsid w:val="00FD0033"/>
    <w:rsid w:val="00FD008E"/>
    <w:rsid w:val="00FD0488"/>
    <w:rsid w:val="00FD0543"/>
    <w:rsid w:val="00FD1E66"/>
    <w:rsid w:val="00FD3F3F"/>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88B7A"/>
  <w15:docId w15:val="{0CB8D8D7-E69A-40B0-AE94-2C972EE3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1ED9-E4FD-4277-880A-387C29F4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6926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Rollins</cp:lastModifiedBy>
  <cp:revision>2</cp:revision>
  <cp:lastPrinted>2011-06-21T20:32:00Z</cp:lastPrinted>
  <dcterms:created xsi:type="dcterms:W3CDTF">2017-05-05T00:51:00Z</dcterms:created>
  <dcterms:modified xsi:type="dcterms:W3CDTF">2017-05-05T00:51:00Z</dcterms:modified>
</cp:coreProperties>
</file>