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89278679"/>
    <w:p w14:paraId="4EE41E6D" w14:textId="542C6EC8" w:rsidR="00EB63F1" w:rsidRPr="00E611A4" w:rsidRDefault="009A58CF" w:rsidP="00A3248A">
      <w:pPr>
        <w:keepNext/>
        <w:widowControl w:val="0"/>
        <w:autoSpaceDE w:val="0"/>
        <w:autoSpaceDN w:val="0"/>
        <w:adjustRightInd w:val="0"/>
        <w:spacing w:line="240" w:lineRule="auto"/>
        <w:ind w:left="2520"/>
        <w:outlineLvl w:val="2"/>
        <w:rPr>
          <w:rFonts w:ascii="Arial" w:hAnsi="Arial" w:cs="Arial"/>
          <w:b/>
          <w:sz w:val="36"/>
          <w:szCs w:val="36"/>
        </w:rPr>
      </w:pPr>
      <w:r>
        <w:rPr>
          <w:rFonts w:ascii="Arial" w:hAnsi="Arial" w:cs="Arial"/>
          <w:b/>
          <w:sz w:val="36"/>
          <w:szCs w:val="36"/>
        </w:rPr>
        <w:fldChar w:fldCharType="begin"/>
      </w:r>
      <w:r>
        <w:rPr>
          <w:rFonts w:ascii="Arial" w:hAnsi="Arial" w:cs="Arial"/>
          <w:b/>
          <w:sz w:val="36"/>
          <w:szCs w:val="36"/>
        </w:rPr>
        <w:instrText xml:space="preserve"> MACROBUTTON MTEditEquationSection2 </w:instrText>
      </w:r>
      <w:r w:rsidRPr="009A58CF">
        <w:rPr>
          <w:rStyle w:val="MTEquationSection"/>
        </w:rPr>
        <w:instrText>Equation Chapter 1 Section 1</w:instrText>
      </w:r>
      <w:r>
        <w:rPr>
          <w:rFonts w:ascii="Arial" w:hAnsi="Arial" w:cs="Arial"/>
          <w:b/>
          <w:sz w:val="36"/>
          <w:szCs w:val="36"/>
        </w:rPr>
        <w:fldChar w:fldCharType="begin"/>
      </w:r>
      <w:r>
        <w:rPr>
          <w:rFonts w:ascii="Arial" w:hAnsi="Arial" w:cs="Arial"/>
          <w:b/>
          <w:sz w:val="36"/>
          <w:szCs w:val="36"/>
        </w:rPr>
        <w:instrText xml:space="preserve"> SEQ MTEqn \r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MTSec \r 1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MTChap \r 1 \h \* MERGEFORMAT </w:instrText>
      </w:r>
      <w:r>
        <w:rPr>
          <w:rFonts w:ascii="Arial" w:hAnsi="Arial" w:cs="Arial"/>
          <w:b/>
          <w:sz w:val="36"/>
          <w:szCs w:val="36"/>
        </w:rPr>
        <w:fldChar w:fldCharType="end"/>
      </w:r>
      <w:r>
        <w:rPr>
          <w:rFonts w:ascii="Arial" w:hAnsi="Arial" w:cs="Arial"/>
          <w:b/>
          <w:sz w:val="36"/>
          <w:szCs w:val="36"/>
        </w:rPr>
        <w:fldChar w:fldCharType="end"/>
      </w:r>
      <w:r w:rsidR="00116C76">
        <w:rPr>
          <w:rFonts w:ascii="Arial" w:hAnsi="Arial" w:cs="Arial"/>
          <w:noProof/>
          <w:sz w:val="36"/>
          <w:szCs w:val="36"/>
        </w:rPr>
        <w:drawing>
          <wp:anchor distT="0" distB="0" distL="114300" distR="114300" simplePos="0" relativeHeight="251655680" behindDoc="1" locked="1" layoutInCell="1" allowOverlap="1" wp14:anchorId="16EAA3F6" wp14:editId="495FCBFB">
            <wp:simplePos x="0" y="0"/>
            <wp:positionH relativeFrom="column">
              <wp:posOffset>-1463040</wp:posOffset>
            </wp:positionH>
            <wp:positionV relativeFrom="page">
              <wp:posOffset>-248285</wp:posOffset>
            </wp:positionV>
            <wp:extent cx="7644765" cy="10602595"/>
            <wp:effectExtent l="19050" t="0" r="0" b="0"/>
            <wp:wrapNone/>
            <wp:docPr id="108" name="Picture 1" descr="Copy of Research Cover Sheet 4-20-1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Research Cover Sheet 4-20-11.png">
                      <a:hlinkClick r:id="rId8"/>
                    </pic:cNvPr>
                    <pic:cNvPicPr>
                      <a:picLocks noChangeAspect="1" noChangeArrowheads="1"/>
                    </pic:cNvPicPr>
                  </pic:nvPicPr>
                  <pic:blipFill>
                    <a:blip r:embed="rId9"/>
                    <a:srcRect/>
                    <a:stretch>
                      <a:fillRect/>
                    </a:stretch>
                  </pic:blipFill>
                  <pic:spPr bwMode="auto">
                    <a:xfrm>
                      <a:off x="0" y="0"/>
                      <a:ext cx="7644765" cy="10602595"/>
                    </a:xfrm>
                    <a:prstGeom prst="rect">
                      <a:avLst/>
                    </a:prstGeom>
                    <a:noFill/>
                  </pic:spPr>
                </pic:pic>
              </a:graphicData>
            </a:graphic>
          </wp:anchor>
        </w:drawing>
      </w:r>
      <w:r w:rsidR="00356036">
        <w:rPr>
          <w:rFonts w:ascii="Arial" w:hAnsi="Arial" w:cs="Arial"/>
          <w:b/>
          <w:caps/>
          <w:noProof/>
          <w:sz w:val="36"/>
          <w:szCs w:val="36"/>
        </w:rPr>
        <mc:AlternateContent>
          <mc:Choice Requires="wps">
            <w:drawing>
              <wp:anchor distT="0" distB="0" distL="114300" distR="114300" simplePos="0" relativeHeight="251656704" behindDoc="0" locked="1" layoutInCell="1" allowOverlap="1" wp14:anchorId="2BF76876" wp14:editId="7B21442E">
                <wp:simplePos x="0" y="0"/>
                <wp:positionH relativeFrom="column">
                  <wp:posOffset>3597910</wp:posOffset>
                </wp:positionH>
                <wp:positionV relativeFrom="page">
                  <wp:posOffset>868680</wp:posOffset>
                </wp:positionV>
                <wp:extent cx="2505710" cy="481965"/>
                <wp:effectExtent l="0" t="1905" r="1905" b="1905"/>
                <wp:wrapNone/>
                <wp:docPr id="21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44797" w14:textId="18AD11CA" w:rsidR="00311076" w:rsidRPr="00FA636D" w:rsidRDefault="00311076" w:rsidP="00A3248A">
                            <w:pPr>
                              <w:rPr>
                                <w:rFonts w:ascii="Arial" w:hAnsi="Arial" w:cs="Arial"/>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76876" id="_x0000_t202" coordsize="21600,21600" o:spt="202" path="m,l,21600r21600,l21600,xe">
                <v:stroke joinstyle="miter"/>
                <v:path gradientshapeok="t" o:connecttype="rect"/>
              </v:shapetype>
              <v:shape id="Text Box 124" o:spid="_x0000_s1026" type="#_x0000_t202" style="position:absolute;left:0;text-align:left;margin-left:283.3pt;margin-top:68.4pt;width:197.3pt;height:3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d4tgIAAL0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RGGEkaA9Numd7g27kHoURsRUaB52B490ArmYPBui0Y6uHW1l900jIZUvFhl0rJceW0RoyDO1N&#10;/+zqhKMtyHr8KGsIRLdGOqB9o3pbPigIAnTo1MOpOzaZCg6jOIjnIZgqsJEkTGexC0Gz4+1BafOe&#10;yR7ZRY4VdN+h092tNjYbmh1dbDAhS951TgGdeHYAjtMJxIar1mazcA19TIN0lawS4pFotvJIUBTe&#10;dbkk3qwM53Hxrlgui/CnjRuSrOV1zYQNcxRXSP6seQeZT7I4yUvLjtcWzqak1Wa97BTaURB36b5D&#10;Qc7c/OdpuCIAlxeUoNHBTZR65SyZe6QksZfOg8QLwvQmnQUkJUX5nNItF+zfKaExx2kcxZOYfsst&#10;cN9rbjTruYHx0fE+x8nJiWZWgitRu9YayrtpfVYKm/5TKaDdx0Y7wVqNTmo1+/UeUKyK17J+AOkq&#10;CcoCEcLMg0Ur1Q+MRpgfOdbft1QxjLoPAuSfhoTYgeM2JJ5HsFHnlvW5hYoKoHJsMJqWSzMNqe2g&#10;+KaFSNODE/IankzDnZqfsjo8NJgRjtRhntkhdL53Xk9Td/ELAAD//wMAUEsDBBQABgAIAAAAIQCA&#10;3dhC3gAAAAsBAAAPAAAAZHJzL2Rvd25yZXYueG1sTI/BTsMwEETvSPyDtUjcqJ1AXRriVAjEFUSh&#10;SNzceJtExOsodpvw9ywnOK7mafZNuZl9L044xi6QgWyhQCDVwXXUGHh/e7q6BRGTJWf7QGjgGyNs&#10;qvOz0hYuTPSKp21qBJdQLKyBNqWhkDLWLXobF2FA4uwQRm8Tn2Mj3WgnLve9zJXS0tuO+ENrB3xo&#10;sf7aHr2B3fPh8+NGvTSPfjlMYVaS/Foac3kx39+BSDinPxh+9VkdKnbahyO5KHoDS601oxxca97A&#10;xFpnOYi9gTzLVyCrUv7fUP0AAAD//wMAUEsBAi0AFAAGAAgAAAAhALaDOJL+AAAA4QEAABMAAAAA&#10;AAAAAAAAAAAAAAAAAFtDb250ZW50X1R5cGVzXS54bWxQSwECLQAUAAYACAAAACEAOP0h/9YAAACU&#10;AQAACwAAAAAAAAAAAAAAAAAvAQAAX3JlbHMvLnJlbHNQSwECLQAUAAYACAAAACEAAFOHeLYCAAC9&#10;BQAADgAAAAAAAAAAAAAAAAAuAgAAZHJzL2Uyb0RvYy54bWxQSwECLQAUAAYACAAAACEAgN3YQt4A&#10;AAALAQAADwAAAAAAAAAAAAAAAAAQBQAAZHJzL2Rvd25yZXYueG1sUEsFBgAAAAAEAAQA8wAAABsG&#10;AAAAAA==&#10;" filled="f" stroked="f">
                <v:textbox>
                  <w:txbxContent>
                    <w:p w14:paraId="69644797" w14:textId="18AD11CA" w:rsidR="00311076" w:rsidRPr="00FA636D" w:rsidRDefault="00311076" w:rsidP="00A3248A">
                      <w:pPr>
                        <w:rPr>
                          <w:rFonts w:ascii="Arial" w:hAnsi="Arial" w:cs="Arial"/>
                          <w:b/>
                          <w:sz w:val="36"/>
                          <w:szCs w:val="36"/>
                        </w:rPr>
                      </w:pPr>
                    </w:p>
                  </w:txbxContent>
                </v:textbox>
                <w10:wrap anchory="page"/>
                <w10:anchorlock/>
              </v:shape>
            </w:pict>
          </mc:Fallback>
        </mc:AlternateContent>
      </w:r>
      <w:bookmarkEnd w:id="0"/>
    </w:p>
    <w:p w14:paraId="20700E78" w14:textId="77777777" w:rsidR="00EB63F1" w:rsidRPr="00E611A4" w:rsidRDefault="00356036" w:rsidP="0036504D">
      <w:pPr>
        <w:spacing w:line="240" w:lineRule="auto"/>
        <w:ind w:left="2520"/>
        <w:rPr>
          <w:rFonts w:ascii="Arial" w:hAnsi="Arial" w:cs="Arial"/>
          <w:b/>
          <w:sz w:val="36"/>
          <w:szCs w:val="36"/>
        </w:rPr>
      </w:pPr>
      <w:r>
        <w:rPr>
          <w:rFonts w:ascii="Arial" w:hAnsi="Arial" w:cs="Arial"/>
          <w:noProof/>
          <w:szCs w:val="24"/>
        </w:rPr>
        <mc:AlternateContent>
          <mc:Choice Requires="wps">
            <w:drawing>
              <wp:anchor distT="0" distB="0" distL="114300" distR="114300" simplePos="0" relativeHeight="251657728" behindDoc="0" locked="1" layoutInCell="1" allowOverlap="1" wp14:anchorId="42C59DEF" wp14:editId="164C9208">
                <wp:simplePos x="0" y="0"/>
                <wp:positionH relativeFrom="column">
                  <wp:posOffset>1328420</wp:posOffset>
                </wp:positionH>
                <wp:positionV relativeFrom="page">
                  <wp:posOffset>1399540</wp:posOffset>
                </wp:positionV>
                <wp:extent cx="5038725" cy="8272145"/>
                <wp:effectExtent l="0" t="0" r="0" b="0"/>
                <wp:wrapNone/>
                <wp:docPr id="2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827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6FD76" w14:textId="6531F521" w:rsidR="00311076" w:rsidRDefault="00311076"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030C0AAA" w:rsidR="00311076" w:rsidRPr="0046057C" w:rsidRDefault="00311076" w:rsidP="00F835FD">
                            <w:pPr>
                              <w:keepNext/>
                              <w:spacing w:line="240" w:lineRule="auto"/>
                              <w:ind w:firstLine="0"/>
                              <w:jc w:val="left"/>
                              <w:outlineLvl w:val="0"/>
                              <w:rPr>
                                <w:rFonts w:ascii="Arial" w:hAnsi="Arial" w:cs="Arial"/>
                                <w:b/>
                                <w:i/>
                                <w:caps/>
                                <w:sz w:val="48"/>
                                <w:szCs w:val="48"/>
                              </w:rPr>
                            </w:pPr>
                            <w:r>
                              <w:rPr>
                                <w:rFonts w:ascii="Arial" w:hAnsi="Arial" w:cs="Arial"/>
                                <w:b/>
                                <w:i/>
                                <w:caps/>
                                <w:sz w:val="48"/>
                                <w:szCs w:val="48"/>
                              </w:rPr>
                              <w:t>TASK 4</w:t>
                            </w:r>
                          </w:p>
                          <w:p w14:paraId="6FA8880A" w14:textId="77777777" w:rsidR="00311076" w:rsidRPr="00EB63F1" w:rsidRDefault="00311076" w:rsidP="007C50AB">
                            <w:pPr>
                              <w:spacing w:line="240" w:lineRule="auto"/>
                              <w:rPr>
                                <w:rFonts w:ascii="Arial" w:hAnsi="Arial" w:cs="Arial"/>
                                <w:szCs w:val="40"/>
                              </w:rPr>
                            </w:pPr>
                          </w:p>
                          <w:p w14:paraId="3BC1C118" w14:textId="77777777" w:rsidR="00311076" w:rsidRPr="00EB63F1" w:rsidRDefault="00311076" w:rsidP="007C50AB">
                            <w:pPr>
                              <w:spacing w:line="240" w:lineRule="auto"/>
                              <w:rPr>
                                <w:rFonts w:ascii="Arial" w:hAnsi="Arial" w:cs="Arial"/>
                                <w:szCs w:val="24"/>
                              </w:rPr>
                            </w:pPr>
                          </w:p>
                          <w:p w14:paraId="1319946E" w14:textId="77777777" w:rsidR="00311076" w:rsidRPr="00EB63F1" w:rsidRDefault="00311076" w:rsidP="007C50AB">
                            <w:pPr>
                              <w:spacing w:line="240" w:lineRule="auto"/>
                              <w:rPr>
                                <w:rFonts w:ascii="Arial" w:hAnsi="Arial" w:cs="Arial"/>
                                <w:szCs w:val="36"/>
                              </w:rPr>
                            </w:pPr>
                          </w:p>
                          <w:p w14:paraId="57600A37" w14:textId="77777777" w:rsidR="00311076" w:rsidRPr="00EB63F1" w:rsidRDefault="00311076"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311076" w:rsidRPr="00EB63F1" w:rsidRDefault="00311076" w:rsidP="007C50AB">
                            <w:pPr>
                              <w:spacing w:line="240" w:lineRule="auto"/>
                              <w:rPr>
                                <w:rFonts w:ascii="Arial" w:hAnsi="Arial" w:cs="Arial"/>
                                <w:szCs w:val="36"/>
                              </w:rPr>
                            </w:pPr>
                          </w:p>
                          <w:p w14:paraId="0B121E94" w14:textId="77777777" w:rsidR="00311076" w:rsidRDefault="00311076"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311076" w:rsidRPr="00EB63F1" w:rsidRDefault="00311076"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311076" w:rsidRPr="00EB63F1" w:rsidRDefault="00311076" w:rsidP="007C50AB">
                            <w:pPr>
                              <w:spacing w:line="240" w:lineRule="auto"/>
                              <w:rPr>
                                <w:rFonts w:ascii="Arial" w:hAnsi="Arial" w:cs="Arial"/>
                                <w:szCs w:val="24"/>
                              </w:rPr>
                            </w:pPr>
                          </w:p>
                          <w:p w14:paraId="0BD0FD24" w14:textId="77777777" w:rsidR="00311076" w:rsidRPr="00EB63F1" w:rsidRDefault="00311076" w:rsidP="007C50AB">
                            <w:pPr>
                              <w:spacing w:line="240" w:lineRule="auto"/>
                              <w:rPr>
                                <w:rFonts w:ascii="Arial" w:hAnsi="Arial" w:cs="Arial"/>
                                <w:szCs w:val="24"/>
                              </w:rPr>
                            </w:pPr>
                          </w:p>
                          <w:p w14:paraId="6B8C0E37" w14:textId="77777777" w:rsidR="00311076" w:rsidRPr="00EB63F1" w:rsidRDefault="00311076"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311076" w:rsidRPr="00EB63F1" w:rsidRDefault="00311076" w:rsidP="007C50AB">
                            <w:pPr>
                              <w:spacing w:line="240" w:lineRule="auto"/>
                              <w:rPr>
                                <w:rFonts w:ascii="Arial" w:hAnsi="Arial" w:cs="Arial"/>
                                <w:szCs w:val="24"/>
                              </w:rPr>
                            </w:pPr>
                          </w:p>
                          <w:p w14:paraId="5F5582F6" w14:textId="77777777" w:rsidR="00311076" w:rsidRPr="00EB63F1" w:rsidRDefault="00311076"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311076" w:rsidRPr="00EB63F1" w:rsidRDefault="00311076"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311076" w:rsidRPr="00EB63F1" w:rsidRDefault="00311076" w:rsidP="007C50AB">
                            <w:pPr>
                              <w:spacing w:line="240" w:lineRule="auto"/>
                              <w:rPr>
                                <w:rFonts w:ascii="Arial" w:hAnsi="Arial" w:cs="Arial"/>
                                <w:szCs w:val="36"/>
                              </w:rPr>
                            </w:pPr>
                          </w:p>
                          <w:p w14:paraId="2F2E5088" w14:textId="77777777" w:rsidR="00311076" w:rsidRPr="00EB63F1" w:rsidRDefault="00311076" w:rsidP="007C50AB">
                            <w:pPr>
                              <w:spacing w:line="240" w:lineRule="auto"/>
                              <w:rPr>
                                <w:rFonts w:ascii="Arial" w:hAnsi="Arial" w:cs="Arial"/>
                                <w:szCs w:val="36"/>
                              </w:rPr>
                            </w:pPr>
                          </w:p>
                          <w:p w14:paraId="1ED4361E" w14:textId="77777777" w:rsidR="00311076" w:rsidRPr="00EB63F1" w:rsidRDefault="00311076"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311076" w:rsidRPr="00EB63F1" w:rsidRDefault="00311076" w:rsidP="007C50AB">
                            <w:pPr>
                              <w:spacing w:line="240" w:lineRule="auto"/>
                              <w:rPr>
                                <w:rFonts w:ascii="Arial" w:hAnsi="Arial" w:cs="Arial"/>
                                <w:szCs w:val="36"/>
                              </w:rPr>
                            </w:pPr>
                          </w:p>
                          <w:p w14:paraId="2B817F2C" w14:textId="77777777" w:rsidR="00311076" w:rsidRPr="00EB63F1" w:rsidRDefault="00311076"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311076" w:rsidRDefault="00311076"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311076" w:rsidRDefault="00311076"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702534EF" w:rsidR="00311076" w:rsidRPr="00EB63F1" w:rsidRDefault="00311076"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311076" w:rsidRDefault="00311076" w:rsidP="007C50AB">
                            <w:pPr>
                              <w:spacing w:line="240" w:lineRule="auto"/>
                              <w:rPr>
                                <w:rFonts w:ascii="Arial" w:hAnsi="Arial" w:cs="Arial"/>
                                <w:szCs w:val="24"/>
                              </w:rPr>
                            </w:pPr>
                          </w:p>
                          <w:p w14:paraId="6BCE4E42" w14:textId="77777777" w:rsidR="00311076" w:rsidRDefault="00311076" w:rsidP="007C50AB">
                            <w:pPr>
                              <w:spacing w:line="240" w:lineRule="auto"/>
                              <w:rPr>
                                <w:rFonts w:ascii="Arial" w:hAnsi="Arial" w:cs="Arial"/>
                                <w:szCs w:val="24"/>
                              </w:rPr>
                            </w:pPr>
                          </w:p>
                          <w:p w14:paraId="70E750CC" w14:textId="48930BC2" w:rsidR="00311076" w:rsidRDefault="00311076"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 xml:space="preserve">Quarter </w:t>
                            </w:r>
                            <w:r>
                              <w:rPr>
                                <w:rFonts w:ascii="Arial" w:hAnsi="Arial" w:cs="Arial"/>
                                <w:b/>
                                <w:sz w:val="36"/>
                                <w:szCs w:val="36"/>
                              </w:rPr>
                              <w:t xml:space="preserve">2 </w:t>
                            </w:r>
                            <w:r w:rsidRPr="008E5605">
                              <w:rPr>
                                <w:rFonts w:ascii="Arial" w:hAnsi="Arial" w:cs="Arial"/>
                                <w:b/>
                                <w:sz w:val="36"/>
                                <w:szCs w:val="36"/>
                              </w:rPr>
                              <w:t>Update Report</w:t>
                            </w:r>
                            <w:r>
                              <w:rPr>
                                <w:rFonts w:ascii="Arial" w:hAnsi="Arial" w:cs="Arial"/>
                                <w:b/>
                                <w:sz w:val="36"/>
                                <w:szCs w:val="36"/>
                              </w:rPr>
                              <w:t xml:space="preserve"> for the</w:t>
                            </w:r>
                          </w:p>
                          <w:p w14:paraId="2E6B9356" w14:textId="665C68A7" w:rsidR="00311076" w:rsidRDefault="00311076"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0274071E" w:rsidR="00311076" w:rsidRDefault="00112A35" w:rsidP="00F835FD">
                            <w:pPr>
                              <w:ind w:firstLine="0"/>
                              <w:rPr>
                                <w:rFonts w:ascii="Arial" w:hAnsi="Arial" w:cs="Arial"/>
                                <w:sz w:val="36"/>
                                <w:szCs w:val="36"/>
                              </w:rPr>
                            </w:pPr>
                            <w:r>
                              <w:rPr>
                                <w:rFonts w:ascii="Arial" w:hAnsi="Arial" w:cs="Arial"/>
                                <w:b/>
                                <w:sz w:val="36"/>
                                <w:szCs w:val="36"/>
                              </w:rPr>
                              <w:t>December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59DEF" id="Text Box 125" o:spid="_x0000_s1027" type="#_x0000_t202" style="position:absolute;left:0;text-align:left;margin-left:104.6pt;margin-top:110.2pt;width:396.75pt;height:65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WpvAIAAMU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SgMMRK0gyY9stGgOzmiMJrZCg29TsHxoQdXM4IBOu2y1f29LL9pJOSqoWLLbpWSQ8NoBQxDe9O/&#10;uDrhaAuyGT7KCgLRnZEOaKxVZ8sHBUGADp16OnXHkinhcBa8ixdACJVgi6NFFBLHzqfp8XqvtHnP&#10;ZIfsIsMK2u/g6f5eG0uHpkcXG03Igretk0Arnh2A43QCweGqtVkarqM/kyBZx+uYeCSarz0S5Ll3&#10;W6yINy/CxSx/l69WefjLxg1J2vCqYsKGOaorJH/WvYPOJ12c9KVlyysLZylptd2sWoX2FNRduM8V&#10;HSxnN/85DVcEyOVFSmFEgrso8Yp5vPBIQWZesghiLwiTu2QekITkxfOU7rlg/54SGjKczKCpLp0z&#10;6Re5Be57nRtNO25gfrS8A0mcnGhqNbgWlWutobyd1helsPTPpYB2HxvtFGtFOsnVjJvRPQ8nZ6vm&#10;jayeQMJKgsBApzD7YNFI9QOjAeZIhvX3HVUMo/aDgGeQhITYweM2ZLaIYKMuLZtLCxUlQGXYYDQt&#10;V2YaVrte8W0DkaaHJ+QtPJ2aO1GfWR0eHMwKl9thrtlhdLl3Xufpu/wNAAD//wMAUEsDBBQABgAI&#10;AAAAIQAxryYO4AAAAA0BAAAPAAAAZHJzL2Rvd25yZXYueG1sTI9NT8MwDIbvSPyHyEjcWLKwAeua&#10;TgjEdWjjQ9ota7y2onGqJlvLv593gttr+dHrx/lq9K04YR+bQAamEwUCqQyuocrA58fb3ROImCw5&#10;2wZCA78YYVVcX+U2c2GgDZ62qRJcQjGzBuqUukzKWNbobZyEDol3h9B7m3jsK+l6O3C5b6VW6kF6&#10;2xBfqG2HLzWWP9ujN/C1Puy+Z+q9evXzbgijkuQX0pjbm/F5CSLhmP5guOizOhTstA9HclG0BrRa&#10;aEY5aDUDcSGU0o8g9pzm+n4Kssjl/y+KMwAAAP//AwBQSwECLQAUAAYACAAAACEAtoM4kv4AAADh&#10;AQAAEwAAAAAAAAAAAAAAAAAAAAAAW0NvbnRlbnRfVHlwZXNdLnhtbFBLAQItABQABgAIAAAAIQA4&#10;/SH/1gAAAJQBAAALAAAAAAAAAAAAAAAAAC8BAABfcmVscy8ucmVsc1BLAQItABQABgAIAAAAIQC7&#10;szWpvAIAAMUFAAAOAAAAAAAAAAAAAAAAAC4CAABkcnMvZTJvRG9jLnhtbFBLAQItABQABgAIAAAA&#10;IQAxryYO4AAAAA0BAAAPAAAAAAAAAAAAAAAAABYFAABkcnMvZG93bnJldi54bWxQSwUGAAAAAAQA&#10;BADzAAAAIwYAAAAA&#10;" filled="f" stroked="f">
                <v:textbox>
                  <w:txbxContent>
                    <w:p w14:paraId="5BF6FD76" w14:textId="6531F521" w:rsidR="00311076" w:rsidRDefault="00311076"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030C0AAA" w:rsidR="00311076" w:rsidRPr="0046057C" w:rsidRDefault="00311076" w:rsidP="00F835FD">
                      <w:pPr>
                        <w:keepNext/>
                        <w:spacing w:line="240" w:lineRule="auto"/>
                        <w:ind w:firstLine="0"/>
                        <w:jc w:val="left"/>
                        <w:outlineLvl w:val="0"/>
                        <w:rPr>
                          <w:rFonts w:ascii="Arial" w:hAnsi="Arial" w:cs="Arial"/>
                          <w:b/>
                          <w:i/>
                          <w:caps/>
                          <w:sz w:val="48"/>
                          <w:szCs w:val="48"/>
                        </w:rPr>
                      </w:pPr>
                      <w:r>
                        <w:rPr>
                          <w:rFonts w:ascii="Arial" w:hAnsi="Arial" w:cs="Arial"/>
                          <w:b/>
                          <w:i/>
                          <w:caps/>
                          <w:sz w:val="48"/>
                          <w:szCs w:val="48"/>
                        </w:rPr>
                        <w:t>TASK 4</w:t>
                      </w:r>
                    </w:p>
                    <w:p w14:paraId="6FA8880A" w14:textId="77777777" w:rsidR="00311076" w:rsidRPr="00EB63F1" w:rsidRDefault="00311076" w:rsidP="007C50AB">
                      <w:pPr>
                        <w:spacing w:line="240" w:lineRule="auto"/>
                        <w:rPr>
                          <w:rFonts w:ascii="Arial" w:hAnsi="Arial" w:cs="Arial"/>
                          <w:szCs w:val="40"/>
                        </w:rPr>
                      </w:pPr>
                    </w:p>
                    <w:p w14:paraId="3BC1C118" w14:textId="77777777" w:rsidR="00311076" w:rsidRPr="00EB63F1" w:rsidRDefault="00311076" w:rsidP="007C50AB">
                      <w:pPr>
                        <w:spacing w:line="240" w:lineRule="auto"/>
                        <w:rPr>
                          <w:rFonts w:ascii="Arial" w:hAnsi="Arial" w:cs="Arial"/>
                          <w:szCs w:val="24"/>
                        </w:rPr>
                      </w:pPr>
                    </w:p>
                    <w:p w14:paraId="1319946E" w14:textId="77777777" w:rsidR="00311076" w:rsidRPr="00EB63F1" w:rsidRDefault="00311076" w:rsidP="007C50AB">
                      <w:pPr>
                        <w:spacing w:line="240" w:lineRule="auto"/>
                        <w:rPr>
                          <w:rFonts w:ascii="Arial" w:hAnsi="Arial" w:cs="Arial"/>
                          <w:szCs w:val="36"/>
                        </w:rPr>
                      </w:pPr>
                    </w:p>
                    <w:p w14:paraId="57600A37" w14:textId="77777777" w:rsidR="00311076" w:rsidRPr="00EB63F1" w:rsidRDefault="00311076"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311076" w:rsidRPr="00EB63F1" w:rsidRDefault="00311076" w:rsidP="007C50AB">
                      <w:pPr>
                        <w:spacing w:line="240" w:lineRule="auto"/>
                        <w:rPr>
                          <w:rFonts w:ascii="Arial" w:hAnsi="Arial" w:cs="Arial"/>
                          <w:szCs w:val="36"/>
                        </w:rPr>
                      </w:pPr>
                    </w:p>
                    <w:p w14:paraId="0B121E94" w14:textId="77777777" w:rsidR="00311076" w:rsidRDefault="00311076"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311076" w:rsidRPr="00EB63F1" w:rsidRDefault="00311076"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311076" w:rsidRPr="00EB63F1" w:rsidRDefault="00311076" w:rsidP="007C50AB">
                      <w:pPr>
                        <w:spacing w:line="240" w:lineRule="auto"/>
                        <w:rPr>
                          <w:rFonts w:ascii="Arial" w:hAnsi="Arial" w:cs="Arial"/>
                          <w:szCs w:val="24"/>
                        </w:rPr>
                      </w:pPr>
                    </w:p>
                    <w:p w14:paraId="0BD0FD24" w14:textId="77777777" w:rsidR="00311076" w:rsidRPr="00EB63F1" w:rsidRDefault="00311076" w:rsidP="007C50AB">
                      <w:pPr>
                        <w:spacing w:line="240" w:lineRule="auto"/>
                        <w:rPr>
                          <w:rFonts w:ascii="Arial" w:hAnsi="Arial" w:cs="Arial"/>
                          <w:szCs w:val="24"/>
                        </w:rPr>
                      </w:pPr>
                    </w:p>
                    <w:p w14:paraId="6B8C0E37" w14:textId="77777777" w:rsidR="00311076" w:rsidRPr="00EB63F1" w:rsidRDefault="00311076"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311076" w:rsidRPr="00EB63F1" w:rsidRDefault="00311076" w:rsidP="007C50AB">
                      <w:pPr>
                        <w:spacing w:line="240" w:lineRule="auto"/>
                        <w:rPr>
                          <w:rFonts w:ascii="Arial" w:hAnsi="Arial" w:cs="Arial"/>
                          <w:szCs w:val="24"/>
                        </w:rPr>
                      </w:pPr>
                    </w:p>
                    <w:p w14:paraId="5F5582F6" w14:textId="77777777" w:rsidR="00311076" w:rsidRPr="00EB63F1" w:rsidRDefault="00311076"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311076" w:rsidRPr="00EB63F1" w:rsidRDefault="00311076"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311076" w:rsidRPr="00EB63F1" w:rsidRDefault="00311076" w:rsidP="007C50AB">
                      <w:pPr>
                        <w:spacing w:line="240" w:lineRule="auto"/>
                        <w:rPr>
                          <w:rFonts w:ascii="Arial" w:hAnsi="Arial" w:cs="Arial"/>
                          <w:szCs w:val="36"/>
                        </w:rPr>
                      </w:pPr>
                    </w:p>
                    <w:p w14:paraId="2F2E5088" w14:textId="77777777" w:rsidR="00311076" w:rsidRPr="00EB63F1" w:rsidRDefault="00311076" w:rsidP="007C50AB">
                      <w:pPr>
                        <w:spacing w:line="240" w:lineRule="auto"/>
                        <w:rPr>
                          <w:rFonts w:ascii="Arial" w:hAnsi="Arial" w:cs="Arial"/>
                          <w:szCs w:val="36"/>
                        </w:rPr>
                      </w:pPr>
                    </w:p>
                    <w:p w14:paraId="1ED4361E" w14:textId="77777777" w:rsidR="00311076" w:rsidRPr="00EB63F1" w:rsidRDefault="00311076"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311076" w:rsidRPr="00EB63F1" w:rsidRDefault="00311076" w:rsidP="007C50AB">
                      <w:pPr>
                        <w:spacing w:line="240" w:lineRule="auto"/>
                        <w:rPr>
                          <w:rFonts w:ascii="Arial" w:hAnsi="Arial" w:cs="Arial"/>
                          <w:szCs w:val="36"/>
                        </w:rPr>
                      </w:pPr>
                    </w:p>
                    <w:p w14:paraId="2B817F2C" w14:textId="77777777" w:rsidR="00311076" w:rsidRPr="00EB63F1" w:rsidRDefault="00311076"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311076" w:rsidRDefault="00311076"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311076" w:rsidRDefault="00311076"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702534EF" w:rsidR="00311076" w:rsidRPr="00EB63F1" w:rsidRDefault="00311076"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311076" w:rsidRDefault="00311076" w:rsidP="007C50AB">
                      <w:pPr>
                        <w:spacing w:line="240" w:lineRule="auto"/>
                        <w:rPr>
                          <w:rFonts w:ascii="Arial" w:hAnsi="Arial" w:cs="Arial"/>
                          <w:szCs w:val="24"/>
                        </w:rPr>
                      </w:pPr>
                    </w:p>
                    <w:p w14:paraId="6BCE4E42" w14:textId="77777777" w:rsidR="00311076" w:rsidRDefault="00311076" w:rsidP="007C50AB">
                      <w:pPr>
                        <w:spacing w:line="240" w:lineRule="auto"/>
                        <w:rPr>
                          <w:rFonts w:ascii="Arial" w:hAnsi="Arial" w:cs="Arial"/>
                          <w:szCs w:val="24"/>
                        </w:rPr>
                      </w:pPr>
                    </w:p>
                    <w:p w14:paraId="70E750CC" w14:textId="48930BC2" w:rsidR="00311076" w:rsidRDefault="00311076"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 xml:space="preserve">Quarter </w:t>
                      </w:r>
                      <w:r>
                        <w:rPr>
                          <w:rFonts w:ascii="Arial" w:hAnsi="Arial" w:cs="Arial"/>
                          <w:b/>
                          <w:sz w:val="36"/>
                          <w:szCs w:val="36"/>
                        </w:rPr>
                        <w:t xml:space="preserve">2 </w:t>
                      </w:r>
                      <w:r w:rsidRPr="008E5605">
                        <w:rPr>
                          <w:rFonts w:ascii="Arial" w:hAnsi="Arial" w:cs="Arial"/>
                          <w:b/>
                          <w:sz w:val="36"/>
                          <w:szCs w:val="36"/>
                        </w:rPr>
                        <w:t>Update Report</w:t>
                      </w:r>
                      <w:r>
                        <w:rPr>
                          <w:rFonts w:ascii="Arial" w:hAnsi="Arial" w:cs="Arial"/>
                          <w:b/>
                          <w:sz w:val="36"/>
                          <w:szCs w:val="36"/>
                        </w:rPr>
                        <w:t xml:space="preserve"> for the</w:t>
                      </w:r>
                    </w:p>
                    <w:p w14:paraId="2E6B9356" w14:textId="665C68A7" w:rsidR="00311076" w:rsidRDefault="00311076"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0274071E" w:rsidR="00311076" w:rsidRDefault="00112A35" w:rsidP="00F835FD">
                      <w:pPr>
                        <w:ind w:firstLine="0"/>
                        <w:rPr>
                          <w:rFonts w:ascii="Arial" w:hAnsi="Arial" w:cs="Arial"/>
                          <w:sz w:val="36"/>
                          <w:szCs w:val="36"/>
                        </w:rPr>
                      </w:pPr>
                      <w:r>
                        <w:rPr>
                          <w:rFonts w:ascii="Arial" w:hAnsi="Arial" w:cs="Arial"/>
                          <w:b/>
                          <w:sz w:val="36"/>
                          <w:szCs w:val="36"/>
                        </w:rPr>
                        <w:t>December 2016</w:t>
                      </w:r>
                    </w:p>
                  </w:txbxContent>
                </v:textbox>
                <w10:wrap anchory="page"/>
                <w10:anchorlock/>
              </v:shape>
            </w:pict>
          </mc:Fallback>
        </mc:AlternateContent>
      </w:r>
    </w:p>
    <w:p w14:paraId="05E7E764" w14:textId="64A3C3DB" w:rsidR="00144FC6" w:rsidRPr="00E611A4" w:rsidRDefault="00144FC6" w:rsidP="00144FC6">
      <w:pPr>
        <w:spacing w:line="240" w:lineRule="auto"/>
        <w:rPr>
          <w:rFonts w:ascii="Arial" w:hAnsi="Arial" w:cs="Arial"/>
          <w:b/>
          <w:sz w:val="36"/>
          <w:szCs w:val="36"/>
        </w:rPr>
        <w:sectPr w:rsidR="00144FC6" w:rsidRPr="00E611A4" w:rsidSect="005E091A">
          <w:footerReference w:type="default" r:id="rId10"/>
          <w:footerReference w:type="first" r:id="rId11"/>
          <w:type w:val="continuous"/>
          <w:pgSz w:w="12240" w:h="15840" w:code="1"/>
          <w:pgMar w:top="1440" w:right="1440" w:bottom="1440" w:left="1440" w:header="720" w:footer="720" w:gutter="0"/>
          <w:cols w:space="720"/>
          <w:titlePg/>
          <w:docGrid w:linePitch="360"/>
        </w:sectPr>
      </w:pPr>
    </w:p>
    <w:p w14:paraId="2CA499FB" w14:textId="77777777" w:rsidR="00EB63F1" w:rsidRPr="00E611A4" w:rsidRDefault="00EB63F1" w:rsidP="00DD1EA9">
      <w:pPr>
        <w:spacing w:before="240" w:after="240"/>
        <w:jc w:val="center"/>
        <w:rPr>
          <w:b/>
          <w:caps/>
          <w:szCs w:val="24"/>
          <w:u w:val="single"/>
        </w:rPr>
      </w:pPr>
      <w:r w:rsidRPr="00E611A4">
        <w:rPr>
          <w:b/>
          <w:caps/>
          <w:szCs w:val="24"/>
          <w:u w:val="single"/>
        </w:rPr>
        <w:lastRenderedPageBreak/>
        <w:t>DISCLAIMER</w:t>
      </w:r>
    </w:p>
    <w:p w14:paraId="41B403EE" w14:textId="77777777" w:rsidR="00BE7F92" w:rsidRPr="00E611A4" w:rsidRDefault="00BE7F92" w:rsidP="00BE7F92">
      <w:pPr>
        <w:rPr>
          <w:szCs w:val="24"/>
        </w:rPr>
      </w:pPr>
      <w:r w:rsidRPr="00E611A4">
        <w:rPr>
          <w:szCs w:val="24"/>
        </w:rPr>
        <w:t>The authors alone are responsible for the preparation and accuracy of the information, data, analysis, discussions, recommendations, and conclusions presented herein. The contents do not necessarily reflect the views, opinions, endorsements, or policies of the Utah Department of Transportation or the U.S. Department of Transportation. The Utah Department of Transportation makes no representation or warranty of any kind, and assumes no liability therefore.</w:t>
      </w:r>
    </w:p>
    <w:p w14:paraId="3207A1D2" w14:textId="77777777" w:rsidR="00DD1EA9" w:rsidRPr="00E611A4" w:rsidRDefault="00DD1EA9" w:rsidP="00BE7F92">
      <w:pPr>
        <w:rPr>
          <w:szCs w:val="24"/>
        </w:rPr>
      </w:pPr>
    </w:p>
    <w:p w14:paraId="69D7BF64" w14:textId="77777777" w:rsidR="00DD1EA9" w:rsidRPr="00E611A4" w:rsidRDefault="00DD1EA9" w:rsidP="00BE7F92">
      <w:pPr>
        <w:rPr>
          <w:szCs w:val="24"/>
        </w:rPr>
      </w:pPr>
    </w:p>
    <w:p w14:paraId="14D651D2" w14:textId="77777777" w:rsidR="00BE7F92" w:rsidRPr="00E611A4" w:rsidRDefault="00EF0894" w:rsidP="00DD1EA9">
      <w:pPr>
        <w:keepNext/>
        <w:spacing w:before="240" w:after="240"/>
        <w:jc w:val="center"/>
        <w:outlineLvl w:val="3"/>
        <w:rPr>
          <w:b/>
          <w:szCs w:val="24"/>
          <w:u w:val="single"/>
        </w:rPr>
      </w:pPr>
      <w:r w:rsidRPr="00E611A4">
        <w:rPr>
          <w:b/>
          <w:szCs w:val="24"/>
          <w:u w:val="single"/>
        </w:rPr>
        <w:t>ACKNOWLEDGMENTS</w:t>
      </w:r>
    </w:p>
    <w:p w14:paraId="1BD3CFF2" w14:textId="0227B805" w:rsidR="00FD3EA6" w:rsidRPr="006117C7" w:rsidRDefault="00BE7F92" w:rsidP="000E2D6B">
      <w:pPr>
        <w:rPr>
          <w:highlight w:val="yellow"/>
        </w:rPr>
      </w:pPr>
      <w:r w:rsidRPr="00E611A4">
        <w:t>The authors acknowledge the Ut</w:t>
      </w:r>
      <w:r w:rsidR="000E2D6B">
        <w:t xml:space="preserve">ah, </w:t>
      </w:r>
      <w:r w:rsidR="009E4724">
        <w:t>Oregon</w:t>
      </w:r>
      <w:r w:rsidR="000E2D6B">
        <w:t>, South Carolina, and Connecticut Departments of Transportation</w:t>
      </w:r>
      <w:r w:rsidR="00FD3EA6" w:rsidRPr="00E611A4">
        <w:t xml:space="preserve"> </w:t>
      </w:r>
      <w:r w:rsidRPr="00E611A4">
        <w:t>for funding this research</w:t>
      </w:r>
      <w:r w:rsidR="00D13F59">
        <w:t xml:space="preserve"> for pooled fund study TPF-5(</w:t>
      </w:r>
      <w:r w:rsidR="009E4724">
        <w:t>338</w:t>
      </w:r>
      <w:r w:rsidR="00D13F59">
        <w:t>)</w:t>
      </w:r>
      <w:r w:rsidR="000E2D6B">
        <w:t>. The views and opinions presented in this report represent those of its authors, and may not represent those of the state age</w:t>
      </w:r>
      <w:r w:rsidR="007249D5">
        <w:t>ncies funding this research.</w:t>
      </w:r>
    </w:p>
    <w:p w14:paraId="27DD45F7" w14:textId="77777777" w:rsidR="00BE7F92" w:rsidRPr="00E611A4" w:rsidRDefault="00BE7F92" w:rsidP="00BE7F92">
      <w:pPr>
        <w:rPr>
          <w:szCs w:val="24"/>
        </w:rPr>
      </w:pPr>
    </w:p>
    <w:p w14:paraId="6ED1E068" w14:textId="77777777" w:rsidR="00EB63F1" w:rsidRPr="00E611A4" w:rsidRDefault="00EB63F1" w:rsidP="00BF4E04">
      <w:pPr>
        <w:pStyle w:val="Normal2"/>
      </w:pPr>
      <w:r w:rsidRPr="00E611A4">
        <w:br w:type="page"/>
      </w:r>
      <w:r w:rsidRPr="00E611A4">
        <w:lastRenderedPageBreak/>
        <w:t xml:space="preserve">TECHNICAL REPORT </w:t>
      </w:r>
      <w:r w:rsidR="00BE7F92" w:rsidRPr="00E611A4">
        <w:t>ABSTRACT</w:t>
      </w:r>
    </w:p>
    <w:tbl>
      <w:tblPr>
        <w:tblW w:w="5000" w:type="pct"/>
        <w:tblInd w:w="108" w:type="dxa"/>
        <w:tblLook w:val="0000" w:firstRow="0" w:lastRow="0" w:firstColumn="0" w:lastColumn="0" w:noHBand="0" w:noVBand="0"/>
      </w:tblPr>
      <w:tblGrid>
        <w:gridCol w:w="2193"/>
        <w:gridCol w:w="961"/>
        <w:gridCol w:w="1245"/>
        <w:gridCol w:w="1632"/>
        <w:gridCol w:w="247"/>
        <w:gridCol w:w="1438"/>
        <w:gridCol w:w="1860"/>
      </w:tblGrid>
      <w:tr w:rsidR="00EB63F1" w:rsidRPr="00E611A4" w14:paraId="429B65D3" w14:textId="77777777" w:rsidTr="00A10FE0">
        <w:trPr>
          <w:cantSplit/>
          <w:trHeight w:hRule="exact" w:val="461"/>
        </w:trPr>
        <w:tc>
          <w:tcPr>
            <w:tcW w:w="1647" w:type="pct"/>
            <w:gridSpan w:val="2"/>
            <w:tcBorders>
              <w:top w:val="single" w:sz="6" w:space="0" w:color="auto"/>
              <w:left w:val="single" w:sz="6" w:space="0" w:color="auto"/>
              <w:bottom w:val="single" w:sz="6" w:space="0" w:color="auto"/>
              <w:right w:val="single" w:sz="6" w:space="0" w:color="auto"/>
            </w:tcBorders>
          </w:tcPr>
          <w:p w14:paraId="3D63D249" w14:textId="77777777" w:rsidR="00BF4E04" w:rsidRPr="00E611A4" w:rsidRDefault="00BF4E04" w:rsidP="00BF4E04">
            <w:pPr>
              <w:tabs>
                <w:tab w:val="left" w:pos="360"/>
              </w:tabs>
              <w:spacing w:line="240" w:lineRule="auto"/>
              <w:ind w:left="288" w:hanging="288"/>
              <w:jc w:val="left"/>
              <w:rPr>
                <w:szCs w:val="24"/>
              </w:rPr>
            </w:pPr>
            <w:r w:rsidRPr="00E611A4">
              <w:rPr>
                <w:sz w:val="16"/>
                <w:szCs w:val="16"/>
              </w:rPr>
              <w:t>1. Report No.</w:t>
            </w:r>
            <w:r w:rsidRPr="00E611A4">
              <w:rPr>
                <w:szCs w:val="24"/>
              </w:rPr>
              <w:br/>
            </w:r>
            <w:r>
              <w:rPr>
                <w:sz w:val="20"/>
              </w:rPr>
              <w:t>NA</w:t>
            </w:r>
          </w:p>
          <w:p w14:paraId="44BC7A3F" w14:textId="77777777" w:rsidR="00EB63F1" w:rsidRPr="00BF4E04" w:rsidRDefault="00EB63F1" w:rsidP="00BF4E04">
            <w:pPr>
              <w:tabs>
                <w:tab w:val="left" w:pos="360"/>
              </w:tabs>
              <w:spacing w:line="240" w:lineRule="auto"/>
              <w:ind w:firstLine="0"/>
              <w:jc w:val="left"/>
              <w:rPr>
                <w:szCs w:val="24"/>
              </w:rPr>
            </w:pPr>
          </w:p>
        </w:tc>
        <w:tc>
          <w:tcPr>
            <w:tcW w:w="1631" w:type="pct"/>
            <w:gridSpan w:val="3"/>
            <w:tcBorders>
              <w:top w:val="single" w:sz="6" w:space="0" w:color="auto"/>
              <w:left w:val="single" w:sz="6" w:space="0" w:color="auto"/>
              <w:bottom w:val="single" w:sz="6" w:space="0" w:color="auto"/>
              <w:right w:val="single" w:sz="6" w:space="0" w:color="auto"/>
            </w:tcBorders>
          </w:tcPr>
          <w:p w14:paraId="0DAA9E01" w14:textId="6B5DD736" w:rsidR="00EB63F1" w:rsidRPr="00E611A4" w:rsidRDefault="00EB63F1" w:rsidP="00BF4E04">
            <w:pPr>
              <w:tabs>
                <w:tab w:val="left" w:pos="360"/>
              </w:tabs>
              <w:spacing w:line="240" w:lineRule="auto"/>
              <w:ind w:left="288" w:hanging="288"/>
              <w:jc w:val="left"/>
              <w:rPr>
                <w:szCs w:val="24"/>
              </w:rPr>
            </w:pPr>
            <w:r w:rsidRPr="00E611A4">
              <w:rPr>
                <w:sz w:val="16"/>
                <w:szCs w:val="16"/>
              </w:rPr>
              <w:t>2. Government Accession No.</w:t>
            </w:r>
            <w:r w:rsidRPr="00E611A4">
              <w:rPr>
                <w:szCs w:val="24"/>
              </w:rPr>
              <w:br/>
            </w:r>
            <w:r w:rsidR="00EE2319">
              <w:rPr>
                <w:sz w:val="20"/>
              </w:rPr>
              <w:t>NA</w:t>
            </w:r>
          </w:p>
          <w:p w14:paraId="657C3B0B" w14:textId="77777777" w:rsidR="00EB63F1" w:rsidRPr="00E611A4" w:rsidRDefault="00EB63F1"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69F1F50D" w14:textId="287E6E19" w:rsidR="00EB63F1" w:rsidRPr="00E611A4" w:rsidRDefault="00EB63F1" w:rsidP="00BF4E04">
            <w:pPr>
              <w:tabs>
                <w:tab w:val="left" w:pos="360"/>
              </w:tabs>
              <w:spacing w:line="240" w:lineRule="auto"/>
              <w:ind w:left="288" w:hanging="288"/>
              <w:jc w:val="left"/>
              <w:rPr>
                <w:szCs w:val="24"/>
              </w:rPr>
            </w:pPr>
            <w:r w:rsidRPr="00E611A4">
              <w:rPr>
                <w:sz w:val="16"/>
                <w:szCs w:val="16"/>
              </w:rPr>
              <w:t>3. Recipient's Catalog No.</w:t>
            </w:r>
            <w:r w:rsidRPr="00E611A4">
              <w:rPr>
                <w:szCs w:val="24"/>
              </w:rPr>
              <w:br/>
            </w:r>
            <w:r w:rsidR="00EE2319">
              <w:rPr>
                <w:sz w:val="20"/>
              </w:rPr>
              <w:t>NA</w:t>
            </w:r>
          </w:p>
          <w:p w14:paraId="0252EEAF" w14:textId="77777777" w:rsidR="00EB63F1" w:rsidRPr="00E611A4" w:rsidRDefault="00EB63F1" w:rsidP="00BF4E04">
            <w:pPr>
              <w:tabs>
                <w:tab w:val="left" w:pos="360"/>
              </w:tabs>
              <w:spacing w:line="240" w:lineRule="auto"/>
              <w:jc w:val="left"/>
              <w:rPr>
                <w:szCs w:val="24"/>
              </w:rPr>
            </w:pPr>
          </w:p>
        </w:tc>
      </w:tr>
      <w:tr w:rsidR="00EB63F1" w:rsidRPr="00E611A4" w14:paraId="45C962A7" w14:textId="77777777" w:rsidTr="00A10FE0">
        <w:trPr>
          <w:trHeight w:hRule="exact" w:val="432"/>
        </w:trPr>
        <w:tc>
          <w:tcPr>
            <w:tcW w:w="3278" w:type="pct"/>
            <w:gridSpan w:val="5"/>
            <w:vMerge w:val="restart"/>
            <w:tcBorders>
              <w:top w:val="nil"/>
              <w:left w:val="single" w:sz="6" w:space="0" w:color="auto"/>
              <w:bottom w:val="nil"/>
              <w:right w:val="nil"/>
            </w:tcBorders>
          </w:tcPr>
          <w:p w14:paraId="5E9E169C" w14:textId="093A01BF" w:rsidR="00EB63F1" w:rsidRPr="00E611A4" w:rsidRDefault="00EB63F1" w:rsidP="00DF6EC8">
            <w:pPr>
              <w:tabs>
                <w:tab w:val="left" w:pos="360"/>
              </w:tabs>
              <w:spacing w:line="240" w:lineRule="auto"/>
              <w:ind w:left="288" w:hanging="288"/>
              <w:jc w:val="left"/>
              <w:rPr>
                <w:szCs w:val="24"/>
              </w:rPr>
            </w:pPr>
            <w:r w:rsidRPr="00E611A4">
              <w:rPr>
                <w:sz w:val="16"/>
                <w:szCs w:val="16"/>
              </w:rPr>
              <w:t>4. Title and Subtitle</w:t>
            </w:r>
            <w:r w:rsidRPr="00E611A4">
              <w:rPr>
                <w:szCs w:val="24"/>
              </w:rPr>
              <w:br/>
            </w:r>
            <w:r w:rsidR="006117C7" w:rsidRPr="006B242E">
              <w:rPr>
                <w:caps/>
                <w:sz w:val="20"/>
              </w:rPr>
              <w:t xml:space="preserve">Simplified </w:t>
            </w:r>
            <w:r w:rsidR="009E4724">
              <w:rPr>
                <w:caps/>
                <w:sz w:val="20"/>
              </w:rPr>
              <w:t>CPT</w:t>
            </w:r>
            <w:r w:rsidR="006117C7" w:rsidRPr="006B242E">
              <w:rPr>
                <w:caps/>
                <w:sz w:val="20"/>
              </w:rPr>
              <w:t xml:space="preserve"> Performance-Based Assessment of Liquefaction and Effects</w:t>
            </w:r>
            <w:r w:rsidR="00C23114">
              <w:rPr>
                <w:caps/>
                <w:sz w:val="20"/>
              </w:rPr>
              <w:t xml:space="preserve">:  </w:t>
            </w:r>
            <w:r w:rsidR="00C23114" w:rsidRPr="0046057C">
              <w:rPr>
                <w:i/>
                <w:caps/>
                <w:sz w:val="20"/>
              </w:rPr>
              <w:t>Task</w:t>
            </w:r>
            <w:r w:rsidR="009E4724">
              <w:rPr>
                <w:i/>
                <w:caps/>
                <w:sz w:val="20"/>
              </w:rPr>
              <w:t xml:space="preserve"> 4</w:t>
            </w:r>
          </w:p>
        </w:tc>
        <w:tc>
          <w:tcPr>
            <w:tcW w:w="1722" w:type="pct"/>
            <w:gridSpan w:val="2"/>
            <w:tcBorders>
              <w:top w:val="nil"/>
              <w:left w:val="single" w:sz="6" w:space="0" w:color="auto"/>
              <w:bottom w:val="single" w:sz="6" w:space="0" w:color="auto"/>
              <w:right w:val="single" w:sz="6" w:space="0" w:color="auto"/>
            </w:tcBorders>
          </w:tcPr>
          <w:p w14:paraId="71D65009" w14:textId="4E9769E0" w:rsidR="00EB63F1" w:rsidRPr="00E611A4" w:rsidRDefault="00EB63F1" w:rsidP="001B5BD7">
            <w:pPr>
              <w:tabs>
                <w:tab w:val="left" w:pos="360"/>
              </w:tabs>
              <w:spacing w:line="240" w:lineRule="auto"/>
              <w:ind w:left="288" w:hanging="288"/>
              <w:jc w:val="left"/>
              <w:rPr>
                <w:szCs w:val="24"/>
              </w:rPr>
            </w:pPr>
            <w:r w:rsidRPr="00E611A4">
              <w:rPr>
                <w:sz w:val="16"/>
                <w:szCs w:val="16"/>
              </w:rPr>
              <w:t>5. Report Date</w:t>
            </w:r>
            <w:r w:rsidRPr="00E611A4">
              <w:rPr>
                <w:szCs w:val="24"/>
              </w:rPr>
              <w:br/>
            </w:r>
            <w:r w:rsidR="001B5BD7">
              <w:rPr>
                <w:sz w:val="20"/>
              </w:rPr>
              <w:t>December</w:t>
            </w:r>
            <w:r w:rsidR="009E4724">
              <w:rPr>
                <w:sz w:val="20"/>
              </w:rPr>
              <w:t xml:space="preserve"> 201</w:t>
            </w:r>
            <w:r w:rsidR="001B5BD7">
              <w:rPr>
                <w:sz w:val="20"/>
              </w:rPr>
              <w:t>6</w:t>
            </w:r>
          </w:p>
        </w:tc>
      </w:tr>
      <w:tr w:rsidR="00EB63F1" w:rsidRPr="00E611A4" w14:paraId="7C1D5082" w14:textId="77777777" w:rsidTr="00A10FE0">
        <w:trPr>
          <w:cantSplit/>
          <w:trHeight w:val="489"/>
        </w:trPr>
        <w:tc>
          <w:tcPr>
            <w:tcW w:w="3278" w:type="pct"/>
            <w:gridSpan w:val="5"/>
            <w:vMerge/>
            <w:tcBorders>
              <w:top w:val="nil"/>
              <w:left w:val="single" w:sz="6" w:space="0" w:color="auto"/>
              <w:bottom w:val="single" w:sz="6" w:space="0" w:color="auto"/>
              <w:right w:val="nil"/>
            </w:tcBorders>
          </w:tcPr>
          <w:p w14:paraId="59DA8465"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F160DD4" w14:textId="517AD0CD" w:rsidR="00EB63F1" w:rsidRPr="00E611A4" w:rsidRDefault="00EB63F1" w:rsidP="00BF4E04">
            <w:pPr>
              <w:tabs>
                <w:tab w:val="left" w:pos="360"/>
              </w:tabs>
              <w:spacing w:line="240" w:lineRule="auto"/>
              <w:ind w:left="288" w:hanging="288"/>
              <w:jc w:val="left"/>
              <w:rPr>
                <w:sz w:val="20"/>
              </w:rPr>
            </w:pPr>
            <w:r w:rsidRPr="00E611A4">
              <w:rPr>
                <w:sz w:val="16"/>
                <w:szCs w:val="16"/>
              </w:rPr>
              <w:t>6. Performing Organization Code</w:t>
            </w:r>
            <w:r w:rsidRPr="00E611A4">
              <w:rPr>
                <w:szCs w:val="24"/>
              </w:rPr>
              <w:br/>
            </w:r>
            <w:r w:rsidR="00EE2319">
              <w:rPr>
                <w:sz w:val="20"/>
              </w:rPr>
              <w:t>NA</w:t>
            </w:r>
          </w:p>
        </w:tc>
      </w:tr>
      <w:tr w:rsidR="00EB63F1" w:rsidRPr="00E611A4" w14:paraId="29EFB355" w14:textId="77777777" w:rsidTr="00A10FE0">
        <w:trPr>
          <w:cantSplit/>
        </w:trPr>
        <w:tc>
          <w:tcPr>
            <w:tcW w:w="3278" w:type="pct"/>
            <w:gridSpan w:val="5"/>
            <w:tcBorders>
              <w:top w:val="single" w:sz="6" w:space="0" w:color="auto"/>
              <w:left w:val="single" w:sz="6" w:space="0" w:color="auto"/>
              <w:bottom w:val="single" w:sz="6" w:space="0" w:color="auto"/>
              <w:right w:val="nil"/>
            </w:tcBorders>
          </w:tcPr>
          <w:p w14:paraId="0BA68AE8" w14:textId="6BA554C2" w:rsidR="00EB63F1" w:rsidRPr="00E611A4" w:rsidRDefault="00EB63F1" w:rsidP="00BF4E04">
            <w:pPr>
              <w:tabs>
                <w:tab w:val="left" w:pos="360"/>
              </w:tabs>
              <w:spacing w:line="240" w:lineRule="auto"/>
              <w:ind w:left="288" w:hanging="288"/>
              <w:jc w:val="left"/>
              <w:rPr>
                <w:sz w:val="20"/>
              </w:rPr>
            </w:pPr>
            <w:r w:rsidRPr="00E611A4">
              <w:rPr>
                <w:sz w:val="16"/>
                <w:szCs w:val="16"/>
              </w:rPr>
              <w:t>7. Author(s)</w:t>
            </w:r>
            <w:r w:rsidRPr="00E611A4">
              <w:rPr>
                <w:szCs w:val="24"/>
              </w:rPr>
              <w:br/>
            </w:r>
            <w:r w:rsidR="006117C7">
              <w:rPr>
                <w:sz w:val="20"/>
              </w:rPr>
              <w:t xml:space="preserve">Kevin W. Franke, </w:t>
            </w:r>
            <w:r w:rsidR="009E4724">
              <w:rPr>
                <w:sz w:val="20"/>
              </w:rPr>
              <w:t xml:space="preserve">Tyler B. Coutu, Mikayla </w:t>
            </w:r>
            <w:r w:rsidR="00BF4E04">
              <w:rPr>
                <w:sz w:val="20"/>
              </w:rPr>
              <w:t>S. Hatch, Alex M</w:t>
            </w:r>
            <w:r w:rsidR="009E4724" w:rsidRPr="00977EE9">
              <w:rPr>
                <w:sz w:val="20"/>
              </w:rPr>
              <w:t>. Arndt</w:t>
            </w:r>
          </w:p>
          <w:p w14:paraId="0F2BAD8B" w14:textId="77777777" w:rsidR="00A10FE0" w:rsidRPr="00E611A4" w:rsidRDefault="00A10FE0"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19AD5702" w14:textId="1F4F4CFF" w:rsidR="00EB63F1" w:rsidRPr="00E611A4" w:rsidRDefault="00EB63F1" w:rsidP="00BF4E04">
            <w:pPr>
              <w:tabs>
                <w:tab w:val="left" w:pos="360"/>
              </w:tabs>
              <w:spacing w:line="240" w:lineRule="auto"/>
              <w:ind w:left="288" w:hanging="288"/>
              <w:jc w:val="left"/>
              <w:rPr>
                <w:sz w:val="20"/>
              </w:rPr>
            </w:pPr>
            <w:r w:rsidRPr="00E611A4">
              <w:rPr>
                <w:sz w:val="16"/>
                <w:szCs w:val="16"/>
              </w:rPr>
              <w:t>8. Performing Organization Report No.</w:t>
            </w:r>
            <w:r w:rsidRPr="00E611A4">
              <w:rPr>
                <w:szCs w:val="24"/>
              </w:rPr>
              <w:br/>
            </w:r>
            <w:r w:rsidR="00EE2319">
              <w:rPr>
                <w:sz w:val="20"/>
              </w:rPr>
              <w:t>NA</w:t>
            </w:r>
          </w:p>
        </w:tc>
      </w:tr>
      <w:tr w:rsidR="00EB63F1" w:rsidRPr="00E611A4" w14:paraId="19D82D27" w14:textId="77777777" w:rsidTr="00F904C1">
        <w:trPr>
          <w:cantSplit/>
          <w:trHeight w:val="525"/>
        </w:trPr>
        <w:tc>
          <w:tcPr>
            <w:tcW w:w="3278" w:type="pct"/>
            <w:gridSpan w:val="5"/>
            <w:vMerge w:val="restart"/>
            <w:tcBorders>
              <w:top w:val="single" w:sz="6" w:space="0" w:color="auto"/>
              <w:left w:val="single" w:sz="6" w:space="0" w:color="auto"/>
              <w:bottom w:val="nil"/>
              <w:right w:val="nil"/>
            </w:tcBorders>
          </w:tcPr>
          <w:p w14:paraId="6BBF81EB" w14:textId="77777777" w:rsidR="00EB63F1" w:rsidRPr="00E611A4" w:rsidRDefault="00EB63F1" w:rsidP="00BF4E04">
            <w:pPr>
              <w:tabs>
                <w:tab w:val="left" w:pos="360"/>
              </w:tabs>
              <w:spacing w:line="240" w:lineRule="auto"/>
              <w:ind w:firstLine="0"/>
              <w:jc w:val="left"/>
              <w:rPr>
                <w:szCs w:val="24"/>
              </w:rPr>
            </w:pPr>
            <w:r w:rsidRPr="00E611A4">
              <w:rPr>
                <w:sz w:val="16"/>
                <w:szCs w:val="16"/>
              </w:rPr>
              <w:t>9. Performing Organization Name and Address</w:t>
            </w:r>
          </w:p>
          <w:p w14:paraId="2CE7FD7F" w14:textId="31578B44" w:rsidR="00A10FE0" w:rsidRPr="00E611A4" w:rsidRDefault="00BF4E04" w:rsidP="00BF4E04">
            <w:pPr>
              <w:tabs>
                <w:tab w:val="left" w:pos="360"/>
              </w:tabs>
              <w:spacing w:line="240" w:lineRule="auto"/>
              <w:ind w:firstLine="0"/>
              <w:jc w:val="left"/>
              <w:rPr>
                <w:sz w:val="20"/>
              </w:rPr>
            </w:pPr>
            <w:r>
              <w:rPr>
                <w:sz w:val="20"/>
              </w:rPr>
              <w:t xml:space="preserve">     </w:t>
            </w:r>
            <w:r w:rsidR="006117C7">
              <w:rPr>
                <w:sz w:val="20"/>
              </w:rPr>
              <w:t>Brigham Young University</w:t>
            </w:r>
          </w:p>
          <w:p w14:paraId="5AF4C4FB" w14:textId="06866E46" w:rsidR="00EB63F1" w:rsidRPr="00E611A4" w:rsidRDefault="00BF4E04" w:rsidP="00BF4E04">
            <w:pPr>
              <w:tabs>
                <w:tab w:val="left" w:pos="360"/>
              </w:tabs>
              <w:spacing w:line="240" w:lineRule="auto"/>
              <w:ind w:firstLine="0"/>
              <w:jc w:val="left"/>
              <w:rPr>
                <w:sz w:val="20"/>
              </w:rPr>
            </w:pPr>
            <w:r>
              <w:rPr>
                <w:sz w:val="20"/>
              </w:rPr>
              <w:t xml:space="preserve">     </w:t>
            </w:r>
            <w:r w:rsidR="00A10FE0" w:rsidRPr="00E611A4">
              <w:rPr>
                <w:sz w:val="20"/>
              </w:rPr>
              <w:t>Department of Civil and Environmental Engineering</w:t>
            </w:r>
          </w:p>
          <w:p w14:paraId="75C97460" w14:textId="6E411A3D" w:rsidR="003102D6" w:rsidRDefault="00BF4E04" w:rsidP="00BF4E04">
            <w:pPr>
              <w:tabs>
                <w:tab w:val="left" w:pos="360"/>
              </w:tabs>
              <w:spacing w:line="240" w:lineRule="auto"/>
              <w:ind w:firstLine="0"/>
              <w:jc w:val="left"/>
              <w:rPr>
                <w:sz w:val="20"/>
              </w:rPr>
            </w:pPr>
            <w:r>
              <w:rPr>
                <w:sz w:val="20"/>
              </w:rPr>
              <w:t xml:space="preserve">     </w:t>
            </w:r>
            <w:r w:rsidR="003102D6" w:rsidRPr="003102D6">
              <w:rPr>
                <w:sz w:val="20"/>
              </w:rPr>
              <w:t>368 Clyde Building</w:t>
            </w:r>
          </w:p>
          <w:p w14:paraId="566765E9" w14:textId="529899CF" w:rsidR="00A10FE0" w:rsidRPr="00E611A4" w:rsidRDefault="00BF4E04" w:rsidP="00BF4E04">
            <w:pPr>
              <w:tabs>
                <w:tab w:val="left" w:pos="360"/>
              </w:tabs>
              <w:spacing w:line="240" w:lineRule="auto"/>
              <w:ind w:firstLine="0"/>
              <w:jc w:val="left"/>
              <w:rPr>
                <w:szCs w:val="24"/>
              </w:rPr>
            </w:pPr>
            <w:r>
              <w:rPr>
                <w:sz w:val="20"/>
              </w:rPr>
              <w:t xml:space="preserve">     </w:t>
            </w:r>
            <w:r w:rsidR="006117C7" w:rsidRPr="006117C7">
              <w:rPr>
                <w:sz w:val="20"/>
              </w:rPr>
              <w:t>Provo-UT 84602-4009</w:t>
            </w:r>
          </w:p>
        </w:tc>
        <w:tc>
          <w:tcPr>
            <w:tcW w:w="1722" w:type="pct"/>
            <w:gridSpan w:val="2"/>
            <w:tcBorders>
              <w:top w:val="single" w:sz="6" w:space="0" w:color="auto"/>
              <w:left w:val="single" w:sz="6" w:space="0" w:color="auto"/>
              <w:bottom w:val="single" w:sz="6" w:space="0" w:color="auto"/>
              <w:right w:val="single" w:sz="6" w:space="0" w:color="auto"/>
            </w:tcBorders>
          </w:tcPr>
          <w:p w14:paraId="57BD7256" w14:textId="3871C22B" w:rsidR="00EB63F1" w:rsidRPr="00E611A4" w:rsidRDefault="00EB63F1" w:rsidP="00BF4E04">
            <w:pPr>
              <w:tabs>
                <w:tab w:val="left" w:pos="360"/>
              </w:tabs>
              <w:spacing w:line="240" w:lineRule="auto"/>
              <w:ind w:left="288" w:hanging="288"/>
              <w:jc w:val="left"/>
              <w:rPr>
                <w:szCs w:val="24"/>
              </w:rPr>
            </w:pPr>
            <w:r w:rsidRPr="00E611A4">
              <w:rPr>
                <w:sz w:val="16"/>
                <w:szCs w:val="16"/>
              </w:rPr>
              <w:t>10. Work Unit No.</w:t>
            </w:r>
            <w:r w:rsidRPr="00E611A4">
              <w:rPr>
                <w:szCs w:val="24"/>
              </w:rPr>
              <w:br/>
            </w:r>
            <w:r w:rsidR="00112A35" w:rsidRPr="00112A35">
              <w:rPr>
                <w:sz w:val="20"/>
              </w:rPr>
              <w:t>4207415D</w:t>
            </w:r>
          </w:p>
        </w:tc>
      </w:tr>
      <w:tr w:rsidR="00EB63F1" w:rsidRPr="00E611A4" w14:paraId="7362C76E" w14:textId="77777777" w:rsidTr="00A10FE0">
        <w:trPr>
          <w:cantSplit/>
        </w:trPr>
        <w:tc>
          <w:tcPr>
            <w:tcW w:w="3278" w:type="pct"/>
            <w:gridSpan w:val="5"/>
            <w:vMerge/>
            <w:tcBorders>
              <w:top w:val="nil"/>
              <w:left w:val="single" w:sz="6" w:space="0" w:color="auto"/>
              <w:bottom w:val="single" w:sz="6" w:space="0" w:color="auto"/>
              <w:right w:val="nil"/>
            </w:tcBorders>
          </w:tcPr>
          <w:p w14:paraId="1548F7D4"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B583E82" w14:textId="65BFC03A" w:rsidR="00EB63F1" w:rsidRPr="00E611A4" w:rsidRDefault="00EB63F1" w:rsidP="00112A35">
            <w:pPr>
              <w:tabs>
                <w:tab w:val="left" w:pos="360"/>
              </w:tabs>
              <w:spacing w:line="240" w:lineRule="auto"/>
              <w:ind w:left="288" w:hanging="288"/>
              <w:jc w:val="left"/>
              <w:rPr>
                <w:szCs w:val="24"/>
              </w:rPr>
            </w:pPr>
            <w:r w:rsidRPr="00E611A4">
              <w:rPr>
                <w:sz w:val="16"/>
                <w:szCs w:val="16"/>
              </w:rPr>
              <w:t>11. Contract or Grant No.</w:t>
            </w:r>
            <w:r w:rsidRPr="00E611A4">
              <w:rPr>
                <w:szCs w:val="24"/>
              </w:rPr>
              <w:br/>
            </w:r>
            <w:r w:rsidR="00112A35">
              <w:rPr>
                <w:sz w:val="20"/>
              </w:rPr>
              <w:t>169826</w:t>
            </w:r>
          </w:p>
        </w:tc>
      </w:tr>
      <w:tr w:rsidR="00EB63F1" w:rsidRPr="00E611A4" w14:paraId="27109471" w14:textId="77777777" w:rsidTr="00A10FE0">
        <w:trPr>
          <w:cantSplit/>
          <w:trHeight w:hRule="exact" w:val="720"/>
        </w:trPr>
        <w:tc>
          <w:tcPr>
            <w:tcW w:w="3278" w:type="pct"/>
            <w:gridSpan w:val="5"/>
            <w:vMerge w:val="restart"/>
            <w:tcBorders>
              <w:top w:val="single" w:sz="6" w:space="0" w:color="auto"/>
              <w:left w:val="single" w:sz="6" w:space="0" w:color="auto"/>
              <w:bottom w:val="nil"/>
              <w:right w:val="nil"/>
            </w:tcBorders>
          </w:tcPr>
          <w:p w14:paraId="59B97ECD" w14:textId="77777777" w:rsidR="00BF4E04" w:rsidRDefault="00EB63F1" w:rsidP="00BF4E04">
            <w:pPr>
              <w:tabs>
                <w:tab w:val="left" w:pos="360"/>
              </w:tabs>
              <w:spacing w:line="240" w:lineRule="auto"/>
              <w:ind w:left="288" w:hanging="288"/>
              <w:jc w:val="left"/>
              <w:rPr>
                <w:sz w:val="20"/>
              </w:rPr>
            </w:pPr>
            <w:r w:rsidRPr="00E611A4">
              <w:rPr>
                <w:sz w:val="16"/>
                <w:szCs w:val="16"/>
              </w:rPr>
              <w:t>12. Sponsoring Agency Name and Address</w:t>
            </w:r>
            <w:r w:rsidRPr="00E611A4">
              <w:rPr>
                <w:szCs w:val="24"/>
              </w:rPr>
              <w:br/>
            </w:r>
            <w:r w:rsidRPr="00E611A4">
              <w:rPr>
                <w:sz w:val="20"/>
              </w:rPr>
              <w:t>Utah Department of Transportation</w:t>
            </w:r>
            <w:r w:rsidRPr="00E611A4">
              <w:rPr>
                <w:sz w:val="20"/>
              </w:rPr>
              <w:br/>
              <w:t>4501 South 2700 West</w:t>
            </w:r>
          </w:p>
          <w:p w14:paraId="160D8E8E" w14:textId="77777777" w:rsidR="00BF4E04" w:rsidRDefault="00BF4E04" w:rsidP="00BF4E04">
            <w:pPr>
              <w:tabs>
                <w:tab w:val="left" w:pos="360"/>
              </w:tabs>
              <w:spacing w:line="240" w:lineRule="auto"/>
              <w:ind w:left="288" w:hanging="288"/>
              <w:jc w:val="left"/>
              <w:rPr>
                <w:sz w:val="20"/>
              </w:rPr>
            </w:pPr>
            <w:r>
              <w:rPr>
                <w:sz w:val="20"/>
              </w:rPr>
              <w:tab/>
            </w:r>
            <w:r w:rsidR="0010115C" w:rsidRPr="00E611A4">
              <w:rPr>
                <w:sz w:val="20"/>
              </w:rPr>
              <w:t>P.O. Box 148410</w:t>
            </w:r>
          </w:p>
          <w:p w14:paraId="4D29B5CF" w14:textId="47BC121F" w:rsidR="00EB63F1" w:rsidRPr="00BF4E04" w:rsidRDefault="00BF4E04" w:rsidP="00BF4E04">
            <w:pPr>
              <w:tabs>
                <w:tab w:val="left" w:pos="360"/>
              </w:tabs>
              <w:spacing w:line="240" w:lineRule="auto"/>
              <w:ind w:left="288" w:hanging="288"/>
              <w:jc w:val="left"/>
              <w:rPr>
                <w:sz w:val="20"/>
              </w:rPr>
            </w:pPr>
            <w:r>
              <w:rPr>
                <w:sz w:val="20"/>
              </w:rPr>
              <w:tab/>
            </w:r>
            <w:r w:rsidR="00EB63F1" w:rsidRPr="00E611A4">
              <w:rPr>
                <w:sz w:val="20"/>
              </w:rPr>
              <w:t>Salt Lake City, UT  84114-8410</w:t>
            </w:r>
          </w:p>
        </w:tc>
        <w:tc>
          <w:tcPr>
            <w:tcW w:w="1722" w:type="pct"/>
            <w:gridSpan w:val="2"/>
            <w:tcBorders>
              <w:top w:val="single" w:sz="6" w:space="0" w:color="auto"/>
              <w:left w:val="single" w:sz="6" w:space="0" w:color="auto"/>
              <w:bottom w:val="single" w:sz="6" w:space="0" w:color="auto"/>
              <w:right w:val="single" w:sz="6" w:space="0" w:color="auto"/>
            </w:tcBorders>
          </w:tcPr>
          <w:p w14:paraId="66A6C641" w14:textId="6663357C" w:rsidR="00EB63F1" w:rsidRPr="00E611A4" w:rsidRDefault="00EB63F1" w:rsidP="001B5BD7">
            <w:pPr>
              <w:tabs>
                <w:tab w:val="left" w:pos="360"/>
              </w:tabs>
              <w:spacing w:line="240" w:lineRule="auto"/>
              <w:ind w:left="288" w:hanging="288"/>
              <w:jc w:val="left"/>
              <w:rPr>
                <w:szCs w:val="24"/>
              </w:rPr>
            </w:pPr>
            <w:r w:rsidRPr="00E611A4">
              <w:rPr>
                <w:sz w:val="16"/>
                <w:szCs w:val="16"/>
              </w:rPr>
              <w:t>13. Type of Report &amp; Period Covered</w:t>
            </w:r>
            <w:r w:rsidRPr="00E611A4">
              <w:rPr>
                <w:szCs w:val="24"/>
              </w:rPr>
              <w:br/>
            </w:r>
            <w:r w:rsidR="001B5BD7">
              <w:rPr>
                <w:sz w:val="20"/>
              </w:rPr>
              <w:t>Year 1, Quarter 2</w:t>
            </w:r>
            <w:r w:rsidR="00EE2319" w:rsidRPr="00EE2319">
              <w:rPr>
                <w:sz w:val="20"/>
              </w:rPr>
              <w:t xml:space="preserve"> </w:t>
            </w:r>
            <w:r w:rsidR="00EE2319">
              <w:rPr>
                <w:sz w:val="20"/>
              </w:rPr>
              <w:t xml:space="preserve">TAC </w:t>
            </w:r>
            <w:r w:rsidR="00EE2319" w:rsidRPr="00EE2319">
              <w:rPr>
                <w:sz w:val="20"/>
              </w:rPr>
              <w:t>Update</w:t>
            </w:r>
            <w:r w:rsidR="0010115C" w:rsidRPr="0046057C">
              <w:rPr>
                <w:sz w:val="20"/>
              </w:rPr>
              <w:t xml:space="preserve"> </w:t>
            </w:r>
            <w:r w:rsidR="001B5BD7">
              <w:rPr>
                <w:sz w:val="20"/>
              </w:rPr>
              <w:t>September</w:t>
            </w:r>
            <w:r w:rsidR="009E4724">
              <w:rPr>
                <w:sz w:val="20"/>
              </w:rPr>
              <w:t>-</w:t>
            </w:r>
            <w:r w:rsidR="001B5BD7">
              <w:rPr>
                <w:sz w:val="20"/>
              </w:rPr>
              <w:t>November</w:t>
            </w:r>
            <w:r w:rsidR="00EE2319">
              <w:rPr>
                <w:sz w:val="20"/>
              </w:rPr>
              <w:t xml:space="preserve"> 201</w:t>
            </w:r>
            <w:r w:rsidR="009E4724">
              <w:rPr>
                <w:sz w:val="20"/>
              </w:rPr>
              <w:t>6</w:t>
            </w:r>
          </w:p>
        </w:tc>
      </w:tr>
      <w:tr w:rsidR="00EB63F1" w:rsidRPr="00E611A4" w14:paraId="03FD1F6C" w14:textId="77777777" w:rsidTr="00A10FE0">
        <w:trPr>
          <w:cantSplit/>
        </w:trPr>
        <w:tc>
          <w:tcPr>
            <w:tcW w:w="3278" w:type="pct"/>
            <w:gridSpan w:val="5"/>
            <w:vMerge/>
            <w:tcBorders>
              <w:top w:val="nil"/>
              <w:left w:val="single" w:sz="6" w:space="0" w:color="auto"/>
              <w:bottom w:val="single" w:sz="6" w:space="0" w:color="auto"/>
              <w:right w:val="nil"/>
            </w:tcBorders>
          </w:tcPr>
          <w:p w14:paraId="421B6AF3"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30E2B316" w14:textId="69CA7674" w:rsidR="00EB63F1" w:rsidRPr="00E611A4" w:rsidRDefault="00EB63F1" w:rsidP="00BF4E04">
            <w:pPr>
              <w:tabs>
                <w:tab w:val="left" w:pos="360"/>
              </w:tabs>
              <w:spacing w:line="240" w:lineRule="auto"/>
              <w:ind w:left="288" w:hanging="288"/>
              <w:jc w:val="left"/>
              <w:rPr>
                <w:szCs w:val="24"/>
              </w:rPr>
            </w:pPr>
            <w:r w:rsidRPr="00E611A4">
              <w:rPr>
                <w:sz w:val="16"/>
                <w:szCs w:val="16"/>
              </w:rPr>
              <w:t>14. Sponsoring Agency Code</w:t>
            </w:r>
            <w:r w:rsidRPr="00E611A4">
              <w:rPr>
                <w:szCs w:val="24"/>
              </w:rPr>
              <w:br/>
            </w:r>
            <w:r w:rsidR="0010115C" w:rsidRPr="00112A35">
              <w:rPr>
                <w:sz w:val="20"/>
              </w:rPr>
              <w:t xml:space="preserve">PIC No. </w:t>
            </w:r>
            <w:r w:rsidR="00112A35" w:rsidRPr="00112A35">
              <w:rPr>
                <w:sz w:val="20"/>
              </w:rPr>
              <w:t>UT15</w:t>
            </w:r>
            <w:r w:rsidR="00EE2319" w:rsidRPr="00112A35">
              <w:rPr>
                <w:sz w:val="20"/>
              </w:rPr>
              <w:t>.40</w:t>
            </w:r>
            <w:r w:rsidR="00112A35" w:rsidRPr="00112A35">
              <w:rPr>
                <w:sz w:val="20"/>
              </w:rPr>
              <w:t>2</w:t>
            </w:r>
          </w:p>
        </w:tc>
      </w:tr>
      <w:tr w:rsidR="00EB63F1" w:rsidRPr="00E611A4" w14:paraId="56586F77" w14:textId="77777777" w:rsidTr="00F904C1">
        <w:trPr>
          <w:cantSplit/>
          <w:trHeight w:hRule="exact" w:val="735"/>
        </w:trPr>
        <w:tc>
          <w:tcPr>
            <w:tcW w:w="5000" w:type="pct"/>
            <w:gridSpan w:val="7"/>
            <w:tcBorders>
              <w:top w:val="nil"/>
              <w:left w:val="single" w:sz="6" w:space="0" w:color="auto"/>
              <w:bottom w:val="single" w:sz="6" w:space="0" w:color="auto"/>
              <w:right w:val="single" w:sz="6" w:space="0" w:color="auto"/>
            </w:tcBorders>
          </w:tcPr>
          <w:p w14:paraId="20AB3034" w14:textId="77777777" w:rsidR="00EB63F1" w:rsidRPr="00E611A4" w:rsidRDefault="00EB63F1" w:rsidP="005421E4">
            <w:pPr>
              <w:tabs>
                <w:tab w:val="left" w:pos="360"/>
              </w:tabs>
              <w:spacing w:line="240" w:lineRule="auto"/>
              <w:ind w:firstLine="0"/>
              <w:jc w:val="left"/>
              <w:rPr>
                <w:szCs w:val="24"/>
              </w:rPr>
            </w:pPr>
            <w:r w:rsidRPr="00E611A4">
              <w:rPr>
                <w:sz w:val="16"/>
                <w:szCs w:val="16"/>
              </w:rPr>
              <w:t>15. Supplementary Notes</w:t>
            </w:r>
          </w:p>
          <w:p w14:paraId="6264F6AE" w14:textId="77777777" w:rsidR="00EB63F1" w:rsidRPr="00E611A4" w:rsidRDefault="00F904C1" w:rsidP="00BF4E04">
            <w:pPr>
              <w:tabs>
                <w:tab w:val="left" w:pos="360"/>
              </w:tabs>
              <w:spacing w:line="240" w:lineRule="auto"/>
              <w:ind w:firstLine="0"/>
              <w:jc w:val="left"/>
              <w:rPr>
                <w:sz w:val="20"/>
              </w:rPr>
            </w:pPr>
            <w:r w:rsidRPr="006B242E">
              <w:rPr>
                <w:sz w:val="20"/>
              </w:rPr>
              <w:t>Prepared</w:t>
            </w:r>
            <w:r w:rsidR="00EB63F1" w:rsidRPr="006B242E">
              <w:rPr>
                <w:sz w:val="20"/>
              </w:rPr>
              <w:t xml:space="preserve"> in cooperation with the Utah Department of Transportation</w:t>
            </w:r>
            <w:r w:rsidRPr="006B242E">
              <w:rPr>
                <w:sz w:val="20"/>
              </w:rPr>
              <w:t xml:space="preserve"> and the U.S. Department of Transportation, Federal Highway Administration</w:t>
            </w:r>
          </w:p>
        </w:tc>
      </w:tr>
      <w:tr w:rsidR="00EB63F1" w:rsidRPr="00E611A4" w14:paraId="3B201D66" w14:textId="77777777" w:rsidTr="00A10FE0">
        <w:trPr>
          <w:cantSplit/>
          <w:trHeight w:val="4062"/>
        </w:trPr>
        <w:tc>
          <w:tcPr>
            <w:tcW w:w="5000" w:type="pct"/>
            <w:gridSpan w:val="7"/>
            <w:tcBorders>
              <w:top w:val="single" w:sz="6" w:space="0" w:color="auto"/>
              <w:left w:val="single" w:sz="6" w:space="0" w:color="auto"/>
              <w:bottom w:val="single" w:sz="6" w:space="0" w:color="auto"/>
              <w:right w:val="single" w:sz="6" w:space="0" w:color="auto"/>
            </w:tcBorders>
          </w:tcPr>
          <w:p w14:paraId="19B9048B" w14:textId="77777777" w:rsidR="00EB63F1" w:rsidRPr="00E611A4" w:rsidRDefault="00EB63F1" w:rsidP="005421E4">
            <w:pPr>
              <w:tabs>
                <w:tab w:val="left" w:pos="360"/>
              </w:tabs>
              <w:spacing w:line="240" w:lineRule="auto"/>
              <w:ind w:firstLine="0"/>
              <w:jc w:val="left"/>
              <w:rPr>
                <w:sz w:val="16"/>
                <w:szCs w:val="16"/>
              </w:rPr>
            </w:pPr>
            <w:r w:rsidRPr="00E611A4">
              <w:rPr>
                <w:sz w:val="16"/>
                <w:szCs w:val="16"/>
              </w:rPr>
              <w:t>16. Abstract</w:t>
            </w:r>
          </w:p>
          <w:p w14:paraId="52443CB4" w14:textId="52941F4D" w:rsidR="00EB63F1" w:rsidRPr="000A385F" w:rsidRDefault="000A7B01" w:rsidP="00BF4E04">
            <w:pPr>
              <w:tabs>
                <w:tab w:val="left" w:pos="720"/>
              </w:tabs>
              <w:spacing w:line="240" w:lineRule="auto"/>
              <w:ind w:firstLine="406"/>
              <w:jc w:val="left"/>
              <w:rPr>
                <w:sz w:val="20"/>
              </w:rPr>
            </w:pPr>
            <w:r w:rsidRPr="00DF6EC8">
              <w:rPr>
                <w:sz w:val="20"/>
              </w:rPr>
              <w:t>The purpose of the research being performed is to provide the benefit of the full performance-based probabilistic earthquake hazard analysis, without requiring special software, training, and experience. To do this, simplified models of liquefaction triggering and lateral spread displacements that approximate the results of the full probabilistic analysis w</w:t>
            </w:r>
            <w:r w:rsidR="00B70FE6" w:rsidRPr="00DF6EC8">
              <w:rPr>
                <w:sz w:val="20"/>
              </w:rPr>
              <w:t>ill be</w:t>
            </w:r>
            <w:r w:rsidRPr="00DF6EC8">
              <w:rPr>
                <w:sz w:val="20"/>
              </w:rPr>
              <w:t xml:space="preserve"> developed.  </w:t>
            </w:r>
            <w:r w:rsidR="00B70FE6" w:rsidRPr="00DF6EC8">
              <w:rPr>
                <w:sz w:val="20"/>
              </w:rPr>
              <w:t xml:space="preserve">The full projects scope of work will be completed in </w:t>
            </w:r>
            <w:r w:rsidR="0028370B" w:rsidRPr="00DF6EC8">
              <w:rPr>
                <w:sz w:val="20"/>
              </w:rPr>
              <w:t>two-year</w:t>
            </w:r>
            <w:r w:rsidR="00B70FE6" w:rsidRPr="00DF6EC8">
              <w:rPr>
                <w:sz w:val="20"/>
              </w:rPr>
              <w:t xml:space="preserve"> segments. This</w:t>
            </w:r>
            <w:r w:rsidRPr="00DF6EC8">
              <w:rPr>
                <w:sz w:val="20"/>
              </w:rPr>
              <w:t xml:space="preserve"> report provides </w:t>
            </w:r>
            <w:r w:rsidR="00FE1F66" w:rsidRPr="00DF6EC8">
              <w:rPr>
                <w:sz w:val="20"/>
              </w:rPr>
              <w:t>the year 1, q</w:t>
            </w:r>
            <w:r w:rsidR="00DF6EC8" w:rsidRPr="00DF6EC8">
              <w:rPr>
                <w:sz w:val="20"/>
              </w:rPr>
              <w:t>uarter 2</w:t>
            </w:r>
            <w:r w:rsidR="00B70FE6" w:rsidRPr="00DF6EC8">
              <w:rPr>
                <w:sz w:val="20"/>
              </w:rPr>
              <w:t xml:space="preserve"> progress update by addressing the </w:t>
            </w:r>
            <w:r w:rsidR="0070223F">
              <w:rPr>
                <w:sz w:val="20"/>
              </w:rPr>
              <w:t>completion of the Numerical tool</w:t>
            </w:r>
            <w:r w:rsidR="00B70FE6" w:rsidRPr="00DF6EC8">
              <w:rPr>
                <w:sz w:val="20"/>
              </w:rPr>
              <w:t xml:space="preserve"> for t</w:t>
            </w:r>
            <w:r w:rsidR="0070223F">
              <w:rPr>
                <w:sz w:val="20"/>
              </w:rPr>
              <w:t>ask</w:t>
            </w:r>
            <w:r w:rsidR="00B70FE6" w:rsidRPr="00DF6EC8">
              <w:rPr>
                <w:sz w:val="20"/>
              </w:rPr>
              <w:t xml:space="preserve"> 4</w:t>
            </w:r>
            <w:r w:rsidR="00EE2319" w:rsidRPr="00DF6EC8">
              <w:rPr>
                <w:sz w:val="20"/>
              </w:rPr>
              <w:t xml:space="preserve"> of the </w:t>
            </w:r>
            <w:r w:rsidR="00112A35">
              <w:rPr>
                <w:sz w:val="20"/>
              </w:rPr>
              <w:t>TPF-5(</w:t>
            </w:r>
            <w:r w:rsidR="00B70FE6" w:rsidRPr="00DF6EC8">
              <w:rPr>
                <w:sz w:val="20"/>
              </w:rPr>
              <w:t>338)</w:t>
            </w:r>
            <w:r w:rsidR="000A385F" w:rsidRPr="00DF6EC8">
              <w:rPr>
                <w:sz w:val="20"/>
              </w:rPr>
              <w:t xml:space="preserve"> </w:t>
            </w:r>
            <w:r w:rsidR="00EE2319" w:rsidRPr="00DF6EC8">
              <w:rPr>
                <w:sz w:val="20"/>
              </w:rPr>
              <w:t>research contract</w:t>
            </w:r>
            <w:r w:rsidRPr="00DF6EC8">
              <w:rPr>
                <w:sz w:val="20"/>
              </w:rPr>
              <w:t>.</w:t>
            </w:r>
          </w:p>
          <w:p w14:paraId="69F019F1" w14:textId="54B6B0AF" w:rsidR="000A7B01" w:rsidRPr="00E611A4" w:rsidRDefault="00AD53F5" w:rsidP="00AD53F5">
            <w:pPr>
              <w:tabs>
                <w:tab w:val="left" w:pos="720"/>
              </w:tabs>
              <w:spacing w:line="240" w:lineRule="auto"/>
              <w:ind w:firstLine="406"/>
              <w:jc w:val="left"/>
              <w:rPr>
                <w:sz w:val="20"/>
              </w:rPr>
            </w:pPr>
            <w:r>
              <w:rPr>
                <w:sz w:val="20"/>
              </w:rPr>
              <w:t>Year1, quarter 2</w:t>
            </w:r>
            <w:r w:rsidR="00FE1F66" w:rsidRPr="000A385F">
              <w:rPr>
                <w:sz w:val="20"/>
              </w:rPr>
              <w:t xml:space="preserve"> progress consists mainly of </w:t>
            </w:r>
            <w:r w:rsidR="000A385F">
              <w:rPr>
                <w:sz w:val="20"/>
              </w:rPr>
              <w:t xml:space="preserve">the </w:t>
            </w:r>
            <w:r w:rsidR="00FE1F66" w:rsidRPr="000A385F">
              <w:rPr>
                <w:sz w:val="20"/>
              </w:rPr>
              <w:t xml:space="preserve">development of </w:t>
            </w:r>
            <w:r w:rsidR="000A385F">
              <w:rPr>
                <w:sz w:val="20"/>
              </w:rPr>
              <w:t>a</w:t>
            </w:r>
            <w:r w:rsidR="00FE1F66" w:rsidRPr="000A385F">
              <w:rPr>
                <w:sz w:val="20"/>
              </w:rPr>
              <w:t xml:space="preserve"> research tool to run the full performance-based probabilistic calculation of liquefaction triggering, liquefaction-induced</w:t>
            </w:r>
            <w:bookmarkStart w:id="1" w:name="_GoBack"/>
            <w:bookmarkEnd w:id="1"/>
            <w:r w:rsidR="00FE1F66" w:rsidRPr="000A385F">
              <w:rPr>
                <w:sz w:val="20"/>
              </w:rPr>
              <w:t xml:space="preserve"> settlement, and liquefaction-induced lateral </w:t>
            </w:r>
            <w:r w:rsidR="000A385F">
              <w:rPr>
                <w:sz w:val="20"/>
              </w:rPr>
              <w:t>displacement</w:t>
            </w:r>
            <w:r>
              <w:rPr>
                <w:sz w:val="20"/>
              </w:rPr>
              <w:t>. This</w:t>
            </w:r>
            <w:r w:rsidR="00FE1F66" w:rsidRPr="000A385F">
              <w:rPr>
                <w:sz w:val="20"/>
              </w:rPr>
              <w:t xml:space="preserve"> program, </w:t>
            </w:r>
            <w:r w:rsidR="00FE1F66" w:rsidRPr="000A385F">
              <w:rPr>
                <w:i/>
                <w:sz w:val="20"/>
              </w:rPr>
              <w:t>CPTLiquefY</w:t>
            </w:r>
            <w:r w:rsidR="00FE1F66" w:rsidRPr="000A385F">
              <w:rPr>
                <w:sz w:val="20"/>
              </w:rPr>
              <w:t>, currently has the capabilities of reading in a CPT file, running soil parameter calculations, pseudo-probabilistic liquefaction anal</w:t>
            </w:r>
            <w:r w:rsidR="0028370B" w:rsidRPr="0028370B">
              <w:rPr>
                <w:sz w:val="20"/>
              </w:rPr>
              <w:t>yse</w:t>
            </w:r>
            <w:r w:rsidR="00FE1F66" w:rsidRPr="000A385F">
              <w:rPr>
                <w:sz w:val="20"/>
              </w:rPr>
              <w:t>s, and deterministic liquefaction anal</w:t>
            </w:r>
            <w:r w:rsidR="0028370B" w:rsidRPr="0028370B">
              <w:rPr>
                <w:sz w:val="20"/>
              </w:rPr>
              <w:t>yse</w:t>
            </w:r>
            <w:r w:rsidR="00FE1F66" w:rsidRPr="000A385F">
              <w:rPr>
                <w:sz w:val="20"/>
              </w:rPr>
              <w:t xml:space="preserve">s. Full performance-based probabilistic methods are </w:t>
            </w:r>
            <w:r>
              <w:rPr>
                <w:sz w:val="20"/>
              </w:rPr>
              <w:t>now operational, along with a connection to a new</w:t>
            </w:r>
            <w:r w:rsidR="00084584">
              <w:rPr>
                <w:sz w:val="20"/>
              </w:rPr>
              <w:t xml:space="preserve"> off-line</w:t>
            </w:r>
            <w:r>
              <w:rPr>
                <w:sz w:val="20"/>
              </w:rPr>
              <w:t xml:space="preserve"> USGS deaggregation tool that gives access to </w:t>
            </w:r>
            <w:r w:rsidR="00084584">
              <w:rPr>
                <w:sz w:val="20"/>
              </w:rPr>
              <w:t>the 2014 USGS deaggregation models</w:t>
            </w:r>
            <w:r>
              <w:rPr>
                <w:sz w:val="20"/>
              </w:rPr>
              <w:t>.</w:t>
            </w:r>
          </w:p>
        </w:tc>
      </w:tr>
      <w:tr w:rsidR="00EB63F1" w:rsidRPr="00E611A4" w14:paraId="59FA37DA" w14:textId="77777777" w:rsidTr="0094675B">
        <w:trPr>
          <w:cantSplit/>
          <w:trHeight w:hRule="exact" w:val="1590"/>
        </w:trPr>
        <w:tc>
          <w:tcPr>
            <w:tcW w:w="2297" w:type="pct"/>
            <w:gridSpan w:val="3"/>
            <w:tcBorders>
              <w:top w:val="nil"/>
              <w:left w:val="single" w:sz="6" w:space="0" w:color="auto"/>
              <w:bottom w:val="single" w:sz="6" w:space="0" w:color="auto"/>
              <w:right w:val="single" w:sz="6" w:space="0" w:color="auto"/>
            </w:tcBorders>
          </w:tcPr>
          <w:p w14:paraId="5A14ACA4" w14:textId="77777777" w:rsidR="00EB63F1" w:rsidRPr="00E611A4" w:rsidRDefault="00EB63F1" w:rsidP="00BF4E04">
            <w:pPr>
              <w:tabs>
                <w:tab w:val="left" w:pos="360"/>
              </w:tabs>
              <w:spacing w:line="240" w:lineRule="auto"/>
              <w:ind w:firstLine="0"/>
              <w:jc w:val="left"/>
              <w:rPr>
                <w:szCs w:val="24"/>
              </w:rPr>
            </w:pPr>
            <w:r w:rsidRPr="00E611A4">
              <w:rPr>
                <w:sz w:val="16"/>
                <w:szCs w:val="16"/>
              </w:rPr>
              <w:t>17. Key Words</w:t>
            </w:r>
          </w:p>
          <w:p w14:paraId="66300091" w14:textId="18086286" w:rsidR="00EB63F1" w:rsidRPr="00E611A4" w:rsidRDefault="003D737B" w:rsidP="00BF4E04">
            <w:pPr>
              <w:spacing w:line="240" w:lineRule="auto"/>
              <w:ind w:firstLine="0"/>
              <w:jc w:val="left"/>
              <w:rPr>
                <w:b/>
                <w:szCs w:val="24"/>
              </w:rPr>
            </w:pPr>
            <w:r w:rsidRPr="008734E0">
              <w:rPr>
                <w:sz w:val="20"/>
              </w:rPr>
              <w:t>Liquefaction Triggerin</w:t>
            </w:r>
            <w:r w:rsidR="008734E0" w:rsidRPr="008734E0">
              <w:rPr>
                <w:sz w:val="20"/>
              </w:rPr>
              <w:t>g, Performance-based Engineering</w:t>
            </w:r>
            <w:r w:rsidRPr="008734E0">
              <w:rPr>
                <w:sz w:val="20"/>
              </w:rPr>
              <w:t>, Seismic Hazards</w:t>
            </w:r>
            <w:r w:rsidR="008734E0">
              <w:rPr>
                <w:sz w:val="20"/>
              </w:rPr>
              <w:t>, Cone Penetration Test</w:t>
            </w:r>
            <w:r w:rsidR="004B66BB">
              <w:rPr>
                <w:sz w:val="20"/>
              </w:rPr>
              <w:t>, USGS 2014 Deaggregation</w:t>
            </w:r>
          </w:p>
        </w:tc>
        <w:tc>
          <w:tcPr>
            <w:tcW w:w="1732" w:type="pct"/>
            <w:gridSpan w:val="3"/>
            <w:tcBorders>
              <w:top w:val="nil"/>
              <w:left w:val="single" w:sz="6" w:space="0" w:color="auto"/>
              <w:bottom w:val="single" w:sz="6" w:space="0" w:color="auto"/>
              <w:right w:val="single" w:sz="6" w:space="0" w:color="auto"/>
            </w:tcBorders>
          </w:tcPr>
          <w:p w14:paraId="5A92B794" w14:textId="77777777" w:rsidR="00EB63F1" w:rsidRPr="00E611A4" w:rsidRDefault="00EB63F1" w:rsidP="00BF4E04">
            <w:pPr>
              <w:tabs>
                <w:tab w:val="left" w:pos="360"/>
              </w:tabs>
              <w:spacing w:line="240" w:lineRule="auto"/>
              <w:ind w:firstLine="0"/>
              <w:jc w:val="left"/>
              <w:rPr>
                <w:szCs w:val="24"/>
              </w:rPr>
            </w:pPr>
            <w:r w:rsidRPr="00E611A4">
              <w:rPr>
                <w:sz w:val="16"/>
                <w:szCs w:val="16"/>
              </w:rPr>
              <w:t>18. Distribution Statement</w:t>
            </w:r>
          </w:p>
          <w:p w14:paraId="4999A11A" w14:textId="77777777" w:rsidR="0094675B" w:rsidRPr="00E611A4" w:rsidRDefault="0094675B" w:rsidP="00BF4E04">
            <w:pPr>
              <w:tabs>
                <w:tab w:val="left" w:pos="360"/>
              </w:tabs>
              <w:spacing w:line="240" w:lineRule="auto"/>
              <w:ind w:firstLine="0"/>
              <w:jc w:val="left"/>
              <w:rPr>
                <w:sz w:val="20"/>
              </w:rPr>
            </w:pPr>
            <w:r w:rsidRPr="0046057C">
              <w:rPr>
                <w:sz w:val="20"/>
              </w:rPr>
              <w:t>Not restricted. Available through</w:t>
            </w:r>
            <w:r w:rsidRPr="00EE2319">
              <w:rPr>
                <w:sz w:val="20"/>
              </w:rPr>
              <w:t>:</w:t>
            </w:r>
          </w:p>
          <w:p w14:paraId="25C63159" w14:textId="77777777" w:rsidR="00EB63F1" w:rsidRPr="00E611A4" w:rsidRDefault="00EB63F1" w:rsidP="00BF4E04">
            <w:pPr>
              <w:tabs>
                <w:tab w:val="left" w:pos="360"/>
              </w:tabs>
              <w:spacing w:line="240" w:lineRule="auto"/>
              <w:ind w:firstLine="0"/>
              <w:jc w:val="left"/>
              <w:rPr>
                <w:sz w:val="20"/>
              </w:rPr>
            </w:pPr>
            <w:r w:rsidRPr="00E611A4">
              <w:rPr>
                <w:sz w:val="20"/>
              </w:rPr>
              <w:t xml:space="preserve">UDOT Research Division </w:t>
            </w:r>
          </w:p>
          <w:p w14:paraId="3F5FE113" w14:textId="77777777" w:rsidR="00EB63F1" w:rsidRPr="00E611A4" w:rsidRDefault="00EB63F1" w:rsidP="00BF4E04">
            <w:pPr>
              <w:tabs>
                <w:tab w:val="left" w:pos="360"/>
              </w:tabs>
              <w:spacing w:line="240" w:lineRule="auto"/>
              <w:ind w:firstLine="0"/>
              <w:jc w:val="left"/>
              <w:rPr>
                <w:sz w:val="20"/>
              </w:rPr>
            </w:pPr>
            <w:r w:rsidRPr="00E611A4">
              <w:rPr>
                <w:sz w:val="20"/>
              </w:rPr>
              <w:t>4501 South 2700 West</w:t>
            </w:r>
          </w:p>
          <w:p w14:paraId="5C4A6327" w14:textId="77777777" w:rsidR="00EB63F1" w:rsidRPr="00E611A4" w:rsidRDefault="0094675B" w:rsidP="00BF4E04">
            <w:pPr>
              <w:tabs>
                <w:tab w:val="left" w:pos="360"/>
              </w:tabs>
              <w:spacing w:line="240" w:lineRule="auto"/>
              <w:ind w:firstLine="0"/>
              <w:jc w:val="left"/>
              <w:rPr>
                <w:sz w:val="20"/>
              </w:rPr>
            </w:pPr>
            <w:r w:rsidRPr="00E611A4">
              <w:rPr>
                <w:sz w:val="20"/>
              </w:rPr>
              <w:t xml:space="preserve">P.O. </w:t>
            </w:r>
            <w:r w:rsidR="00EB63F1" w:rsidRPr="00E611A4">
              <w:rPr>
                <w:sz w:val="20"/>
              </w:rPr>
              <w:t>Box 148410</w:t>
            </w:r>
          </w:p>
          <w:p w14:paraId="2CCAB36C" w14:textId="77777777" w:rsidR="00EB63F1" w:rsidRPr="00E611A4" w:rsidRDefault="00EB63F1" w:rsidP="00BF4E04">
            <w:pPr>
              <w:tabs>
                <w:tab w:val="left" w:pos="360"/>
              </w:tabs>
              <w:spacing w:line="240" w:lineRule="auto"/>
              <w:ind w:firstLine="0"/>
              <w:jc w:val="left"/>
              <w:rPr>
                <w:sz w:val="20"/>
              </w:rPr>
            </w:pPr>
            <w:r w:rsidRPr="00E611A4">
              <w:rPr>
                <w:sz w:val="20"/>
              </w:rPr>
              <w:t>Salt Lake City, UT  84114</w:t>
            </w:r>
            <w:r w:rsidR="0094675B" w:rsidRPr="00E611A4">
              <w:rPr>
                <w:sz w:val="20"/>
              </w:rPr>
              <w:t>-8410</w:t>
            </w:r>
          </w:p>
          <w:p w14:paraId="7752116B" w14:textId="77777777" w:rsidR="0094675B" w:rsidRPr="00E611A4" w:rsidRDefault="00B84C3E" w:rsidP="00BF4E04">
            <w:pPr>
              <w:tabs>
                <w:tab w:val="left" w:pos="360"/>
              </w:tabs>
              <w:spacing w:line="240" w:lineRule="auto"/>
              <w:ind w:firstLine="0"/>
              <w:jc w:val="left"/>
              <w:rPr>
                <w:szCs w:val="24"/>
              </w:rPr>
            </w:pPr>
            <w:hyperlink r:id="rId12" w:history="1">
              <w:r w:rsidR="0094675B" w:rsidRPr="00E611A4">
                <w:rPr>
                  <w:rStyle w:val="Hyperlink"/>
                  <w:sz w:val="20"/>
                </w:rPr>
                <w:t>www.udot.utah.gov/go/research</w:t>
              </w:r>
            </w:hyperlink>
          </w:p>
        </w:tc>
        <w:tc>
          <w:tcPr>
            <w:tcW w:w="971" w:type="pct"/>
            <w:vMerge w:val="restart"/>
            <w:tcBorders>
              <w:top w:val="nil"/>
              <w:left w:val="single" w:sz="6" w:space="0" w:color="auto"/>
              <w:bottom w:val="nil"/>
              <w:right w:val="single" w:sz="6" w:space="0" w:color="auto"/>
            </w:tcBorders>
          </w:tcPr>
          <w:p w14:paraId="22733840" w14:textId="77777777" w:rsidR="00EB63F1" w:rsidRPr="00E611A4" w:rsidRDefault="00EB63F1" w:rsidP="00BF4E04">
            <w:pPr>
              <w:tabs>
                <w:tab w:val="left" w:pos="360"/>
              </w:tabs>
              <w:spacing w:line="240" w:lineRule="auto"/>
              <w:ind w:firstLine="0"/>
              <w:rPr>
                <w:sz w:val="16"/>
                <w:szCs w:val="16"/>
              </w:rPr>
            </w:pPr>
            <w:r w:rsidRPr="00E611A4">
              <w:rPr>
                <w:sz w:val="16"/>
                <w:szCs w:val="16"/>
              </w:rPr>
              <w:t>23. Registrant's Seal</w:t>
            </w:r>
          </w:p>
          <w:p w14:paraId="3941A4D3" w14:textId="77777777" w:rsidR="00EB63F1" w:rsidRPr="00E611A4" w:rsidRDefault="00EB63F1" w:rsidP="00EB63F1">
            <w:pPr>
              <w:tabs>
                <w:tab w:val="left" w:pos="360"/>
              </w:tabs>
              <w:spacing w:line="240" w:lineRule="auto"/>
              <w:rPr>
                <w:sz w:val="16"/>
                <w:szCs w:val="16"/>
              </w:rPr>
            </w:pPr>
          </w:p>
          <w:p w14:paraId="265D079F" w14:textId="29468ADD" w:rsidR="00EB63F1" w:rsidRPr="00E611A4" w:rsidRDefault="00EE2319" w:rsidP="002D440C">
            <w:pPr>
              <w:tabs>
                <w:tab w:val="left" w:pos="360"/>
              </w:tabs>
              <w:spacing w:line="240" w:lineRule="auto"/>
              <w:ind w:firstLine="0"/>
              <w:jc w:val="center"/>
              <w:rPr>
                <w:sz w:val="20"/>
              </w:rPr>
            </w:pPr>
            <w:r>
              <w:rPr>
                <w:sz w:val="20"/>
              </w:rPr>
              <w:t>NA</w:t>
            </w:r>
          </w:p>
        </w:tc>
      </w:tr>
      <w:tr w:rsidR="00EB63F1" w:rsidRPr="00E611A4" w14:paraId="2C2A0AEE" w14:textId="77777777" w:rsidTr="004F4D31">
        <w:trPr>
          <w:cantSplit/>
          <w:trHeight w:val="720"/>
        </w:trPr>
        <w:tc>
          <w:tcPr>
            <w:tcW w:w="1145" w:type="pct"/>
            <w:tcBorders>
              <w:top w:val="nil"/>
              <w:left w:val="single" w:sz="6" w:space="0" w:color="auto"/>
              <w:bottom w:val="single" w:sz="6" w:space="0" w:color="auto"/>
              <w:right w:val="single" w:sz="6" w:space="0" w:color="auto"/>
            </w:tcBorders>
          </w:tcPr>
          <w:p w14:paraId="6F3D7EE8" w14:textId="4845E9FD" w:rsidR="00EB63F1" w:rsidRPr="00EE2319" w:rsidRDefault="00BF4E04" w:rsidP="00BF4E04">
            <w:pPr>
              <w:tabs>
                <w:tab w:val="left" w:pos="360"/>
              </w:tabs>
              <w:spacing w:line="240" w:lineRule="auto"/>
              <w:ind w:firstLine="0"/>
              <w:jc w:val="left"/>
              <w:rPr>
                <w:sz w:val="16"/>
                <w:szCs w:val="16"/>
              </w:rPr>
            </w:pPr>
            <w:r>
              <w:rPr>
                <w:sz w:val="16"/>
                <w:szCs w:val="16"/>
              </w:rPr>
              <w:t xml:space="preserve">19. Security </w:t>
            </w:r>
            <w:r w:rsidR="00EB63F1" w:rsidRPr="00EE2319">
              <w:rPr>
                <w:sz w:val="16"/>
                <w:szCs w:val="16"/>
              </w:rPr>
              <w:t>Classification</w:t>
            </w:r>
          </w:p>
          <w:p w14:paraId="253A8CE2" w14:textId="40B19900" w:rsidR="00EB63F1" w:rsidRPr="00EE2319" w:rsidRDefault="00BF4E04" w:rsidP="00BF4E04">
            <w:pPr>
              <w:tabs>
                <w:tab w:val="left" w:pos="360"/>
              </w:tabs>
              <w:spacing w:line="240" w:lineRule="auto"/>
              <w:ind w:firstLine="0"/>
              <w:jc w:val="left"/>
              <w:rPr>
                <w:szCs w:val="24"/>
              </w:rPr>
            </w:pPr>
            <w:r>
              <w:rPr>
                <w:sz w:val="20"/>
              </w:rPr>
              <w:tab/>
            </w:r>
            <w:r w:rsidR="00EB63F1" w:rsidRPr="00EE2319">
              <w:rPr>
                <w:sz w:val="20"/>
              </w:rPr>
              <w:t>(of this report)</w:t>
            </w:r>
          </w:p>
          <w:p w14:paraId="523B84A8" w14:textId="77777777" w:rsidR="00EB63F1" w:rsidRPr="00EE2319" w:rsidRDefault="00EB63F1" w:rsidP="00BF4E04">
            <w:pPr>
              <w:tabs>
                <w:tab w:val="left" w:pos="360"/>
              </w:tabs>
              <w:spacing w:line="240" w:lineRule="auto"/>
              <w:ind w:left="432"/>
              <w:jc w:val="left"/>
              <w:rPr>
                <w:szCs w:val="24"/>
              </w:rPr>
            </w:pPr>
          </w:p>
          <w:p w14:paraId="505CF09B" w14:textId="78477F05"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18874067" w14:textId="77777777" w:rsidR="00EB63F1" w:rsidRPr="00EE2319" w:rsidRDefault="00EB63F1" w:rsidP="00BF4E04">
            <w:pPr>
              <w:tabs>
                <w:tab w:val="left" w:pos="360"/>
              </w:tabs>
              <w:spacing w:line="240" w:lineRule="auto"/>
              <w:jc w:val="left"/>
              <w:rPr>
                <w:szCs w:val="24"/>
              </w:rPr>
            </w:pPr>
          </w:p>
        </w:tc>
        <w:tc>
          <w:tcPr>
            <w:tcW w:w="1152" w:type="pct"/>
            <w:gridSpan w:val="2"/>
            <w:tcBorders>
              <w:top w:val="nil"/>
              <w:left w:val="single" w:sz="6" w:space="0" w:color="auto"/>
              <w:bottom w:val="single" w:sz="6" w:space="0" w:color="auto"/>
              <w:right w:val="single" w:sz="6" w:space="0" w:color="auto"/>
            </w:tcBorders>
          </w:tcPr>
          <w:p w14:paraId="17BE7DF2" w14:textId="77777777" w:rsidR="00EB63F1" w:rsidRPr="00EE2319" w:rsidRDefault="00EB63F1" w:rsidP="00BF4E04">
            <w:pPr>
              <w:tabs>
                <w:tab w:val="left" w:pos="360"/>
              </w:tabs>
              <w:spacing w:line="240" w:lineRule="auto"/>
              <w:ind w:firstLine="0"/>
              <w:jc w:val="left"/>
              <w:rPr>
                <w:szCs w:val="24"/>
              </w:rPr>
            </w:pPr>
            <w:r w:rsidRPr="00EE2319">
              <w:rPr>
                <w:sz w:val="16"/>
                <w:szCs w:val="16"/>
              </w:rPr>
              <w:t>20. Security Classification</w:t>
            </w:r>
          </w:p>
          <w:p w14:paraId="01F26E2E" w14:textId="77777777" w:rsidR="00EB63F1" w:rsidRPr="00EE2319" w:rsidRDefault="00EB63F1" w:rsidP="00BF4E04">
            <w:pPr>
              <w:tabs>
                <w:tab w:val="left" w:pos="360"/>
              </w:tabs>
              <w:spacing w:line="240" w:lineRule="auto"/>
              <w:ind w:left="432" w:firstLine="0"/>
              <w:jc w:val="left"/>
              <w:rPr>
                <w:sz w:val="20"/>
              </w:rPr>
            </w:pPr>
            <w:r w:rsidRPr="00EE2319">
              <w:rPr>
                <w:sz w:val="20"/>
              </w:rPr>
              <w:t>(of this page)</w:t>
            </w:r>
          </w:p>
          <w:p w14:paraId="4C799634" w14:textId="77777777" w:rsidR="00EB63F1" w:rsidRPr="00EE2319" w:rsidRDefault="00EB63F1" w:rsidP="00BF4E04">
            <w:pPr>
              <w:tabs>
                <w:tab w:val="left" w:pos="360"/>
              </w:tabs>
              <w:spacing w:line="240" w:lineRule="auto"/>
              <w:ind w:left="432"/>
              <w:jc w:val="left"/>
              <w:rPr>
                <w:szCs w:val="24"/>
              </w:rPr>
            </w:pPr>
          </w:p>
          <w:p w14:paraId="6F842B45" w14:textId="3D2E7291"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3C7CF9DE" w14:textId="77777777" w:rsidR="00EB63F1" w:rsidRPr="00EE2319" w:rsidRDefault="00EB63F1" w:rsidP="00BF4E04">
            <w:pPr>
              <w:tabs>
                <w:tab w:val="left" w:pos="360"/>
              </w:tabs>
              <w:spacing w:line="240" w:lineRule="auto"/>
              <w:jc w:val="left"/>
              <w:rPr>
                <w:szCs w:val="24"/>
              </w:rPr>
            </w:pPr>
          </w:p>
        </w:tc>
        <w:tc>
          <w:tcPr>
            <w:tcW w:w="852" w:type="pct"/>
            <w:tcBorders>
              <w:top w:val="nil"/>
              <w:left w:val="single" w:sz="6" w:space="0" w:color="auto"/>
              <w:bottom w:val="single" w:sz="6" w:space="0" w:color="auto"/>
              <w:right w:val="single" w:sz="6" w:space="0" w:color="auto"/>
            </w:tcBorders>
          </w:tcPr>
          <w:p w14:paraId="218A809C" w14:textId="77777777" w:rsidR="00EB63F1" w:rsidRPr="00EE2319" w:rsidRDefault="00EB63F1" w:rsidP="00BF4E04">
            <w:pPr>
              <w:tabs>
                <w:tab w:val="left" w:pos="360"/>
              </w:tabs>
              <w:spacing w:line="240" w:lineRule="auto"/>
              <w:ind w:firstLine="0"/>
              <w:jc w:val="left"/>
              <w:rPr>
                <w:szCs w:val="24"/>
              </w:rPr>
            </w:pPr>
            <w:r w:rsidRPr="00EE2319">
              <w:rPr>
                <w:sz w:val="16"/>
                <w:szCs w:val="16"/>
              </w:rPr>
              <w:t>21. No. of Pages</w:t>
            </w:r>
          </w:p>
          <w:p w14:paraId="597494AC" w14:textId="77777777" w:rsidR="00EB63F1" w:rsidRPr="00EE2319" w:rsidRDefault="00EB63F1" w:rsidP="00BF4E04">
            <w:pPr>
              <w:tabs>
                <w:tab w:val="left" w:pos="360"/>
              </w:tabs>
              <w:spacing w:line="240" w:lineRule="auto"/>
              <w:jc w:val="left"/>
              <w:rPr>
                <w:szCs w:val="24"/>
              </w:rPr>
            </w:pPr>
          </w:p>
          <w:p w14:paraId="68786692" w14:textId="277EBFF4" w:rsidR="00EB63F1" w:rsidRPr="00EE2319" w:rsidRDefault="005421E4" w:rsidP="005421E4">
            <w:pPr>
              <w:tabs>
                <w:tab w:val="left" w:pos="360"/>
              </w:tabs>
              <w:spacing w:line="240" w:lineRule="auto"/>
              <w:ind w:firstLine="0"/>
              <w:jc w:val="left"/>
              <w:rPr>
                <w:sz w:val="20"/>
              </w:rPr>
            </w:pPr>
            <w:r w:rsidRPr="005421E4">
              <w:tab/>
              <w:t xml:space="preserve">  </w:t>
            </w:r>
            <w:r w:rsidR="00B84C3E">
              <w:fldChar w:fldCharType="begin"/>
            </w:r>
            <w:r w:rsidR="00B84C3E">
              <w:instrText xml:space="preserve"> NUMPAGES  \* Arabic  \* MERGEFORMAT </w:instrText>
            </w:r>
            <w:r w:rsidR="00B84C3E">
              <w:fldChar w:fldCharType="separate"/>
            </w:r>
            <w:r w:rsidR="005C2ABE" w:rsidRPr="005C2ABE">
              <w:rPr>
                <w:noProof/>
                <w:sz w:val="20"/>
              </w:rPr>
              <w:t>27</w:t>
            </w:r>
            <w:r w:rsidR="00B84C3E">
              <w:rPr>
                <w:noProof/>
                <w:sz w:val="20"/>
              </w:rPr>
              <w:fldChar w:fldCharType="end"/>
            </w:r>
          </w:p>
        </w:tc>
        <w:tc>
          <w:tcPr>
            <w:tcW w:w="880" w:type="pct"/>
            <w:gridSpan w:val="2"/>
            <w:tcBorders>
              <w:top w:val="nil"/>
              <w:left w:val="single" w:sz="6" w:space="0" w:color="auto"/>
              <w:bottom w:val="single" w:sz="6" w:space="0" w:color="auto"/>
              <w:right w:val="single" w:sz="6" w:space="0" w:color="auto"/>
            </w:tcBorders>
          </w:tcPr>
          <w:p w14:paraId="6E03D1F1" w14:textId="77777777" w:rsidR="00EB63F1" w:rsidRPr="00E611A4" w:rsidRDefault="00EB63F1" w:rsidP="00BF4E04">
            <w:pPr>
              <w:tabs>
                <w:tab w:val="left" w:pos="360"/>
              </w:tabs>
              <w:spacing w:line="240" w:lineRule="auto"/>
              <w:ind w:firstLine="0"/>
              <w:jc w:val="left"/>
              <w:rPr>
                <w:szCs w:val="24"/>
              </w:rPr>
            </w:pPr>
            <w:r w:rsidRPr="00E611A4">
              <w:rPr>
                <w:sz w:val="16"/>
                <w:szCs w:val="16"/>
              </w:rPr>
              <w:t>22. Price</w:t>
            </w:r>
          </w:p>
          <w:p w14:paraId="239A01C4" w14:textId="77777777" w:rsidR="00EB63F1" w:rsidRPr="00E611A4" w:rsidRDefault="00EB63F1" w:rsidP="00BF4E04">
            <w:pPr>
              <w:tabs>
                <w:tab w:val="left" w:pos="360"/>
              </w:tabs>
              <w:spacing w:line="240" w:lineRule="auto"/>
              <w:ind w:left="432"/>
              <w:jc w:val="left"/>
              <w:rPr>
                <w:szCs w:val="24"/>
              </w:rPr>
            </w:pPr>
          </w:p>
          <w:p w14:paraId="66426F61" w14:textId="0545226A" w:rsidR="00EB63F1" w:rsidRPr="00E611A4" w:rsidRDefault="00BF4E04" w:rsidP="00BF4E04">
            <w:pPr>
              <w:tabs>
                <w:tab w:val="left" w:pos="360"/>
              </w:tabs>
              <w:spacing w:line="240" w:lineRule="auto"/>
              <w:ind w:firstLine="0"/>
              <w:jc w:val="left"/>
              <w:rPr>
                <w:sz w:val="20"/>
              </w:rPr>
            </w:pPr>
            <w:r>
              <w:rPr>
                <w:sz w:val="20"/>
              </w:rPr>
              <w:tab/>
            </w:r>
            <w:r w:rsidR="00EE2319">
              <w:rPr>
                <w:sz w:val="20"/>
              </w:rPr>
              <w:t>NA</w:t>
            </w:r>
          </w:p>
        </w:tc>
        <w:tc>
          <w:tcPr>
            <w:tcW w:w="971" w:type="pct"/>
            <w:vMerge/>
            <w:tcBorders>
              <w:top w:val="nil"/>
              <w:left w:val="single" w:sz="6" w:space="0" w:color="auto"/>
              <w:bottom w:val="single" w:sz="6" w:space="0" w:color="auto"/>
              <w:right w:val="single" w:sz="6" w:space="0" w:color="auto"/>
            </w:tcBorders>
          </w:tcPr>
          <w:p w14:paraId="1DB7B867" w14:textId="77777777" w:rsidR="00EB63F1" w:rsidRPr="00E611A4" w:rsidRDefault="00EB63F1" w:rsidP="00EB63F1">
            <w:pPr>
              <w:tabs>
                <w:tab w:val="left" w:pos="360"/>
              </w:tabs>
              <w:spacing w:line="240" w:lineRule="auto"/>
              <w:rPr>
                <w:szCs w:val="24"/>
              </w:rPr>
            </w:pPr>
          </w:p>
        </w:tc>
      </w:tr>
    </w:tbl>
    <w:p w14:paraId="63F21930" w14:textId="77777777" w:rsidR="00EB63F1" w:rsidRPr="005421E4" w:rsidRDefault="00EB63F1" w:rsidP="005421E4">
      <w:pPr>
        <w:jc w:val="center"/>
        <w:rPr>
          <w:b/>
          <w:u w:val="single"/>
        </w:rPr>
      </w:pPr>
      <w:r w:rsidRPr="00E611A4">
        <w:rPr>
          <w:rFonts w:ascii="Arial" w:hAnsi="Arial" w:cs="Arial"/>
        </w:rPr>
        <w:br w:type="page"/>
      </w:r>
      <w:r w:rsidR="00192337" w:rsidRPr="005421E4">
        <w:rPr>
          <w:b/>
          <w:u w:val="single"/>
        </w:rPr>
        <w:lastRenderedPageBreak/>
        <w:t>TABLE OF CONTENTS</w:t>
      </w:r>
    </w:p>
    <w:p w14:paraId="64685324" w14:textId="77777777" w:rsidR="00B410D9" w:rsidRDefault="004D201E">
      <w:pPr>
        <w:pStyle w:val="TOC1"/>
        <w:tabs>
          <w:tab w:val="right" w:leader="dot" w:pos="9350"/>
        </w:tabs>
        <w:rPr>
          <w:rFonts w:asciiTheme="minorHAnsi" w:eastAsiaTheme="minorEastAsia" w:hAnsiTheme="minorHAnsi" w:cstheme="minorBidi"/>
          <w:noProof/>
          <w:sz w:val="22"/>
          <w:szCs w:val="22"/>
        </w:rPr>
      </w:pPr>
      <w:r w:rsidRPr="00E611A4">
        <w:fldChar w:fldCharType="begin"/>
      </w:r>
      <w:r w:rsidR="009D39D2" w:rsidRPr="00E611A4">
        <w:instrText xml:space="preserve"> TOC \o "1-1" \h \z \t "Heading 2,2,Heading 3,3,No Underline - UDOT Title,1" </w:instrText>
      </w:r>
      <w:r w:rsidRPr="00E611A4">
        <w:fldChar w:fldCharType="separate"/>
      </w:r>
      <w:hyperlink w:anchor="_Toc473036483" w:history="1">
        <w:r w:rsidR="00B410D9" w:rsidRPr="00AD0E06">
          <w:rPr>
            <w:rStyle w:val="Hyperlink"/>
            <w:noProof/>
          </w:rPr>
          <w:t>LIST OF FIGURES</w:t>
        </w:r>
        <w:r w:rsidR="00B410D9">
          <w:rPr>
            <w:noProof/>
            <w:webHidden/>
          </w:rPr>
          <w:tab/>
        </w:r>
        <w:r w:rsidR="00B410D9">
          <w:rPr>
            <w:noProof/>
            <w:webHidden/>
          </w:rPr>
          <w:fldChar w:fldCharType="begin"/>
        </w:r>
        <w:r w:rsidR="00B410D9">
          <w:rPr>
            <w:noProof/>
            <w:webHidden/>
          </w:rPr>
          <w:instrText xml:space="preserve"> PAGEREF _Toc473036483 \h </w:instrText>
        </w:r>
        <w:r w:rsidR="00B410D9">
          <w:rPr>
            <w:noProof/>
            <w:webHidden/>
          </w:rPr>
        </w:r>
        <w:r w:rsidR="00B410D9">
          <w:rPr>
            <w:noProof/>
            <w:webHidden/>
          </w:rPr>
          <w:fldChar w:fldCharType="separate"/>
        </w:r>
        <w:r w:rsidR="00B410D9">
          <w:rPr>
            <w:noProof/>
            <w:webHidden/>
          </w:rPr>
          <w:t>5</w:t>
        </w:r>
        <w:r w:rsidR="00B410D9">
          <w:rPr>
            <w:noProof/>
            <w:webHidden/>
          </w:rPr>
          <w:fldChar w:fldCharType="end"/>
        </w:r>
      </w:hyperlink>
    </w:p>
    <w:p w14:paraId="114A8624" w14:textId="77777777" w:rsidR="00B410D9" w:rsidRDefault="00B84C3E">
      <w:pPr>
        <w:pStyle w:val="TOC1"/>
        <w:tabs>
          <w:tab w:val="right" w:leader="dot" w:pos="9350"/>
        </w:tabs>
        <w:rPr>
          <w:rFonts w:asciiTheme="minorHAnsi" w:eastAsiaTheme="minorEastAsia" w:hAnsiTheme="minorHAnsi" w:cstheme="minorBidi"/>
          <w:noProof/>
          <w:sz w:val="22"/>
          <w:szCs w:val="22"/>
        </w:rPr>
      </w:pPr>
      <w:hyperlink w:anchor="_Toc473036484" w:history="1">
        <w:r w:rsidR="00B410D9" w:rsidRPr="00AD0E06">
          <w:rPr>
            <w:rStyle w:val="Hyperlink"/>
            <w:noProof/>
          </w:rPr>
          <w:t>UNIT CONVERSION FACTORS</w:t>
        </w:r>
        <w:r w:rsidR="00B410D9">
          <w:rPr>
            <w:noProof/>
            <w:webHidden/>
          </w:rPr>
          <w:tab/>
        </w:r>
        <w:r w:rsidR="00B410D9">
          <w:rPr>
            <w:noProof/>
            <w:webHidden/>
          </w:rPr>
          <w:fldChar w:fldCharType="begin"/>
        </w:r>
        <w:r w:rsidR="00B410D9">
          <w:rPr>
            <w:noProof/>
            <w:webHidden/>
          </w:rPr>
          <w:instrText xml:space="preserve"> PAGEREF _Toc473036484 \h </w:instrText>
        </w:r>
        <w:r w:rsidR="00B410D9">
          <w:rPr>
            <w:noProof/>
            <w:webHidden/>
          </w:rPr>
        </w:r>
        <w:r w:rsidR="00B410D9">
          <w:rPr>
            <w:noProof/>
            <w:webHidden/>
          </w:rPr>
          <w:fldChar w:fldCharType="separate"/>
        </w:r>
        <w:r w:rsidR="00B410D9">
          <w:rPr>
            <w:noProof/>
            <w:webHidden/>
          </w:rPr>
          <w:t>6</w:t>
        </w:r>
        <w:r w:rsidR="00B410D9">
          <w:rPr>
            <w:noProof/>
            <w:webHidden/>
          </w:rPr>
          <w:fldChar w:fldCharType="end"/>
        </w:r>
      </w:hyperlink>
    </w:p>
    <w:p w14:paraId="7308C26E" w14:textId="77777777" w:rsidR="00B410D9" w:rsidRDefault="00B84C3E">
      <w:pPr>
        <w:pStyle w:val="TOC1"/>
        <w:tabs>
          <w:tab w:val="right" w:leader="dot" w:pos="9350"/>
        </w:tabs>
        <w:rPr>
          <w:rFonts w:asciiTheme="minorHAnsi" w:eastAsiaTheme="minorEastAsia" w:hAnsiTheme="minorHAnsi" w:cstheme="minorBidi"/>
          <w:noProof/>
          <w:sz w:val="22"/>
          <w:szCs w:val="22"/>
        </w:rPr>
      </w:pPr>
      <w:hyperlink w:anchor="_Toc473036485" w:history="1">
        <w:r w:rsidR="00B410D9" w:rsidRPr="00AD0E06">
          <w:rPr>
            <w:rStyle w:val="Hyperlink"/>
            <w:noProof/>
          </w:rPr>
          <w:t>LIST OF ACRONYMS</w:t>
        </w:r>
        <w:r w:rsidR="00B410D9">
          <w:rPr>
            <w:noProof/>
            <w:webHidden/>
          </w:rPr>
          <w:tab/>
        </w:r>
        <w:r w:rsidR="00B410D9">
          <w:rPr>
            <w:noProof/>
            <w:webHidden/>
          </w:rPr>
          <w:fldChar w:fldCharType="begin"/>
        </w:r>
        <w:r w:rsidR="00B410D9">
          <w:rPr>
            <w:noProof/>
            <w:webHidden/>
          </w:rPr>
          <w:instrText xml:space="preserve"> PAGEREF _Toc473036485 \h </w:instrText>
        </w:r>
        <w:r w:rsidR="00B410D9">
          <w:rPr>
            <w:noProof/>
            <w:webHidden/>
          </w:rPr>
        </w:r>
        <w:r w:rsidR="00B410D9">
          <w:rPr>
            <w:noProof/>
            <w:webHidden/>
          </w:rPr>
          <w:fldChar w:fldCharType="separate"/>
        </w:r>
        <w:r w:rsidR="00B410D9">
          <w:rPr>
            <w:noProof/>
            <w:webHidden/>
          </w:rPr>
          <w:t>7</w:t>
        </w:r>
        <w:r w:rsidR="00B410D9">
          <w:rPr>
            <w:noProof/>
            <w:webHidden/>
          </w:rPr>
          <w:fldChar w:fldCharType="end"/>
        </w:r>
      </w:hyperlink>
    </w:p>
    <w:p w14:paraId="3217EE5F" w14:textId="77777777" w:rsidR="00B410D9" w:rsidRDefault="00B84C3E">
      <w:pPr>
        <w:pStyle w:val="TOC1"/>
        <w:tabs>
          <w:tab w:val="right" w:leader="dot" w:pos="9350"/>
        </w:tabs>
        <w:rPr>
          <w:rFonts w:asciiTheme="minorHAnsi" w:eastAsiaTheme="minorEastAsia" w:hAnsiTheme="minorHAnsi" w:cstheme="minorBidi"/>
          <w:noProof/>
          <w:sz w:val="22"/>
          <w:szCs w:val="22"/>
        </w:rPr>
      </w:pPr>
      <w:hyperlink w:anchor="_Toc473036486" w:history="1">
        <w:r w:rsidR="00B410D9" w:rsidRPr="00AD0E06">
          <w:rPr>
            <w:rStyle w:val="Hyperlink"/>
            <w:noProof/>
          </w:rPr>
          <w:t>EXECUTIVE SUMMARY</w:t>
        </w:r>
        <w:r w:rsidR="00B410D9">
          <w:rPr>
            <w:noProof/>
            <w:webHidden/>
          </w:rPr>
          <w:tab/>
        </w:r>
        <w:r w:rsidR="00B410D9">
          <w:rPr>
            <w:noProof/>
            <w:webHidden/>
          </w:rPr>
          <w:fldChar w:fldCharType="begin"/>
        </w:r>
        <w:r w:rsidR="00B410D9">
          <w:rPr>
            <w:noProof/>
            <w:webHidden/>
          </w:rPr>
          <w:instrText xml:space="preserve"> PAGEREF _Toc473036486 \h </w:instrText>
        </w:r>
        <w:r w:rsidR="00B410D9">
          <w:rPr>
            <w:noProof/>
            <w:webHidden/>
          </w:rPr>
        </w:r>
        <w:r w:rsidR="00B410D9">
          <w:rPr>
            <w:noProof/>
            <w:webHidden/>
          </w:rPr>
          <w:fldChar w:fldCharType="separate"/>
        </w:r>
        <w:r w:rsidR="00B410D9">
          <w:rPr>
            <w:noProof/>
            <w:webHidden/>
          </w:rPr>
          <w:t>9</w:t>
        </w:r>
        <w:r w:rsidR="00B410D9">
          <w:rPr>
            <w:noProof/>
            <w:webHidden/>
          </w:rPr>
          <w:fldChar w:fldCharType="end"/>
        </w:r>
      </w:hyperlink>
    </w:p>
    <w:p w14:paraId="5B208874" w14:textId="77777777" w:rsidR="00B410D9" w:rsidRDefault="00B84C3E">
      <w:pPr>
        <w:pStyle w:val="TOC1"/>
        <w:tabs>
          <w:tab w:val="right" w:leader="dot" w:pos="9350"/>
        </w:tabs>
        <w:rPr>
          <w:rFonts w:asciiTheme="minorHAnsi" w:eastAsiaTheme="minorEastAsia" w:hAnsiTheme="minorHAnsi" w:cstheme="minorBidi"/>
          <w:noProof/>
          <w:sz w:val="22"/>
          <w:szCs w:val="22"/>
        </w:rPr>
      </w:pPr>
      <w:hyperlink w:anchor="_Toc473036487" w:history="1">
        <w:r w:rsidR="00B410D9" w:rsidRPr="00AD0E06">
          <w:rPr>
            <w:rStyle w:val="Hyperlink"/>
            <w:noProof/>
          </w:rPr>
          <w:t>1.0 I</w:t>
        </w:r>
        <w:r w:rsidR="00B410D9" w:rsidRPr="00AD0E06">
          <w:rPr>
            <w:rStyle w:val="Hyperlink"/>
            <w:bCs/>
            <w:noProof/>
          </w:rPr>
          <w:t>NTRODUCTION</w:t>
        </w:r>
        <w:r w:rsidR="00B410D9">
          <w:rPr>
            <w:noProof/>
            <w:webHidden/>
          </w:rPr>
          <w:tab/>
        </w:r>
        <w:r w:rsidR="00B410D9">
          <w:rPr>
            <w:noProof/>
            <w:webHidden/>
          </w:rPr>
          <w:fldChar w:fldCharType="begin"/>
        </w:r>
        <w:r w:rsidR="00B410D9">
          <w:rPr>
            <w:noProof/>
            <w:webHidden/>
          </w:rPr>
          <w:instrText xml:space="preserve"> PAGEREF _Toc473036487 \h </w:instrText>
        </w:r>
        <w:r w:rsidR="00B410D9">
          <w:rPr>
            <w:noProof/>
            <w:webHidden/>
          </w:rPr>
        </w:r>
        <w:r w:rsidR="00B410D9">
          <w:rPr>
            <w:noProof/>
            <w:webHidden/>
          </w:rPr>
          <w:fldChar w:fldCharType="separate"/>
        </w:r>
        <w:r w:rsidR="00B410D9">
          <w:rPr>
            <w:noProof/>
            <w:webHidden/>
          </w:rPr>
          <w:t>10</w:t>
        </w:r>
        <w:r w:rsidR="00B410D9">
          <w:rPr>
            <w:noProof/>
            <w:webHidden/>
          </w:rPr>
          <w:fldChar w:fldCharType="end"/>
        </w:r>
      </w:hyperlink>
    </w:p>
    <w:p w14:paraId="0A1FB119" w14:textId="77777777" w:rsidR="00B410D9" w:rsidRDefault="00B84C3E">
      <w:pPr>
        <w:pStyle w:val="TOC2"/>
        <w:rPr>
          <w:rFonts w:asciiTheme="minorHAnsi" w:eastAsiaTheme="minorEastAsia" w:hAnsiTheme="minorHAnsi" w:cstheme="minorBidi"/>
          <w:noProof/>
          <w:sz w:val="22"/>
          <w:szCs w:val="22"/>
        </w:rPr>
      </w:pPr>
      <w:hyperlink w:anchor="_Toc473036488" w:history="1">
        <w:r w:rsidR="00B410D9" w:rsidRPr="00AD0E06">
          <w:rPr>
            <w:rStyle w:val="Hyperlink"/>
            <w:noProof/>
          </w:rPr>
          <w:t>1.1 Problem Statement</w:t>
        </w:r>
        <w:r w:rsidR="00B410D9">
          <w:rPr>
            <w:noProof/>
            <w:webHidden/>
          </w:rPr>
          <w:tab/>
        </w:r>
        <w:r w:rsidR="00B410D9">
          <w:rPr>
            <w:noProof/>
            <w:webHidden/>
          </w:rPr>
          <w:fldChar w:fldCharType="begin"/>
        </w:r>
        <w:r w:rsidR="00B410D9">
          <w:rPr>
            <w:noProof/>
            <w:webHidden/>
          </w:rPr>
          <w:instrText xml:space="preserve"> PAGEREF _Toc473036488 \h </w:instrText>
        </w:r>
        <w:r w:rsidR="00B410D9">
          <w:rPr>
            <w:noProof/>
            <w:webHidden/>
          </w:rPr>
        </w:r>
        <w:r w:rsidR="00B410D9">
          <w:rPr>
            <w:noProof/>
            <w:webHidden/>
          </w:rPr>
          <w:fldChar w:fldCharType="separate"/>
        </w:r>
        <w:r w:rsidR="00B410D9">
          <w:rPr>
            <w:noProof/>
            <w:webHidden/>
          </w:rPr>
          <w:t>10</w:t>
        </w:r>
        <w:r w:rsidR="00B410D9">
          <w:rPr>
            <w:noProof/>
            <w:webHidden/>
          </w:rPr>
          <w:fldChar w:fldCharType="end"/>
        </w:r>
      </w:hyperlink>
    </w:p>
    <w:p w14:paraId="7CD9AF38" w14:textId="77777777" w:rsidR="00B410D9" w:rsidRDefault="00B84C3E">
      <w:pPr>
        <w:pStyle w:val="TOC2"/>
        <w:rPr>
          <w:rFonts w:asciiTheme="minorHAnsi" w:eastAsiaTheme="minorEastAsia" w:hAnsiTheme="minorHAnsi" w:cstheme="minorBidi"/>
          <w:noProof/>
          <w:sz w:val="22"/>
          <w:szCs w:val="22"/>
        </w:rPr>
      </w:pPr>
      <w:hyperlink w:anchor="_Toc473036489" w:history="1">
        <w:r w:rsidR="00B410D9" w:rsidRPr="00AD0E06">
          <w:rPr>
            <w:rStyle w:val="Hyperlink"/>
            <w:noProof/>
          </w:rPr>
          <w:t>1.2 Objectives</w:t>
        </w:r>
        <w:r w:rsidR="00B410D9">
          <w:rPr>
            <w:noProof/>
            <w:webHidden/>
          </w:rPr>
          <w:tab/>
        </w:r>
        <w:r w:rsidR="00B410D9">
          <w:rPr>
            <w:noProof/>
            <w:webHidden/>
          </w:rPr>
          <w:fldChar w:fldCharType="begin"/>
        </w:r>
        <w:r w:rsidR="00B410D9">
          <w:rPr>
            <w:noProof/>
            <w:webHidden/>
          </w:rPr>
          <w:instrText xml:space="preserve"> PAGEREF _Toc473036489 \h </w:instrText>
        </w:r>
        <w:r w:rsidR="00B410D9">
          <w:rPr>
            <w:noProof/>
            <w:webHidden/>
          </w:rPr>
        </w:r>
        <w:r w:rsidR="00B410D9">
          <w:rPr>
            <w:noProof/>
            <w:webHidden/>
          </w:rPr>
          <w:fldChar w:fldCharType="separate"/>
        </w:r>
        <w:r w:rsidR="00B410D9">
          <w:rPr>
            <w:noProof/>
            <w:webHidden/>
          </w:rPr>
          <w:t>10</w:t>
        </w:r>
        <w:r w:rsidR="00B410D9">
          <w:rPr>
            <w:noProof/>
            <w:webHidden/>
          </w:rPr>
          <w:fldChar w:fldCharType="end"/>
        </w:r>
      </w:hyperlink>
    </w:p>
    <w:p w14:paraId="4623FED0" w14:textId="77777777" w:rsidR="00B410D9" w:rsidRDefault="00B84C3E">
      <w:pPr>
        <w:pStyle w:val="TOC2"/>
        <w:rPr>
          <w:rFonts w:asciiTheme="minorHAnsi" w:eastAsiaTheme="minorEastAsia" w:hAnsiTheme="minorHAnsi" w:cstheme="minorBidi"/>
          <w:noProof/>
          <w:sz w:val="22"/>
          <w:szCs w:val="22"/>
        </w:rPr>
      </w:pPr>
      <w:hyperlink w:anchor="_Toc473036490" w:history="1">
        <w:r w:rsidR="00B410D9" w:rsidRPr="00AD0E06">
          <w:rPr>
            <w:rStyle w:val="Hyperlink"/>
            <w:noProof/>
          </w:rPr>
          <w:t>1.3 Scope</w:t>
        </w:r>
        <w:r w:rsidR="00B410D9">
          <w:rPr>
            <w:noProof/>
            <w:webHidden/>
          </w:rPr>
          <w:tab/>
        </w:r>
        <w:r w:rsidR="00B410D9">
          <w:rPr>
            <w:noProof/>
            <w:webHidden/>
          </w:rPr>
          <w:fldChar w:fldCharType="begin"/>
        </w:r>
        <w:r w:rsidR="00B410D9">
          <w:rPr>
            <w:noProof/>
            <w:webHidden/>
          </w:rPr>
          <w:instrText xml:space="preserve"> PAGEREF _Toc473036490 \h </w:instrText>
        </w:r>
        <w:r w:rsidR="00B410D9">
          <w:rPr>
            <w:noProof/>
            <w:webHidden/>
          </w:rPr>
        </w:r>
        <w:r w:rsidR="00B410D9">
          <w:rPr>
            <w:noProof/>
            <w:webHidden/>
          </w:rPr>
          <w:fldChar w:fldCharType="separate"/>
        </w:r>
        <w:r w:rsidR="00B410D9">
          <w:rPr>
            <w:noProof/>
            <w:webHidden/>
          </w:rPr>
          <w:t>10</w:t>
        </w:r>
        <w:r w:rsidR="00B410D9">
          <w:rPr>
            <w:noProof/>
            <w:webHidden/>
          </w:rPr>
          <w:fldChar w:fldCharType="end"/>
        </w:r>
      </w:hyperlink>
    </w:p>
    <w:p w14:paraId="6DF35AFC" w14:textId="77777777" w:rsidR="00B410D9" w:rsidRDefault="00B84C3E">
      <w:pPr>
        <w:pStyle w:val="TOC1"/>
        <w:tabs>
          <w:tab w:val="right" w:leader="dot" w:pos="9350"/>
        </w:tabs>
        <w:rPr>
          <w:rFonts w:asciiTheme="minorHAnsi" w:eastAsiaTheme="minorEastAsia" w:hAnsiTheme="minorHAnsi" w:cstheme="minorBidi"/>
          <w:noProof/>
          <w:sz w:val="22"/>
          <w:szCs w:val="22"/>
        </w:rPr>
      </w:pPr>
      <w:hyperlink w:anchor="_Toc473036491" w:history="1">
        <w:r w:rsidR="00B410D9" w:rsidRPr="00AD0E06">
          <w:rPr>
            <w:rStyle w:val="Hyperlink"/>
            <w:noProof/>
          </w:rPr>
          <w:t>2.0</w:t>
        </w:r>
        <w:r w:rsidR="00B410D9" w:rsidRPr="00AD0E06">
          <w:rPr>
            <w:rStyle w:val="Hyperlink"/>
            <w:i/>
            <w:noProof/>
          </w:rPr>
          <w:t xml:space="preserve"> CPTLiquefY</w:t>
        </w:r>
        <w:r w:rsidR="00B410D9" w:rsidRPr="00AD0E06">
          <w:rPr>
            <w:rStyle w:val="Hyperlink"/>
            <w:noProof/>
          </w:rPr>
          <w:t xml:space="preserve"> DEVELOPMENT UPDATE</w:t>
        </w:r>
        <w:r w:rsidR="00B410D9">
          <w:rPr>
            <w:noProof/>
            <w:webHidden/>
          </w:rPr>
          <w:tab/>
        </w:r>
        <w:r w:rsidR="00B410D9">
          <w:rPr>
            <w:noProof/>
            <w:webHidden/>
          </w:rPr>
          <w:fldChar w:fldCharType="begin"/>
        </w:r>
        <w:r w:rsidR="00B410D9">
          <w:rPr>
            <w:noProof/>
            <w:webHidden/>
          </w:rPr>
          <w:instrText xml:space="preserve"> PAGEREF _Toc473036491 \h </w:instrText>
        </w:r>
        <w:r w:rsidR="00B410D9">
          <w:rPr>
            <w:noProof/>
            <w:webHidden/>
          </w:rPr>
        </w:r>
        <w:r w:rsidR="00B410D9">
          <w:rPr>
            <w:noProof/>
            <w:webHidden/>
          </w:rPr>
          <w:fldChar w:fldCharType="separate"/>
        </w:r>
        <w:r w:rsidR="00B410D9">
          <w:rPr>
            <w:noProof/>
            <w:webHidden/>
          </w:rPr>
          <w:t>11</w:t>
        </w:r>
        <w:r w:rsidR="00B410D9">
          <w:rPr>
            <w:noProof/>
            <w:webHidden/>
          </w:rPr>
          <w:fldChar w:fldCharType="end"/>
        </w:r>
      </w:hyperlink>
    </w:p>
    <w:p w14:paraId="2BF66531" w14:textId="77777777" w:rsidR="00B410D9" w:rsidRDefault="00B84C3E">
      <w:pPr>
        <w:pStyle w:val="TOC2"/>
        <w:rPr>
          <w:rFonts w:asciiTheme="minorHAnsi" w:eastAsiaTheme="minorEastAsia" w:hAnsiTheme="minorHAnsi" w:cstheme="minorBidi"/>
          <w:noProof/>
          <w:sz w:val="22"/>
          <w:szCs w:val="22"/>
        </w:rPr>
      </w:pPr>
      <w:hyperlink w:anchor="_Toc473036492" w:history="1">
        <w:r w:rsidR="00B410D9" w:rsidRPr="00AD0E06">
          <w:rPr>
            <w:rStyle w:val="Hyperlink"/>
            <w:noProof/>
          </w:rPr>
          <w:t>2.1 Overview</w:t>
        </w:r>
        <w:r w:rsidR="00B410D9">
          <w:rPr>
            <w:noProof/>
            <w:webHidden/>
          </w:rPr>
          <w:tab/>
        </w:r>
        <w:r w:rsidR="00B410D9">
          <w:rPr>
            <w:noProof/>
            <w:webHidden/>
          </w:rPr>
          <w:fldChar w:fldCharType="begin"/>
        </w:r>
        <w:r w:rsidR="00B410D9">
          <w:rPr>
            <w:noProof/>
            <w:webHidden/>
          </w:rPr>
          <w:instrText xml:space="preserve"> PAGEREF _Toc473036492 \h </w:instrText>
        </w:r>
        <w:r w:rsidR="00B410D9">
          <w:rPr>
            <w:noProof/>
            <w:webHidden/>
          </w:rPr>
        </w:r>
        <w:r w:rsidR="00B410D9">
          <w:rPr>
            <w:noProof/>
            <w:webHidden/>
          </w:rPr>
          <w:fldChar w:fldCharType="separate"/>
        </w:r>
        <w:r w:rsidR="00B410D9">
          <w:rPr>
            <w:noProof/>
            <w:webHidden/>
          </w:rPr>
          <w:t>11</w:t>
        </w:r>
        <w:r w:rsidR="00B410D9">
          <w:rPr>
            <w:noProof/>
            <w:webHidden/>
          </w:rPr>
          <w:fldChar w:fldCharType="end"/>
        </w:r>
      </w:hyperlink>
    </w:p>
    <w:p w14:paraId="2694D528" w14:textId="77777777" w:rsidR="00B410D9" w:rsidRDefault="00B84C3E">
      <w:pPr>
        <w:pStyle w:val="TOC2"/>
        <w:rPr>
          <w:rFonts w:asciiTheme="minorHAnsi" w:eastAsiaTheme="minorEastAsia" w:hAnsiTheme="minorHAnsi" w:cstheme="minorBidi"/>
          <w:noProof/>
          <w:sz w:val="22"/>
          <w:szCs w:val="22"/>
        </w:rPr>
      </w:pPr>
      <w:hyperlink w:anchor="_Toc473036493" w:history="1">
        <w:r w:rsidR="00B410D9" w:rsidRPr="00AD0E06">
          <w:rPr>
            <w:rStyle w:val="Hyperlink"/>
            <w:noProof/>
          </w:rPr>
          <w:t xml:space="preserve">2.2 Recent Progress in </w:t>
        </w:r>
        <w:r w:rsidR="00B410D9" w:rsidRPr="00AD0E06">
          <w:rPr>
            <w:rStyle w:val="Hyperlink"/>
            <w:i/>
            <w:noProof/>
          </w:rPr>
          <w:t>CPTLiquefY</w:t>
        </w:r>
        <w:r w:rsidR="00B410D9">
          <w:rPr>
            <w:noProof/>
            <w:webHidden/>
          </w:rPr>
          <w:tab/>
        </w:r>
        <w:r w:rsidR="00B410D9">
          <w:rPr>
            <w:noProof/>
            <w:webHidden/>
          </w:rPr>
          <w:fldChar w:fldCharType="begin"/>
        </w:r>
        <w:r w:rsidR="00B410D9">
          <w:rPr>
            <w:noProof/>
            <w:webHidden/>
          </w:rPr>
          <w:instrText xml:space="preserve"> PAGEREF _Toc473036493 \h </w:instrText>
        </w:r>
        <w:r w:rsidR="00B410D9">
          <w:rPr>
            <w:noProof/>
            <w:webHidden/>
          </w:rPr>
        </w:r>
        <w:r w:rsidR="00B410D9">
          <w:rPr>
            <w:noProof/>
            <w:webHidden/>
          </w:rPr>
          <w:fldChar w:fldCharType="separate"/>
        </w:r>
        <w:r w:rsidR="00B410D9">
          <w:rPr>
            <w:noProof/>
            <w:webHidden/>
          </w:rPr>
          <w:t>11</w:t>
        </w:r>
        <w:r w:rsidR="00B410D9">
          <w:rPr>
            <w:noProof/>
            <w:webHidden/>
          </w:rPr>
          <w:fldChar w:fldCharType="end"/>
        </w:r>
      </w:hyperlink>
    </w:p>
    <w:p w14:paraId="36C21688" w14:textId="77777777" w:rsidR="00B410D9" w:rsidRDefault="00B84C3E">
      <w:pPr>
        <w:pStyle w:val="TOC3"/>
        <w:tabs>
          <w:tab w:val="right" w:leader="dot" w:pos="9350"/>
        </w:tabs>
        <w:rPr>
          <w:rFonts w:asciiTheme="minorHAnsi" w:eastAsiaTheme="minorEastAsia" w:hAnsiTheme="minorHAnsi" w:cstheme="minorBidi"/>
          <w:noProof/>
          <w:sz w:val="22"/>
          <w:szCs w:val="22"/>
        </w:rPr>
      </w:pPr>
      <w:hyperlink w:anchor="_Toc473036494" w:history="1">
        <w:r w:rsidR="00B410D9" w:rsidRPr="00AD0E06">
          <w:rPr>
            <w:rStyle w:val="Hyperlink"/>
            <w:noProof/>
          </w:rPr>
          <w:t>2.2.1 Full Performance-Based Analysis of Liquefaction Triggering</w:t>
        </w:r>
        <w:r w:rsidR="00B410D9">
          <w:rPr>
            <w:noProof/>
            <w:webHidden/>
          </w:rPr>
          <w:tab/>
        </w:r>
        <w:r w:rsidR="00B410D9">
          <w:rPr>
            <w:noProof/>
            <w:webHidden/>
          </w:rPr>
          <w:fldChar w:fldCharType="begin"/>
        </w:r>
        <w:r w:rsidR="00B410D9">
          <w:rPr>
            <w:noProof/>
            <w:webHidden/>
          </w:rPr>
          <w:instrText xml:space="preserve"> PAGEREF _Toc473036494 \h </w:instrText>
        </w:r>
        <w:r w:rsidR="00B410D9">
          <w:rPr>
            <w:noProof/>
            <w:webHidden/>
          </w:rPr>
        </w:r>
        <w:r w:rsidR="00B410D9">
          <w:rPr>
            <w:noProof/>
            <w:webHidden/>
          </w:rPr>
          <w:fldChar w:fldCharType="separate"/>
        </w:r>
        <w:r w:rsidR="00B410D9">
          <w:rPr>
            <w:noProof/>
            <w:webHidden/>
          </w:rPr>
          <w:t>11</w:t>
        </w:r>
        <w:r w:rsidR="00B410D9">
          <w:rPr>
            <w:noProof/>
            <w:webHidden/>
          </w:rPr>
          <w:fldChar w:fldCharType="end"/>
        </w:r>
      </w:hyperlink>
    </w:p>
    <w:p w14:paraId="4EE71F52" w14:textId="77777777" w:rsidR="00B410D9" w:rsidRDefault="00B84C3E">
      <w:pPr>
        <w:pStyle w:val="TOC3"/>
        <w:tabs>
          <w:tab w:val="right" w:leader="dot" w:pos="9350"/>
        </w:tabs>
        <w:rPr>
          <w:rFonts w:asciiTheme="minorHAnsi" w:eastAsiaTheme="minorEastAsia" w:hAnsiTheme="minorHAnsi" w:cstheme="minorBidi"/>
          <w:noProof/>
          <w:sz w:val="22"/>
          <w:szCs w:val="22"/>
        </w:rPr>
      </w:pPr>
      <w:hyperlink w:anchor="_Toc473036495" w:history="1">
        <w:r w:rsidR="00B410D9" w:rsidRPr="00AD0E06">
          <w:rPr>
            <w:rStyle w:val="Hyperlink"/>
            <w:noProof/>
          </w:rPr>
          <w:t>2.2.2 Liquefaction Triggering Results Tab</w:t>
        </w:r>
        <w:r w:rsidR="00B410D9">
          <w:rPr>
            <w:noProof/>
            <w:webHidden/>
          </w:rPr>
          <w:tab/>
        </w:r>
        <w:r w:rsidR="00B410D9">
          <w:rPr>
            <w:noProof/>
            <w:webHidden/>
          </w:rPr>
          <w:fldChar w:fldCharType="begin"/>
        </w:r>
        <w:r w:rsidR="00B410D9">
          <w:rPr>
            <w:noProof/>
            <w:webHidden/>
          </w:rPr>
          <w:instrText xml:space="preserve"> PAGEREF _Toc473036495 \h </w:instrText>
        </w:r>
        <w:r w:rsidR="00B410D9">
          <w:rPr>
            <w:noProof/>
            <w:webHidden/>
          </w:rPr>
        </w:r>
        <w:r w:rsidR="00B410D9">
          <w:rPr>
            <w:noProof/>
            <w:webHidden/>
          </w:rPr>
          <w:fldChar w:fldCharType="separate"/>
        </w:r>
        <w:r w:rsidR="00B410D9">
          <w:rPr>
            <w:noProof/>
            <w:webHidden/>
          </w:rPr>
          <w:t>12</w:t>
        </w:r>
        <w:r w:rsidR="00B410D9">
          <w:rPr>
            <w:noProof/>
            <w:webHidden/>
          </w:rPr>
          <w:fldChar w:fldCharType="end"/>
        </w:r>
      </w:hyperlink>
    </w:p>
    <w:p w14:paraId="13A9644F" w14:textId="77777777" w:rsidR="00B410D9" w:rsidRDefault="00B84C3E">
      <w:pPr>
        <w:pStyle w:val="TOC3"/>
        <w:tabs>
          <w:tab w:val="right" w:leader="dot" w:pos="9350"/>
        </w:tabs>
        <w:rPr>
          <w:rFonts w:asciiTheme="minorHAnsi" w:eastAsiaTheme="minorEastAsia" w:hAnsiTheme="minorHAnsi" w:cstheme="minorBidi"/>
          <w:noProof/>
          <w:sz w:val="22"/>
          <w:szCs w:val="22"/>
        </w:rPr>
      </w:pPr>
      <w:hyperlink w:anchor="_Toc473036496" w:history="1">
        <w:r w:rsidR="00B410D9" w:rsidRPr="00AD0E06">
          <w:rPr>
            <w:rStyle w:val="Hyperlink"/>
            <w:noProof/>
          </w:rPr>
          <w:t>2.2.3 Settlement Results Tab</w:t>
        </w:r>
        <w:r w:rsidR="00B410D9">
          <w:rPr>
            <w:noProof/>
            <w:webHidden/>
          </w:rPr>
          <w:tab/>
        </w:r>
        <w:r w:rsidR="00B410D9">
          <w:rPr>
            <w:noProof/>
            <w:webHidden/>
          </w:rPr>
          <w:fldChar w:fldCharType="begin"/>
        </w:r>
        <w:r w:rsidR="00B410D9">
          <w:rPr>
            <w:noProof/>
            <w:webHidden/>
          </w:rPr>
          <w:instrText xml:space="preserve"> PAGEREF _Toc473036496 \h </w:instrText>
        </w:r>
        <w:r w:rsidR="00B410D9">
          <w:rPr>
            <w:noProof/>
            <w:webHidden/>
          </w:rPr>
        </w:r>
        <w:r w:rsidR="00B410D9">
          <w:rPr>
            <w:noProof/>
            <w:webHidden/>
          </w:rPr>
          <w:fldChar w:fldCharType="separate"/>
        </w:r>
        <w:r w:rsidR="00B410D9">
          <w:rPr>
            <w:noProof/>
            <w:webHidden/>
          </w:rPr>
          <w:t>14</w:t>
        </w:r>
        <w:r w:rsidR="00B410D9">
          <w:rPr>
            <w:noProof/>
            <w:webHidden/>
          </w:rPr>
          <w:fldChar w:fldCharType="end"/>
        </w:r>
      </w:hyperlink>
    </w:p>
    <w:p w14:paraId="6479E42B" w14:textId="77777777" w:rsidR="00B410D9" w:rsidRDefault="00B84C3E">
      <w:pPr>
        <w:pStyle w:val="TOC3"/>
        <w:tabs>
          <w:tab w:val="right" w:leader="dot" w:pos="9350"/>
        </w:tabs>
        <w:rPr>
          <w:rFonts w:asciiTheme="minorHAnsi" w:eastAsiaTheme="minorEastAsia" w:hAnsiTheme="minorHAnsi" w:cstheme="minorBidi"/>
          <w:noProof/>
          <w:sz w:val="22"/>
          <w:szCs w:val="22"/>
        </w:rPr>
      </w:pPr>
      <w:hyperlink w:anchor="_Toc473036497" w:history="1">
        <w:r w:rsidR="00B410D9" w:rsidRPr="00AD0E06">
          <w:rPr>
            <w:rStyle w:val="Hyperlink"/>
            <w:noProof/>
          </w:rPr>
          <w:t>2.2.4 Lateral Spread Results Tab</w:t>
        </w:r>
        <w:r w:rsidR="00B410D9">
          <w:rPr>
            <w:noProof/>
            <w:webHidden/>
          </w:rPr>
          <w:tab/>
        </w:r>
        <w:r w:rsidR="00B410D9">
          <w:rPr>
            <w:noProof/>
            <w:webHidden/>
          </w:rPr>
          <w:fldChar w:fldCharType="begin"/>
        </w:r>
        <w:r w:rsidR="00B410D9">
          <w:rPr>
            <w:noProof/>
            <w:webHidden/>
          </w:rPr>
          <w:instrText xml:space="preserve"> PAGEREF _Toc473036497 \h </w:instrText>
        </w:r>
        <w:r w:rsidR="00B410D9">
          <w:rPr>
            <w:noProof/>
            <w:webHidden/>
          </w:rPr>
        </w:r>
        <w:r w:rsidR="00B410D9">
          <w:rPr>
            <w:noProof/>
            <w:webHidden/>
          </w:rPr>
          <w:fldChar w:fldCharType="separate"/>
        </w:r>
        <w:r w:rsidR="00B410D9">
          <w:rPr>
            <w:noProof/>
            <w:webHidden/>
          </w:rPr>
          <w:t>17</w:t>
        </w:r>
        <w:r w:rsidR="00B410D9">
          <w:rPr>
            <w:noProof/>
            <w:webHidden/>
          </w:rPr>
          <w:fldChar w:fldCharType="end"/>
        </w:r>
      </w:hyperlink>
    </w:p>
    <w:p w14:paraId="33332BAD" w14:textId="77777777" w:rsidR="00B410D9" w:rsidRDefault="00B84C3E">
      <w:pPr>
        <w:pStyle w:val="TOC2"/>
        <w:rPr>
          <w:rFonts w:asciiTheme="minorHAnsi" w:eastAsiaTheme="minorEastAsia" w:hAnsiTheme="minorHAnsi" w:cstheme="minorBidi"/>
          <w:noProof/>
          <w:sz w:val="22"/>
          <w:szCs w:val="22"/>
        </w:rPr>
      </w:pPr>
      <w:hyperlink w:anchor="_Toc473036498" w:history="1">
        <w:r w:rsidR="00B410D9" w:rsidRPr="00AD0E06">
          <w:rPr>
            <w:rStyle w:val="Hyperlink"/>
            <w:noProof/>
          </w:rPr>
          <w:t>2.3 Inclusion of new USGS deaggregation tool</w:t>
        </w:r>
        <w:r w:rsidR="00B410D9">
          <w:rPr>
            <w:noProof/>
            <w:webHidden/>
          </w:rPr>
          <w:tab/>
        </w:r>
        <w:r w:rsidR="00B410D9">
          <w:rPr>
            <w:noProof/>
            <w:webHidden/>
          </w:rPr>
          <w:fldChar w:fldCharType="begin"/>
        </w:r>
        <w:r w:rsidR="00B410D9">
          <w:rPr>
            <w:noProof/>
            <w:webHidden/>
          </w:rPr>
          <w:instrText xml:space="preserve"> PAGEREF _Toc473036498 \h </w:instrText>
        </w:r>
        <w:r w:rsidR="00B410D9">
          <w:rPr>
            <w:noProof/>
            <w:webHidden/>
          </w:rPr>
        </w:r>
        <w:r w:rsidR="00B410D9">
          <w:rPr>
            <w:noProof/>
            <w:webHidden/>
          </w:rPr>
          <w:fldChar w:fldCharType="separate"/>
        </w:r>
        <w:r w:rsidR="00B410D9">
          <w:rPr>
            <w:noProof/>
            <w:webHidden/>
          </w:rPr>
          <w:t>18</w:t>
        </w:r>
        <w:r w:rsidR="00B410D9">
          <w:rPr>
            <w:noProof/>
            <w:webHidden/>
          </w:rPr>
          <w:fldChar w:fldCharType="end"/>
        </w:r>
      </w:hyperlink>
    </w:p>
    <w:p w14:paraId="4D1F4E75" w14:textId="77777777" w:rsidR="00B410D9" w:rsidRDefault="00B84C3E">
      <w:pPr>
        <w:pStyle w:val="TOC3"/>
        <w:tabs>
          <w:tab w:val="right" w:leader="dot" w:pos="9350"/>
        </w:tabs>
        <w:rPr>
          <w:rFonts w:asciiTheme="minorHAnsi" w:eastAsiaTheme="minorEastAsia" w:hAnsiTheme="minorHAnsi" w:cstheme="minorBidi"/>
          <w:noProof/>
          <w:sz w:val="22"/>
          <w:szCs w:val="22"/>
        </w:rPr>
      </w:pPr>
      <w:hyperlink w:anchor="_Toc473036499" w:history="1">
        <w:r w:rsidR="00B410D9" w:rsidRPr="00AD0E06">
          <w:rPr>
            <w:rStyle w:val="Hyperlink"/>
            <w:noProof/>
          </w:rPr>
          <w:t>2.3.1 USGS Offline Deaggregation tool (NSHMP-haz)</w:t>
        </w:r>
        <w:r w:rsidR="00B410D9">
          <w:rPr>
            <w:noProof/>
            <w:webHidden/>
          </w:rPr>
          <w:tab/>
        </w:r>
        <w:r w:rsidR="00B410D9">
          <w:rPr>
            <w:noProof/>
            <w:webHidden/>
          </w:rPr>
          <w:fldChar w:fldCharType="begin"/>
        </w:r>
        <w:r w:rsidR="00B410D9">
          <w:rPr>
            <w:noProof/>
            <w:webHidden/>
          </w:rPr>
          <w:instrText xml:space="preserve"> PAGEREF _Toc473036499 \h </w:instrText>
        </w:r>
        <w:r w:rsidR="00B410D9">
          <w:rPr>
            <w:noProof/>
            <w:webHidden/>
          </w:rPr>
        </w:r>
        <w:r w:rsidR="00B410D9">
          <w:rPr>
            <w:noProof/>
            <w:webHidden/>
          </w:rPr>
          <w:fldChar w:fldCharType="separate"/>
        </w:r>
        <w:r w:rsidR="00B410D9">
          <w:rPr>
            <w:noProof/>
            <w:webHidden/>
          </w:rPr>
          <w:t>18</w:t>
        </w:r>
        <w:r w:rsidR="00B410D9">
          <w:rPr>
            <w:noProof/>
            <w:webHidden/>
          </w:rPr>
          <w:fldChar w:fldCharType="end"/>
        </w:r>
      </w:hyperlink>
    </w:p>
    <w:p w14:paraId="4511CAB3" w14:textId="77777777" w:rsidR="00B410D9" w:rsidRDefault="00B84C3E">
      <w:pPr>
        <w:pStyle w:val="TOC3"/>
        <w:tabs>
          <w:tab w:val="right" w:leader="dot" w:pos="9350"/>
        </w:tabs>
        <w:rPr>
          <w:rFonts w:asciiTheme="minorHAnsi" w:eastAsiaTheme="minorEastAsia" w:hAnsiTheme="minorHAnsi" w:cstheme="minorBidi"/>
          <w:noProof/>
          <w:sz w:val="22"/>
          <w:szCs w:val="22"/>
        </w:rPr>
      </w:pPr>
      <w:hyperlink w:anchor="_Toc473036500" w:history="1">
        <w:r w:rsidR="00B410D9" w:rsidRPr="00AD0E06">
          <w:rPr>
            <w:rStyle w:val="Hyperlink"/>
            <w:noProof/>
          </w:rPr>
          <w:t>2.3.2 USGS Deaggregation Model 2008</w:t>
        </w:r>
        <w:r w:rsidR="00B410D9">
          <w:rPr>
            <w:noProof/>
            <w:webHidden/>
          </w:rPr>
          <w:tab/>
        </w:r>
        <w:r w:rsidR="00B410D9">
          <w:rPr>
            <w:noProof/>
            <w:webHidden/>
          </w:rPr>
          <w:fldChar w:fldCharType="begin"/>
        </w:r>
        <w:r w:rsidR="00B410D9">
          <w:rPr>
            <w:noProof/>
            <w:webHidden/>
          </w:rPr>
          <w:instrText xml:space="preserve"> PAGEREF _Toc473036500 \h </w:instrText>
        </w:r>
        <w:r w:rsidR="00B410D9">
          <w:rPr>
            <w:noProof/>
            <w:webHidden/>
          </w:rPr>
        </w:r>
        <w:r w:rsidR="00B410D9">
          <w:rPr>
            <w:noProof/>
            <w:webHidden/>
          </w:rPr>
          <w:fldChar w:fldCharType="separate"/>
        </w:r>
        <w:r w:rsidR="00B410D9">
          <w:rPr>
            <w:noProof/>
            <w:webHidden/>
          </w:rPr>
          <w:t>23</w:t>
        </w:r>
        <w:r w:rsidR="00B410D9">
          <w:rPr>
            <w:noProof/>
            <w:webHidden/>
          </w:rPr>
          <w:fldChar w:fldCharType="end"/>
        </w:r>
      </w:hyperlink>
    </w:p>
    <w:p w14:paraId="569A19F4" w14:textId="77777777" w:rsidR="00B410D9" w:rsidRDefault="00B84C3E">
      <w:pPr>
        <w:pStyle w:val="TOC3"/>
        <w:tabs>
          <w:tab w:val="right" w:leader="dot" w:pos="9350"/>
        </w:tabs>
        <w:rPr>
          <w:rFonts w:asciiTheme="minorHAnsi" w:eastAsiaTheme="minorEastAsia" w:hAnsiTheme="minorHAnsi" w:cstheme="minorBidi"/>
          <w:noProof/>
          <w:sz w:val="22"/>
          <w:szCs w:val="22"/>
        </w:rPr>
      </w:pPr>
      <w:hyperlink w:anchor="_Toc473036501" w:history="1">
        <w:r w:rsidR="00B410D9" w:rsidRPr="00AD0E06">
          <w:rPr>
            <w:rStyle w:val="Hyperlink"/>
            <w:noProof/>
          </w:rPr>
          <w:t>2.3.3 USGS Deaggregation Model 2014</w:t>
        </w:r>
        <w:r w:rsidR="00B410D9">
          <w:rPr>
            <w:noProof/>
            <w:webHidden/>
          </w:rPr>
          <w:tab/>
        </w:r>
        <w:r w:rsidR="00B410D9">
          <w:rPr>
            <w:noProof/>
            <w:webHidden/>
          </w:rPr>
          <w:fldChar w:fldCharType="begin"/>
        </w:r>
        <w:r w:rsidR="00B410D9">
          <w:rPr>
            <w:noProof/>
            <w:webHidden/>
          </w:rPr>
          <w:instrText xml:space="preserve"> PAGEREF _Toc473036501 \h </w:instrText>
        </w:r>
        <w:r w:rsidR="00B410D9">
          <w:rPr>
            <w:noProof/>
            <w:webHidden/>
          </w:rPr>
        </w:r>
        <w:r w:rsidR="00B410D9">
          <w:rPr>
            <w:noProof/>
            <w:webHidden/>
          </w:rPr>
          <w:fldChar w:fldCharType="separate"/>
        </w:r>
        <w:r w:rsidR="00B410D9">
          <w:rPr>
            <w:noProof/>
            <w:webHidden/>
          </w:rPr>
          <w:t>24</w:t>
        </w:r>
        <w:r w:rsidR="00B410D9">
          <w:rPr>
            <w:noProof/>
            <w:webHidden/>
          </w:rPr>
          <w:fldChar w:fldCharType="end"/>
        </w:r>
      </w:hyperlink>
    </w:p>
    <w:p w14:paraId="70E2992D" w14:textId="77777777" w:rsidR="00B410D9" w:rsidRDefault="00B84C3E">
      <w:pPr>
        <w:pStyle w:val="TOC2"/>
        <w:rPr>
          <w:rFonts w:asciiTheme="minorHAnsi" w:eastAsiaTheme="minorEastAsia" w:hAnsiTheme="minorHAnsi" w:cstheme="minorBidi"/>
          <w:noProof/>
          <w:sz w:val="22"/>
          <w:szCs w:val="22"/>
        </w:rPr>
      </w:pPr>
      <w:hyperlink w:anchor="_Toc473036502" w:history="1">
        <w:r w:rsidR="00B410D9" w:rsidRPr="00AD0E06">
          <w:rPr>
            <w:rStyle w:val="Hyperlink"/>
            <w:noProof/>
          </w:rPr>
          <w:t xml:space="preserve">2.4 Future work on </w:t>
        </w:r>
        <w:r w:rsidR="00B410D9" w:rsidRPr="00AD0E06">
          <w:rPr>
            <w:rStyle w:val="Hyperlink"/>
            <w:i/>
            <w:noProof/>
          </w:rPr>
          <w:t>CPTLiquefY</w:t>
        </w:r>
        <w:r w:rsidR="00B410D9" w:rsidRPr="00AD0E06">
          <w:rPr>
            <w:rStyle w:val="Hyperlink"/>
            <w:noProof/>
          </w:rPr>
          <w:t xml:space="preserve"> </w:t>
        </w:r>
        <w:r w:rsidR="00B410D9">
          <w:rPr>
            <w:noProof/>
            <w:webHidden/>
          </w:rPr>
          <w:tab/>
        </w:r>
        <w:r w:rsidR="00B410D9">
          <w:rPr>
            <w:noProof/>
            <w:webHidden/>
          </w:rPr>
          <w:fldChar w:fldCharType="begin"/>
        </w:r>
        <w:r w:rsidR="00B410D9">
          <w:rPr>
            <w:noProof/>
            <w:webHidden/>
          </w:rPr>
          <w:instrText xml:space="preserve"> PAGEREF _Toc473036502 \h </w:instrText>
        </w:r>
        <w:r w:rsidR="00B410D9">
          <w:rPr>
            <w:noProof/>
            <w:webHidden/>
          </w:rPr>
        </w:r>
        <w:r w:rsidR="00B410D9">
          <w:rPr>
            <w:noProof/>
            <w:webHidden/>
          </w:rPr>
          <w:fldChar w:fldCharType="separate"/>
        </w:r>
        <w:r w:rsidR="00B410D9">
          <w:rPr>
            <w:noProof/>
            <w:webHidden/>
          </w:rPr>
          <w:t>24</w:t>
        </w:r>
        <w:r w:rsidR="00B410D9">
          <w:rPr>
            <w:noProof/>
            <w:webHidden/>
          </w:rPr>
          <w:fldChar w:fldCharType="end"/>
        </w:r>
      </w:hyperlink>
    </w:p>
    <w:p w14:paraId="401B56FF" w14:textId="77777777" w:rsidR="00B410D9" w:rsidRDefault="00B84C3E">
      <w:pPr>
        <w:pStyle w:val="TOC1"/>
        <w:tabs>
          <w:tab w:val="right" w:leader="dot" w:pos="9350"/>
        </w:tabs>
        <w:rPr>
          <w:rFonts w:asciiTheme="minorHAnsi" w:eastAsiaTheme="minorEastAsia" w:hAnsiTheme="minorHAnsi" w:cstheme="minorBidi"/>
          <w:noProof/>
          <w:sz w:val="22"/>
          <w:szCs w:val="22"/>
        </w:rPr>
      </w:pPr>
      <w:hyperlink w:anchor="_Toc473036503" w:history="1">
        <w:r w:rsidR="00B410D9" w:rsidRPr="00AD0E06">
          <w:rPr>
            <w:rStyle w:val="Hyperlink"/>
            <w:noProof/>
          </w:rPr>
          <w:t>3.0 CONCLUSIONS</w:t>
        </w:r>
        <w:r w:rsidR="00B410D9">
          <w:rPr>
            <w:noProof/>
            <w:webHidden/>
          </w:rPr>
          <w:tab/>
        </w:r>
        <w:r w:rsidR="00B410D9">
          <w:rPr>
            <w:noProof/>
            <w:webHidden/>
          </w:rPr>
          <w:fldChar w:fldCharType="begin"/>
        </w:r>
        <w:r w:rsidR="00B410D9">
          <w:rPr>
            <w:noProof/>
            <w:webHidden/>
          </w:rPr>
          <w:instrText xml:space="preserve"> PAGEREF _Toc473036503 \h </w:instrText>
        </w:r>
        <w:r w:rsidR="00B410D9">
          <w:rPr>
            <w:noProof/>
            <w:webHidden/>
          </w:rPr>
        </w:r>
        <w:r w:rsidR="00B410D9">
          <w:rPr>
            <w:noProof/>
            <w:webHidden/>
          </w:rPr>
          <w:fldChar w:fldCharType="separate"/>
        </w:r>
        <w:r w:rsidR="00B410D9">
          <w:rPr>
            <w:noProof/>
            <w:webHidden/>
          </w:rPr>
          <w:t>25</w:t>
        </w:r>
        <w:r w:rsidR="00B410D9">
          <w:rPr>
            <w:noProof/>
            <w:webHidden/>
          </w:rPr>
          <w:fldChar w:fldCharType="end"/>
        </w:r>
      </w:hyperlink>
    </w:p>
    <w:p w14:paraId="73E55405" w14:textId="77777777" w:rsidR="00B410D9" w:rsidRDefault="00B84C3E">
      <w:pPr>
        <w:pStyle w:val="TOC2"/>
        <w:rPr>
          <w:rFonts w:asciiTheme="minorHAnsi" w:eastAsiaTheme="minorEastAsia" w:hAnsiTheme="minorHAnsi" w:cstheme="minorBidi"/>
          <w:noProof/>
          <w:sz w:val="22"/>
          <w:szCs w:val="22"/>
        </w:rPr>
      </w:pPr>
      <w:hyperlink w:anchor="_Toc473036504" w:history="1">
        <w:r w:rsidR="00B410D9" w:rsidRPr="00AD0E06">
          <w:rPr>
            <w:rStyle w:val="Hyperlink"/>
            <w:noProof/>
          </w:rPr>
          <w:t>3.1 Summary</w:t>
        </w:r>
        <w:r w:rsidR="00B410D9">
          <w:rPr>
            <w:noProof/>
            <w:webHidden/>
          </w:rPr>
          <w:tab/>
        </w:r>
        <w:r w:rsidR="00B410D9">
          <w:rPr>
            <w:noProof/>
            <w:webHidden/>
          </w:rPr>
          <w:fldChar w:fldCharType="begin"/>
        </w:r>
        <w:r w:rsidR="00B410D9">
          <w:rPr>
            <w:noProof/>
            <w:webHidden/>
          </w:rPr>
          <w:instrText xml:space="preserve"> PAGEREF _Toc473036504 \h </w:instrText>
        </w:r>
        <w:r w:rsidR="00B410D9">
          <w:rPr>
            <w:noProof/>
            <w:webHidden/>
          </w:rPr>
        </w:r>
        <w:r w:rsidR="00B410D9">
          <w:rPr>
            <w:noProof/>
            <w:webHidden/>
          </w:rPr>
          <w:fldChar w:fldCharType="separate"/>
        </w:r>
        <w:r w:rsidR="00B410D9">
          <w:rPr>
            <w:noProof/>
            <w:webHidden/>
          </w:rPr>
          <w:t>25</w:t>
        </w:r>
        <w:r w:rsidR="00B410D9">
          <w:rPr>
            <w:noProof/>
            <w:webHidden/>
          </w:rPr>
          <w:fldChar w:fldCharType="end"/>
        </w:r>
      </w:hyperlink>
    </w:p>
    <w:p w14:paraId="3FD5266C" w14:textId="77777777" w:rsidR="00B410D9" w:rsidRDefault="00B84C3E">
      <w:pPr>
        <w:pStyle w:val="TOC2"/>
        <w:rPr>
          <w:rFonts w:asciiTheme="minorHAnsi" w:eastAsiaTheme="minorEastAsia" w:hAnsiTheme="minorHAnsi" w:cstheme="minorBidi"/>
          <w:noProof/>
          <w:sz w:val="22"/>
          <w:szCs w:val="22"/>
        </w:rPr>
      </w:pPr>
      <w:hyperlink w:anchor="_Toc473036505" w:history="1">
        <w:r w:rsidR="00B410D9" w:rsidRPr="00AD0E06">
          <w:rPr>
            <w:rStyle w:val="Hyperlink"/>
            <w:noProof/>
          </w:rPr>
          <w:t>3.2 Progress and Challenges</w:t>
        </w:r>
        <w:r w:rsidR="00B410D9">
          <w:rPr>
            <w:noProof/>
            <w:webHidden/>
          </w:rPr>
          <w:tab/>
        </w:r>
        <w:r w:rsidR="00B410D9">
          <w:rPr>
            <w:noProof/>
            <w:webHidden/>
          </w:rPr>
          <w:fldChar w:fldCharType="begin"/>
        </w:r>
        <w:r w:rsidR="00B410D9">
          <w:rPr>
            <w:noProof/>
            <w:webHidden/>
          </w:rPr>
          <w:instrText xml:space="preserve"> PAGEREF _Toc473036505 \h </w:instrText>
        </w:r>
        <w:r w:rsidR="00B410D9">
          <w:rPr>
            <w:noProof/>
            <w:webHidden/>
          </w:rPr>
        </w:r>
        <w:r w:rsidR="00B410D9">
          <w:rPr>
            <w:noProof/>
            <w:webHidden/>
          </w:rPr>
          <w:fldChar w:fldCharType="separate"/>
        </w:r>
        <w:r w:rsidR="00B410D9">
          <w:rPr>
            <w:noProof/>
            <w:webHidden/>
          </w:rPr>
          <w:t>25</w:t>
        </w:r>
        <w:r w:rsidR="00B410D9">
          <w:rPr>
            <w:noProof/>
            <w:webHidden/>
          </w:rPr>
          <w:fldChar w:fldCharType="end"/>
        </w:r>
      </w:hyperlink>
    </w:p>
    <w:p w14:paraId="6F2FD892" w14:textId="77777777" w:rsidR="00B410D9" w:rsidRDefault="00B84C3E">
      <w:pPr>
        <w:pStyle w:val="TOC2"/>
        <w:rPr>
          <w:rFonts w:asciiTheme="minorHAnsi" w:eastAsiaTheme="minorEastAsia" w:hAnsiTheme="minorHAnsi" w:cstheme="minorBidi"/>
          <w:noProof/>
          <w:sz w:val="22"/>
          <w:szCs w:val="22"/>
        </w:rPr>
      </w:pPr>
      <w:hyperlink w:anchor="_Toc473036506" w:history="1">
        <w:r w:rsidR="00B410D9" w:rsidRPr="00AD0E06">
          <w:rPr>
            <w:rStyle w:val="Hyperlink"/>
            <w:noProof/>
          </w:rPr>
          <w:t>3.3 Future Work</w:t>
        </w:r>
        <w:r w:rsidR="00B410D9">
          <w:rPr>
            <w:noProof/>
            <w:webHidden/>
          </w:rPr>
          <w:tab/>
        </w:r>
        <w:r w:rsidR="00B410D9">
          <w:rPr>
            <w:noProof/>
            <w:webHidden/>
          </w:rPr>
          <w:fldChar w:fldCharType="begin"/>
        </w:r>
        <w:r w:rsidR="00B410D9">
          <w:rPr>
            <w:noProof/>
            <w:webHidden/>
          </w:rPr>
          <w:instrText xml:space="preserve"> PAGEREF _Toc473036506 \h </w:instrText>
        </w:r>
        <w:r w:rsidR="00B410D9">
          <w:rPr>
            <w:noProof/>
            <w:webHidden/>
          </w:rPr>
        </w:r>
        <w:r w:rsidR="00B410D9">
          <w:rPr>
            <w:noProof/>
            <w:webHidden/>
          </w:rPr>
          <w:fldChar w:fldCharType="separate"/>
        </w:r>
        <w:r w:rsidR="00B410D9">
          <w:rPr>
            <w:noProof/>
            <w:webHidden/>
          </w:rPr>
          <w:t>25</w:t>
        </w:r>
        <w:r w:rsidR="00B410D9">
          <w:rPr>
            <w:noProof/>
            <w:webHidden/>
          </w:rPr>
          <w:fldChar w:fldCharType="end"/>
        </w:r>
      </w:hyperlink>
    </w:p>
    <w:p w14:paraId="199442FE" w14:textId="77777777" w:rsidR="00B410D9" w:rsidRDefault="00B84C3E">
      <w:pPr>
        <w:pStyle w:val="TOC1"/>
        <w:tabs>
          <w:tab w:val="right" w:leader="dot" w:pos="9350"/>
        </w:tabs>
        <w:rPr>
          <w:rFonts w:asciiTheme="minorHAnsi" w:eastAsiaTheme="minorEastAsia" w:hAnsiTheme="minorHAnsi" w:cstheme="minorBidi"/>
          <w:noProof/>
          <w:sz w:val="22"/>
          <w:szCs w:val="22"/>
        </w:rPr>
      </w:pPr>
      <w:hyperlink w:anchor="_Toc473036507" w:history="1">
        <w:r w:rsidR="00B410D9" w:rsidRPr="00AD0E06">
          <w:rPr>
            <w:rStyle w:val="Hyperlink"/>
            <w:noProof/>
          </w:rPr>
          <w:t>REFERENCES</w:t>
        </w:r>
        <w:r w:rsidR="00B410D9">
          <w:rPr>
            <w:noProof/>
            <w:webHidden/>
          </w:rPr>
          <w:tab/>
        </w:r>
        <w:r w:rsidR="00B410D9">
          <w:rPr>
            <w:noProof/>
            <w:webHidden/>
          </w:rPr>
          <w:fldChar w:fldCharType="begin"/>
        </w:r>
        <w:r w:rsidR="00B410D9">
          <w:rPr>
            <w:noProof/>
            <w:webHidden/>
          </w:rPr>
          <w:instrText xml:space="preserve"> PAGEREF _Toc473036507 \h </w:instrText>
        </w:r>
        <w:r w:rsidR="00B410D9">
          <w:rPr>
            <w:noProof/>
            <w:webHidden/>
          </w:rPr>
        </w:r>
        <w:r w:rsidR="00B410D9">
          <w:rPr>
            <w:noProof/>
            <w:webHidden/>
          </w:rPr>
          <w:fldChar w:fldCharType="separate"/>
        </w:r>
        <w:r w:rsidR="00B410D9">
          <w:rPr>
            <w:noProof/>
            <w:webHidden/>
          </w:rPr>
          <w:t>26</w:t>
        </w:r>
        <w:r w:rsidR="00B410D9">
          <w:rPr>
            <w:noProof/>
            <w:webHidden/>
          </w:rPr>
          <w:fldChar w:fldCharType="end"/>
        </w:r>
      </w:hyperlink>
    </w:p>
    <w:p w14:paraId="357CDABC" w14:textId="42B03F9B" w:rsidR="0076544D" w:rsidRDefault="004D201E" w:rsidP="00261923">
      <w:pPr>
        <w:pStyle w:val="NoUnderline-UDOTTitle"/>
        <w:jc w:val="both"/>
      </w:pPr>
      <w:r w:rsidRPr="00E611A4">
        <w:fldChar w:fldCharType="end"/>
      </w:r>
      <w:r w:rsidR="0076544D" w:rsidRPr="00E611A4">
        <w:t xml:space="preserve"> </w:t>
      </w:r>
      <w:bookmarkStart w:id="2" w:name="_Toc267550314"/>
      <w:bookmarkStart w:id="3" w:name="_Toc273506401"/>
    </w:p>
    <w:p w14:paraId="26EE8CCB" w14:textId="77777777" w:rsidR="009D462E" w:rsidRDefault="009D462E">
      <w:pPr>
        <w:spacing w:line="240" w:lineRule="auto"/>
        <w:ind w:firstLine="0"/>
        <w:jc w:val="left"/>
        <w:rPr>
          <w:b/>
          <w:bCs/>
          <w:caps/>
          <w:szCs w:val="24"/>
          <w:u w:val="single"/>
        </w:rPr>
      </w:pPr>
      <w:r>
        <w:rPr>
          <w:u w:val="single"/>
        </w:rPr>
        <w:br w:type="page"/>
      </w:r>
    </w:p>
    <w:p w14:paraId="46C9CD3A" w14:textId="5D1C6F81" w:rsidR="001262F7" w:rsidRDefault="00EB63F1" w:rsidP="001262F7">
      <w:pPr>
        <w:pStyle w:val="NoUnderline-UDOTTitle"/>
        <w:rPr>
          <w:u w:val="single"/>
        </w:rPr>
      </w:pPr>
      <w:bookmarkStart w:id="4" w:name="_Toc473036483"/>
      <w:r w:rsidRPr="005D1C92">
        <w:rPr>
          <w:u w:val="single"/>
        </w:rPr>
        <w:lastRenderedPageBreak/>
        <w:t>LIST OF FIGURES</w:t>
      </w:r>
      <w:bookmarkEnd w:id="2"/>
      <w:bookmarkEnd w:id="3"/>
      <w:bookmarkEnd w:id="4"/>
    </w:p>
    <w:p w14:paraId="1B940E0A" w14:textId="77777777" w:rsidR="00B410D9" w:rsidRDefault="001262F7">
      <w:pPr>
        <w:pStyle w:val="TableofFigures"/>
        <w:rPr>
          <w:rFonts w:asciiTheme="minorHAnsi" w:eastAsiaTheme="minorEastAsia" w:hAnsiTheme="minorHAnsi" w:cstheme="minorBidi"/>
          <w:noProof/>
          <w:sz w:val="22"/>
          <w:szCs w:val="22"/>
        </w:rPr>
      </w:pPr>
      <w:r w:rsidRPr="00260E9F">
        <w:fldChar w:fldCharType="begin"/>
      </w:r>
      <w:r w:rsidRPr="00260E9F">
        <w:instrText xml:space="preserve"> TOC \h \z \c "Figure" </w:instrText>
      </w:r>
      <w:r w:rsidRPr="00260E9F">
        <w:fldChar w:fldCharType="separate"/>
      </w:r>
      <w:hyperlink w:anchor="_Toc473036508" w:history="1">
        <w:r w:rsidR="00B410D9" w:rsidRPr="00E81F17">
          <w:rPr>
            <w:rStyle w:val="Hyperlink"/>
            <w:noProof/>
          </w:rPr>
          <w:t xml:space="preserve">Figure 2.1 View of </w:t>
        </w:r>
        <w:r w:rsidR="00B410D9" w:rsidRPr="00E81F17">
          <w:rPr>
            <w:rStyle w:val="Hyperlink"/>
            <w:i/>
            <w:noProof/>
          </w:rPr>
          <w:t>CPTLiquefY</w:t>
        </w:r>
        <w:r w:rsidR="00B410D9" w:rsidRPr="00E81F17">
          <w:rPr>
            <w:rStyle w:val="Hyperlink"/>
            <w:noProof/>
          </w:rPr>
          <w:t>, showing the completed analysis process on the “Full Probabilistic User Inputs” tab.</w:t>
        </w:r>
        <w:r w:rsidR="00B410D9">
          <w:rPr>
            <w:noProof/>
            <w:webHidden/>
          </w:rPr>
          <w:tab/>
        </w:r>
        <w:r w:rsidR="00B410D9">
          <w:rPr>
            <w:noProof/>
            <w:webHidden/>
          </w:rPr>
          <w:fldChar w:fldCharType="begin"/>
        </w:r>
        <w:r w:rsidR="00B410D9">
          <w:rPr>
            <w:noProof/>
            <w:webHidden/>
          </w:rPr>
          <w:instrText xml:space="preserve"> PAGEREF _Toc473036508 \h </w:instrText>
        </w:r>
        <w:r w:rsidR="00B410D9">
          <w:rPr>
            <w:noProof/>
            <w:webHidden/>
          </w:rPr>
        </w:r>
        <w:r w:rsidR="00B410D9">
          <w:rPr>
            <w:noProof/>
            <w:webHidden/>
          </w:rPr>
          <w:fldChar w:fldCharType="separate"/>
        </w:r>
        <w:r w:rsidR="00B410D9">
          <w:rPr>
            <w:noProof/>
            <w:webHidden/>
          </w:rPr>
          <w:t>12</w:t>
        </w:r>
        <w:r w:rsidR="00B410D9">
          <w:rPr>
            <w:noProof/>
            <w:webHidden/>
          </w:rPr>
          <w:fldChar w:fldCharType="end"/>
        </w:r>
      </w:hyperlink>
    </w:p>
    <w:p w14:paraId="19EB5E64" w14:textId="77777777" w:rsidR="00B410D9" w:rsidRDefault="00B84C3E">
      <w:pPr>
        <w:pStyle w:val="TableofFigures"/>
        <w:rPr>
          <w:rFonts w:asciiTheme="minorHAnsi" w:eastAsiaTheme="minorEastAsia" w:hAnsiTheme="minorHAnsi" w:cstheme="minorBidi"/>
          <w:noProof/>
          <w:sz w:val="22"/>
          <w:szCs w:val="22"/>
        </w:rPr>
      </w:pPr>
      <w:hyperlink w:anchor="_Toc473036509" w:history="1">
        <w:r w:rsidR="00B410D9" w:rsidRPr="00E81F17">
          <w:rPr>
            <w:rStyle w:val="Hyperlink"/>
            <w:noProof/>
          </w:rPr>
          <w:t>Figure 2.2 View of “Liquefaction Triggering Results” tab after analysis</w:t>
        </w:r>
        <w:r w:rsidR="00B410D9">
          <w:rPr>
            <w:noProof/>
            <w:webHidden/>
          </w:rPr>
          <w:tab/>
        </w:r>
        <w:r w:rsidR="00B410D9">
          <w:rPr>
            <w:noProof/>
            <w:webHidden/>
          </w:rPr>
          <w:fldChar w:fldCharType="begin"/>
        </w:r>
        <w:r w:rsidR="00B410D9">
          <w:rPr>
            <w:noProof/>
            <w:webHidden/>
          </w:rPr>
          <w:instrText xml:space="preserve"> PAGEREF _Toc473036509 \h </w:instrText>
        </w:r>
        <w:r w:rsidR="00B410D9">
          <w:rPr>
            <w:noProof/>
            <w:webHidden/>
          </w:rPr>
        </w:r>
        <w:r w:rsidR="00B410D9">
          <w:rPr>
            <w:noProof/>
            <w:webHidden/>
          </w:rPr>
          <w:fldChar w:fldCharType="separate"/>
        </w:r>
        <w:r w:rsidR="00B410D9">
          <w:rPr>
            <w:noProof/>
            <w:webHidden/>
          </w:rPr>
          <w:t>13</w:t>
        </w:r>
        <w:r w:rsidR="00B410D9">
          <w:rPr>
            <w:noProof/>
            <w:webHidden/>
          </w:rPr>
          <w:fldChar w:fldCharType="end"/>
        </w:r>
      </w:hyperlink>
    </w:p>
    <w:p w14:paraId="7590E41D" w14:textId="77777777" w:rsidR="00B410D9" w:rsidRDefault="00B84C3E">
      <w:pPr>
        <w:pStyle w:val="TableofFigures"/>
        <w:rPr>
          <w:rFonts w:asciiTheme="minorHAnsi" w:eastAsiaTheme="minorEastAsia" w:hAnsiTheme="minorHAnsi" w:cstheme="minorBidi"/>
          <w:noProof/>
          <w:sz w:val="22"/>
          <w:szCs w:val="22"/>
        </w:rPr>
      </w:pPr>
      <w:hyperlink w:anchor="_Toc473036510" w:history="1">
        <w:r w:rsidR="00B410D9" w:rsidRPr="00E81F17">
          <w:rPr>
            <w:rStyle w:val="Hyperlink"/>
            <w:noProof/>
          </w:rPr>
          <w:t>Figure 2.3 Example plot from “Liquefaction Triggering Results” tab</w:t>
        </w:r>
        <w:r w:rsidR="00B410D9">
          <w:rPr>
            <w:noProof/>
            <w:webHidden/>
          </w:rPr>
          <w:tab/>
        </w:r>
        <w:r w:rsidR="00B410D9">
          <w:rPr>
            <w:noProof/>
            <w:webHidden/>
          </w:rPr>
          <w:fldChar w:fldCharType="begin"/>
        </w:r>
        <w:r w:rsidR="00B410D9">
          <w:rPr>
            <w:noProof/>
            <w:webHidden/>
          </w:rPr>
          <w:instrText xml:space="preserve"> PAGEREF _Toc473036510 \h </w:instrText>
        </w:r>
        <w:r w:rsidR="00B410D9">
          <w:rPr>
            <w:noProof/>
            <w:webHidden/>
          </w:rPr>
        </w:r>
        <w:r w:rsidR="00B410D9">
          <w:rPr>
            <w:noProof/>
            <w:webHidden/>
          </w:rPr>
          <w:fldChar w:fldCharType="separate"/>
        </w:r>
        <w:r w:rsidR="00B410D9">
          <w:rPr>
            <w:noProof/>
            <w:webHidden/>
          </w:rPr>
          <w:t>13</w:t>
        </w:r>
        <w:r w:rsidR="00B410D9">
          <w:rPr>
            <w:noProof/>
            <w:webHidden/>
          </w:rPr>
          <w:fldChar w:fldCharType="end"/>
        </w:r>
      </w:hyperlink>
    </w:p>
    <w:p w14:paraId="528C18CE" w14:textId="77777777" w:rsidR="00B410D9" w:rsidRDefault="00B84C3E">
      <w:pPr>
        <w:pStyle w:val="TableofFigures"/>
        <w:rPr>
          <w:rFonts w:asciiTheme="minorHAnsi" w:eastAsiaTheme="minorEastAsia" w:hAnsiTheme="minorHAnsi" w:cstheme="minorBidi"/>
          <w:noProof/>
          <w:sz w:val="22"/>
          <w:szCs w:val="22"/>
        </w:rPr>
      </w:pPr>
      <w:hyperlink w:anchor="_Toc473036511" w:history="1">
        <w:r w:rsidR="00B410D9" w:rsidRPr="00E81F17">
          <w:rPr>
            <w:rStyle w:val="Hyperlink"/>
            <w:noProof/>
          </w:rPr>
          <w:t>Figure 2.4 Maximum vertical strain levels inferred by deterministic vertical strain models, and weighted average used to define mean value (after Huang 2008)</w:t>
        </w:r>
        <w:r w:rsidR="00B410D9">
          <w:rPr>
            <w:noProof/>
            <w:webHidden/>
          </w:rPr>
          <w:tab/>
        </w:r>
        <w:r w:rsidR="00B410D9">
          <w:rPr>
            <w:noProof/>
            <w:webHidden/>
          </w:rPr>
          <w:fldChar w:fldCharType="begin"/>
        </w:r>
        <w:r w:rsidR="00B410D9">
          <w:rPr>
            <w:noProof/>
            <w:webHidden/>
          </w:rPr>
          <w:instrText xml:space="preserve"> PAGEREF _Toc473036511 \h </w:instrText>
        </w:r>
        <w:r w:rsidR="00B410D9">
          <w:rPr>
            <w:noProof/>
            <w:webHidden/>
          </w:rPr>
        </w:r>
        <w:r w:rsidR="00B410D9">
          <w:rPr>
            <w:noProof/>
            <w:webHidden/>
          </w:rPr>
          <w:fldChar w:fldCharType="separate"/>
        </w:r>
        <w:r w:rsidR="00B410D9">
          <w:rPr>
            <w:noProof/>
            <w:webHidden/>
          </w:rPr>
          <w:t>15</w:t>
        </w:r>
        <w:r w:rsidR="00B410D9">
          <w:rPr>
            <w:noProof/>
            <w:webHidden/>
          </w:rPr>
          <w:fldChar w:fldCharType="end"/>
        </w:r>
      </w:hyperlink>
    </w:p>
    <w:p w14:paraId="63A082CE" w14:textId="77777777" w:rsidR="00B410D9" w:rsidRDefault="00B84C3E">
      <w:pPr>
        <w:pStyle w:val="TableofFigures"/>
        <w:rPr>
          <w:rFonts w:asciiTheme="minorHAnsi" w:eastAsiaTheme="minorEastAsia" w:hAnsiTheme="minorHAnsi" w:cstheme="minorBidi"/>
          <w:noProof/>
          <w:sz w:val="22"/>
          <w:szCs w:val="22"/>
        </w:rPr>
      </w:pPr>
      <w:hyperlink w:anchor="_Toc473036512" w:history="1">
        <w:r w:rsidR="00B410D9" w:rsidRPr="00E81F17">
          <w:rPr>
            <w:rStyle w:val="Hyperlink"/>
            <w:noProof/>
          </w:rPr>
          <w:t>Figure 2.5 View of “Settlement Results” tab after analysis is complete</w:t>
        </w:r>
        <w:r w:rsidR="00B410D9">
          <w:rPr>
            <w:noProof/>
            <w:webHidden/>
          </w:rPr>
          <w:tab/>
        </w:r>
        <w:r w:rsidR="00B410D9">
          <w:rPr>
            <w:noProof/>
            <w:webHidden/>
          </w:rPr>
          <w:fldChar w:fldCharType="begin"/>
        </w:r>
        <w:r w:rsidR="00B410D9">
          <w:rPr>
            <w:noProof/>
            <w:webHidden/>
          </w:rPr>
          <w:instrText xml:space="preserve"> PAGEREF _Toc473036512 \h </w:instrText>
        </w:r>
        <w:r w:rsidR="00B410D9">
          <w:rPr>
            <w:noProof/>
            <w:webHidden/>
          </w:rPr>
        </w:r>
        <w:r w:rsidR="00B410D9">
          <w:rPr>
            <w:noProof/>
            <w:webHidden/>
          </w:rPr>
          <w:fldChar w:fldCharType="separate"/>
        </w:r>
        <w:r w:rsidR="00B410D9">
          <w:rPr>
            <w:noProof/>
            <w:webHidden/>
          </w:rPr>
          <w:t>16</w:t>
        </w:r>
        <w:r w:rsidR="00B410D9">
          <w:rPr>
            <w:noProof/>
            <w:webHidden/>
          </w:rPr>
          <w:fldChar w:fldCharType="end"/>
        </w:r>
      </w:hyperlink>
    </w:p>
    <w:p w14:paraId="1FC70F3A" w14:textId="77777777" w:rsidR="00B410D9" w:rsidRDefault="00B84C3E">
      <w:pPr>
        <w:pStyle w:val="TableofFigures"/>
        <w:rPr>
          <w:rFonts w:asciiTheme="minorHAnsi" w:eastAsiaTheme="minorEastAsia" w:hAnsiTheme="minorHAnsi" w:cstheme="minorBidi"/>
          <w:noProof/>
          <w:sz w:val="22"/>
          <w:szCs w:val="22"/>
        </w:rPr>
      </w:pPr>
      <w:hyperlink w:anchor="_Toc473036513" w:history="1">
        <w:r w:rsidR="00B410D9" w:rsidRPr="00E81F17">
          <w:rPr>
            <w:rStyle w:val="Hyperlink"/>
            <w:noProof/>
          </w:rPr>
          <w:t>Figure 2.6 View of hazard curves for total ground surface settlement</w:t>
        </w:r>
        <w:r w:rsidR="00B410D9">
          <w:rPr>
            <w:noProof/>
            <w:webHidden/>
          </w:rPr>
          <w:tab/>
        </w:r>
        <w:r w:rsidR="00B410D9">
          <w:rPr>
            <w:noProof/>
            <w:webHidden/>
          </w:rPr>
          <w:fldChar w:fldCharType="begin"/>
        </w:r>
        <w:r w:rsidR="00B410D9">
          <w:rPr>
            <w:noProof/>
            <w:webHidden/>
          </w:rPr>
          <w:instrText xml:space="preserve"> PAGEREF _Toc473036513 \h </w:instrText>
        </w:r>
        <w:r w:rsidR="00B410D9">
          <w:rPr>
            <w:noProof/>
            <w:webHidden/>
          </w:rPr>
        </w:r>
        <w:r w:rsidR="00B410D9">
          <w:rPr>
            <w:noProof/>
            <w:webHidden/>
          </w:rPr>
          <w:fldChar w:fldCharType="separate"/>
        </w:r>
        <w:r w:rsidR="00B410D9">
          <w:rPr>
            <w:noProof/>
            <w:webHidden/>
          </w:rPr>
          <w:t>17</w:t>
        </w:r>
        <w:r w:rsidR="00B410D9">
          <w:rPr>
            <w:noProof/>
            <w:webHidden/>
          </w:rPr>
          <w:fldChar w:fldCharType="end"/>
        </w:r>
      </w:hyperlink>
    </w:p>
    <w:p w14:paraId="329FD73F" w14:textId="77777777" w:rsidR="00B410D9" w:rsidRDefault="00B84C3E">
      <w:pPr>
        <w:pStyle w:val="TableofFigures"/>
        <w:rPr>
          <w:rFonts w:asciiTheme="minorHAnsi" w:eastAsiaTheme="minorEastAsia" w:hAnsiTheme="minorHAnsi" w:cstheme="minorBidi"/>
          <w:noProof/>
          <w:sz w:val="22"/>
          <w:szCs w:val="22"/>
        </w:rPr>
      </w:pPr>
      <w:hyperlink w:anchor="_Toc473036514" w:history="1">
        <w:r w:rsidR="00B410D9" w:rsidRPr="00E81F17">
          <w:rPr>
            <w:rStyle w:val="Hyperlink"/>
            <w:noProof/>
          </w:rPr>
          <w:t>Figure 2.7 View of “Lateral Spread Results” tab after analysis</w:t>
        </w:r>
        <w:r w:rsidR="00B410D9">
          <w:rPr>
            <w:noProof/>
            <w:webHidden/>
          </w:rPr>
          <w:tab/>
        </w:r>
        <w:r w:rsidR="00B410D9">
          <w:rPr>
            <w:noProof/>
            <w:webHidden/>
          </w:rPr>
          <w:fldChar w:fldCharType="begin"/>
        </w:r>
        <w:r w:rsidR="00B410D9">
          <w:rPr>
            <w:noProof/>
            <w:webHidden/>
          </w:rPr>
          <w:instrText xml:space="preserve"> PAGEREF _Toc473036514 \h </w:instrText>
        </w:r>
        <w:r w:rsidR="00B410D9">
          <w:rPr>
            <w:noProof/>
            <w:webHidden/>
          </w:rPr>
        </w:r>
        <w:r w:rsidR="00B410D9">
          <w:rPr>
            <w:noProof/>
            <w:webHidden/>
          </w:rPr>
          <w:fldChar w:fldCharType="separate"/>
        </w:r>
        <w:r w:rsidR="00B410D9">
          <w:rPr>
            <w:noProof/>
            <w:webHidden/>
          </w:rPr>
          <w:t>18</w:t>
        </w:r>
        <w:r w:rsidR="00B410D9">
          <w:rPr>
            <w:noProof/>
            <w:webHidden/>
          </w:rPr>
          <w:fldChar w:fldCharType="end"/>
        </w:r>
      </w:hyperlink>
    </w:p>
    <w:p w14:paraId="3911680D" w14:textId="77777777" w:rsidR="00B410D9" w:rsidRDefault="00B84C3E">
      <w:pPr>
        <w:pStyle w:val="TableofFigures"/>
        <w:rPr>
          <w:rFonts w:asciiTheme="minorHAnsi" w:eastAsiaTheme="minorEastAsia" w:hAnsiTheme="minorHAnsi" w:cstheme="minorBidi"/>
          <w:noProof/>
          <w:sz w:val="22"/>
          <w:szCs w:val="22"/>
        </w:rPr>
      </w:pPr>
      <w:hyperlink w:anchor="_Toc473036515" w:history="1">
        <w:r w:rsidR="00B410D9" w:rsidRPr="00E81F17">
          <w:rPr>
            <w:rStyle w:val="Hyperlink"/>
            <w:noProof/>
          </w:rPr>
          <w:t>Figure 2.8 USGS NSHMP-haz code repository on GitHub.com</w:t>
        </w:r>
        <w:r w:rsidR="00B410D9">
          <w:rPr>
            <w:noProof/>
            <w:webHidden/>
          </w:rPr>
          <w:tab/>
        </w:r>
        <w:r w:rsidR="00B410D9">
          <w:rPr>
            <w:noProof/>
            <w:webHidden/>
          </w:rPr>
          <w:fldChar w:fldCharType="begin"/>
        </w:r>
        <w:r w:rsidR="00B410D9">
          <w:rPr>
            <w:noProof/>
            <w:webHidden/>
          </w:rPr>
          <w:instrText xml:space="preserve"> PAGEREF _Toc473036515 \h </w:instrText>
        </w:r>
        <w:r w:rsidR="00B410D9">
          <w:rPr>
            <w:noProof/>
            <w:webHidden/>
          </w:rPr>
        </w:r>
        <w:r w:rsidR="00B410D9">
          <w:rPr>
            <w:noProof/>
            <w:webHidden/>
          </w:rPr>
          <w:fldChar w:fldCharType="separate"/>
        </w:r>
        <w:r w:rsidR="00B410D9">
          <w:rPr>
            <w:noProof/>
            <w:webHidden/>
          </w:rPr>
          <w:t>19</w:t>
        </w:r>
        <w:r w:rsidR="00B410D9">
          <w:rPr>
            <w:noProof/>
            <w:webHidden/>
          </w:rPr>
          <w:fldChar w:fldCharType="end"/>
        </w:r>
      </w:hyperlink>
    </w:p>
    <w:p w14:paraId="6BD17E3B" w14:textId="77777777" w:rsidR="00B410D9" w:rsidRDefault="00B84C3E">
      <w:pPr>
        <w:pStyle w:val="TableofFigures"/>
        <w:rPr>
          <w:rFonts w:asciiTheme="minorHAnsi" w:eastAsiaTheme="minorEastAsia" w:hAnsiTheme="minorHAnsi" w:cstheme="minorBidi"/>
          <w:noProof/>
          <w:sz w:val="22"/>
          <w:szCs w:val="22"/>
        </w:rPr>
      </w:pPr>
      <w:hyperlink w:anchor="_Toc473036516" w:history="1">
        <w:r w:rsidR="00B410D9" w:rsidRPr="00E81F17">
          <w:rPr>
            <w:rStyle w:val="Hyperlink"/>
            <w:noProof/>
          </w:rPr>
          <w:t>Figure 2.9 Image of the old USGS online deaggregation tool</w:t>
        </w:r>
        <w:r w:rsidR="00B410D9">
          <w:rPr>
            <w:noProof/>
            <w:webHidden/>
          </w:rPr>
          <w:tab/>
        </w:r>
        <w:r w:rsidR="00B410D9">
          <w:rPr>
            <w:noProof/>
            <w:webHidden/>
          </w:rPr>
          <w:fldChar w:fldCharType="begin"/>
        </w:r>
        <w:r w:rsidR="00B410D9">
          <w:rPr>
            <w:noProof/>
            <w:webHidden/>
          </w:rPr>
          <w:instrText xml:space="preserve"> PAGEREF _Toc473036516 \h </w:instrText>
        </w:r>
        <w:r w:rsidR="00B410D9">
          <w:rPr>
            <w:noProof/>
            <w:webHidden/>
          </w:rPr>
        </w:r>
        <w:r w:rsidR="00B410D9">
          <w:rPr>
            <w:noProof/>
            <w:webHidden/>
          </w:rPr>
          <w:fldChar w:fldCharType="separate"/>
        </w:r>
        <w:r w:rsidR="00B410D9">
          <w:rPr>
            <w:noProof/>
            <w:webHidden/>
          </w:rPr>
          <w:t>21</w:t>
        </w:r>
        <w:r w:rsidR="00B410D9">
          <w:rPr>
            <w:noProof/>
            <w:webHidden/>
          </w:rPr>
          <w:fldChar w:fldCharType="end"/>
        </w:r>
      </w:hyperlink>
    </w:p>
    <w:p w14:paraId="5EE49086" w14:textId="77777777" w:rsidR="00B410D9" w:rsidRDefault="00B84C3E">
      <w:pPr>
        <w:pStyle w:val="TableofFigures"/>
        <w:rPr>
          <w:rFonts w:asciiTheme="minorHAnsi" w:eastAsiaTheme="minorEastAsia" w:hAnsiTheme="minorHAnsi" w:cstheme="minorBidi"/>
          <w:noProof/>
          <w:sz w:val="22"/>
          <w:szCs w:val="22"/>
        </w:rPr>
      </w:pPr>
      <w:hyperlink w:anchor="_Toc473036517" w:history="1">
        <w:r w:rsidR="00B410D9" w:rsidRPr="00E81F17">
          <w:rPr>
            <w:rStyle w:val="Hyperlink"/>
            <w:noProof/>
          </w:rPr>
          <w:t>Figure 2.10 Input options for new USGS tool on the “Pseudo Probabilistic” tab</w:t>
        </w:r>
        <w:r w:rsidR="00B410D9">
          <w:rPr>
            <w:noProof/>
            <w:webHidden/>
          </w:rPr>
          <w:tab/>
        </w:r>
        <w:r w:rsidR="00B410D9">
          <w:rPr>
            <w:noProof/>
            <w:webHidden/>
          </w:rPr>
          <w:fldChar w:fldCharType="begin"/>
        </w:r>
        <w:r w:rsidR="00B410D9">
          <w:rPr>
            <w:noProof/>
            <w:webHidden/>
          </w:rPr>
          <w:instrText xml:space="preserve"> PAGEREF _Toc473036517 \h </w:instrText>
        </w:r>
        <w:r w:rsidR="00B410D9">
          <w:rPr>
            <w:noProof/>
            <w:webHidden/>
          </w:rPr>
        </w:r>
        <w:r w:rsidR="00B410D9">
          <w:rPr>
            <w:noProof/>
            <w:webHidden/>
          </w:rPr>
          <w:fldChar w:fldCharType="separate"/>
        </w:r>
        <w:r w:rsidR="00B410D9">
          <w:rPr>
            <w:noProof/>
            <w:webHidden/>
          </w:rPr>
          <w:t>22</w:t>
        </w:r>
        <w:r w:rsidR="00B410D9">
          <w:rPr>
            <w:noProof/>
            <w:webHidden/>
          </w:rPr>
          <w:fldChar w:fldCharType="end"/>
        </w:r>
      </w:hyperlink>
    </w:p>
    <w:p w14:paraId="01893E86" w14:textId="77777777" w:rsidR="00B410D9" w:rsidRDefault="00B84C3E">
      <w:pPr>
        <w:pStyle w:val="TableofFigures"/>
        <w:rPr>
          <w:rFonts w:asciiTheme="minorHAnsi" w:eastAsiaTheme="minorEastAsia" w:hAnsiTheme="minorHAnsi" w:cstheme="minorBidi"/>
          <w:noProof/>
          <w:sz w:val="22"/>
          <w:szCs w:val="22"/>
        </w:rPr>
      </w:pPr>
      <w:hyperlink w:anchor="_Toc473036518" w:history="1">
        <w:r w:rsidR="00B410D9" w:rsidRPr="00E81F17">
          <w:rPr>
            <w:rStyle w:val="Hyperlink"/>
            <w:noProof/>
          </w:rPr>
          <w:t>Figure 2.11 View of the window launched by NSHMP-haz</w:t>
        </w:r>
        <w:r w:rsidR="00B410D9">
          <w:rPr>
            <w:noProof/>
            <w:webHidden/>
          </w:rPr>
          <w:tab/>
        </w:r>
        <w:r w:rsidR="00B410D9">
          <w:rPr>
            <w:noProof/>
            <w:webHidden/>
          </w:rPr>
          <w:fldChar w:fldCharType="begin"/>
        </w:r>
        <w:r w:rsidR="00B410D9">
          <w:rPr>
            <w:noProof/>
            <w:webHidden/>
          </w:rPr>
          <w:instrText xml:space="preserve"> PAGEREF _Toc473036518 \h </w:instrText>
        </w:r>
        <w:r w:rsidR="00B410D9">
          <w:rPr>
            <w:noProof/>
            <w:webHidden/>
          </w:rPr>
        </w:r>
        <w:r w:rsidR="00B410D9">
          <w:rPr>
            <w:noProof/>
            <w:webHidden/>
          </w:rPr>
          <w:fldChar w:fldCharType="separate"/>
        </w:r>
        <w:r w:rsidR="00B410D9">
          <w:rPr>
            <w:noProof/>
            <w:webHidden/>
          </w:rPr>
          <w:t>22</w:t>
        </w:r>
        <w:r w:rsidR="00B410D9">
          <w:rPr>
            <w:noProof/>
            <w:webHidden/>
          </w:rPr>
          <w:fldChar w:fldCharType="end"/>
        </w:r>
      </w:hyperlink>
    </w:p>
    <w:p w14:paraId="093045FE" w14:textId="77777777" w:rsidR="00B410D9" w:rsidRDefault="00B84C3E">
      <w:pPr>
        <w:pStyle w:val="TableofFigures"/>
        <w:rPr>
          <w:rFonts w:asciiTheme="minorHAnsi" w:eastAsiaTheme="minorEastAsia" w:hAnsiTheme="minorHAnsi" w:cstheme="minorBidi"/>
          <w:noProof/>
          <w:sz w:val="22"/>
          <w:szCs w:val="22"/>
        </w:rPr>
      </w:pPr>
      <w:hyperlink w:anchor="_Toc473036519" w:history="1">
        <w:r w:rsidR="00B410D9" w:rsidRPr="00E81F17">
          <w:rPr>
            <w:rStyle w:val="Hyperlink"/>
            <w:noProof/>
          </w:rPr>
          <w:t>Figure 2.12 Map west United States, showing the division in USGS between western, central, and eastern states</w:t>
        </w:r>
        <w:r w:rsidR="00B410D9">
          <w:rPr>
            <w:noProof/>
            <w:webHidden/>
          </w:rPr>
          <w:tab/>
        </w:r>
        <w:r w:rsidR="00B410D9">
          <w:rPr>
            <w:noProof/>
            <w:webHidden/>
          </w:rPr>
          <w:fldChar w:fldCharType="begin"/>
        </w:r>
        <w:r w:rsidR="00B410D9">
          <w:rPr>
            <w:noProof/>
            <w:webHidden/>
          </w:rPr>
          <w:instrText xml:space="preserve"> PAGEREF _Toc473036519 \h </w:instrText>
        </w:r>
        <w:r w:rsidR="00B410D9">
          <w:rPr>
            <w:noProof/>
            <w:webHidden/>
          </w:rPr>
        </w:r>
        <w:r w:rsidR="00B410D9">
          <w:rPr>
            <w:noProof/>
            <w:webHidden/>
          </w:rPr>
          <w:fldChar w:fldCharType="separate"/>
        </w:r>
        <w:r w:rsidR="00B410D9">
          <w:rPr>
            <w:noProof/>
            <w:webHidden/>
          </w:rPr>
          <w:t>23</w:t>
        </w:r>
        <w:r w:rsidR="00B410D9">
          <w:rPr>
            <w:noProof/>
            <w:webHidden/>
          </w:rPr>
          <w:fldChar w:fldCharType="end"/>
        </w:r>
      </w:hyperlink>
    </w:p>
    <w:p w14:paraId="1BF9D44E" w14:textId="77777777" w:rsidR="00B410D9" w:rsidRDefault="00B84C3E">
      <w:pPr>
        <w:pStyle w:val="TableofFigures"/>
        <w:rPr>
          <w:rFonts w:asciiTheme="minorHAnsi" w:eastAsiaTheme="minorEastAsia" w:hAnsiTheme="minorHAnsi" w:cstheme="minorBidi"/>
          <w:noProof/>
          <w:sz w:val="22"/>
          <w:szCs w:val="22"/>
        </w:rPr>
      </w:pPr>
      <w:hyperlink w:anchor="_Toc473036520" w:history="1">
        <w:r w:rsidR="00B410D9" w:rsidRPr="00E81F17">
          <w:rPr>
            <w:rStyle w:val="Hyperlink"/>
            <w:noProof/>
          </w:rPr>
          <w:t>Figure 2.13 Display of USGS deaggregation year selection</w:t>
        </w:r>
        <w:r w:rsidR="00B410D9">
          <w:rPr>
            <w:noProof/>
            <w:webHidden/>
          </w:rPr>
          <w:tab/>
        </w:r>
        <w:r w:rsidR="00B410D9">
          <w:rPr>
            <w:noProof/>
            <w:webHidden/>
          </w:rPr>
          <w:fldChar w:fldCharType="begin"/>
        </w:r>
        <w:r w:rsidR="00B410D9">
          <w:rPr>
            <w:noProof/>
            <w:webHidden/>
          </w:rPr>
          <w:instrText xml:space="preserve"> PAGEREF _Toc473036520 \h </w:instrText>
        </w:r>
        <w:r w:rsidR="00B410D9">
          <w:rPr>
            <w:noProof/>
            <w:webHidden/>
          </w:rPr>
        </w:r>
        <w:r w:rsidR="00B410D9">
          <w:rPr>
            <w:noProof/>
            <w:webHidden/>
          </w:rPr>
          <w:fldChar w:fldCharType="separate"/>
        </w:r>
        <w:r w:rsidR="00B410D9">
          <w:rPr>
            <w:noProof/>
            <w:webHidden/>
          </w:rPr>
          <w:t>24</w:t>
        </w:r>
        <w:r w:rsidR="00B410D9">
          <w:rPr>
            <w:noProof/>
            <w:webHidden/>
          </w:rPr>
          <w:fldChar w:fldCharType="end"/>
        </w:r>
      </w:hyperlink>
    </w:p>
    <w:p w14:paraId="0234AB6F" w14:textId="1FE82155" w:rsidR="00B825AD" w:rsidRPr="00E611A4" w:rsidRDefault="001262F7" w:rsidP="000A385F">
      <w:pPr>
        <w:pStyle w:val="NoUnderline-UDOTTitle"/>
        <w:ind w:firstLine="0"/>
        <w:jc w:val="both"/>
      </w:pPr>
      <w:r w:rsidRPr="00260E9F">
        <w:fldChar w:fldCharType="end"/>
      </w:r>
    </w:p>
    <w:p w14:paraId="39A15FD2" w14:textId="77777777" w:rsidR="009878E3" w:rsidRPr="00E611A4" w:rsidRDefault="00B825AD" w:rsidP="009878E3">
      <w:pPr>
        <w:pStyle w:val="NoUnderline-UDOTTitle"/>
        <w:rPr>
          <w:u w:val="single"/>
        </w:rPr>
      </w:pPr>
      <w:bookmarkStart w:id="5" w:name="_Toc267550315"/>
      <w:bookmarkStart w:id="6" w:name="_Toc273506402"/>
      <w:r w:rsidRPr="00E611A4">
        <w:br w:type="page"/>
      </w:r>
      <w:bookmarkStart w:id="7" w:name="_Toc473036484"/>
      <w:r w:rsidR="009878E3" w:rsidRPr="00AB57E6">
        <w:rPr>
          <w:u w:val="single"/>
        </w:rPr>
        <w:lastRenderedPageBreak/>
        <w:t>UNIT CONVERSION FACTORS</w:t>
      </w:r>
      <w:bookmarkEnd w:id="7"/>
    </w:p>
    <w:p w14:paraId="5A2F1B4C" w14:textId="4DF8D8A2" w:rsidR="009878E3" w:rsidRPr="00E611A4" w:rsidRDefault="009878E3" w:rsidP="00C15867">
      <w:pPr>
        <w:spacing w:after="120"/>
        <w:rPr>
          <w:rFonts w:eastAsia="Calibri"/>
          <w:szCs w:val="24"/>
        </w:rPr>
      </w:pPr>
      <w:r w:rsidRPr="00E611A4">
        <w:rPr>
          <w:rFonts w:eastAsia="Calibri"/>
          <w:szCs w:val="24"/>
        </w:rPr>
        <w:t>Units used in this report and not conforming to the UDOT standard unit of measurement (U.S. Customary system) are given below with their U.S. Customary equivalents:</w:t>
      </w:r>
      <w:r w:rsidRPr="00E611A4">
        <w:rPr>
          <w:rFonts w:eastAsia="Calibri"/>
          <w:szCs w:val="24"/>
        </w:rPr>
        <w:tab/>
      </w:r>
    </w:p>
    <w:p w14:paraId="5C371F07" w14:textId="77777777" w:rsidR="009878E3" w:rsidRPr="00E611A4" w:rsidRDefault="00116C76" w:rsidP="009878E3">
      <w:pPr>
        <w:jc w:val="center"/>
        <w:rPr>
          <w:rFonts w:eastAsia="Calibri"/>
          <w:szCs w:val="24"/>
        </w:rPr>
      </w:pPr>
      <w:r>
        <w:rPr>
          <w:noProof/>
        </w:rPr>
        <w:drawing>
          <wp:inline distT="0" distB="0" distL="0" distR="0" wp14:anchorId="2AA2AC9D" wp14:editId="0A34CA18">
            <wp:extent cx="4257675" cy="578281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274838" cy="5806123"/>
                    </a:xfrm>
                    <a:prstGeom prst="rect">
                      <a:avLst/>
                    </a:prstGeom>
                    <a:noFill/>
                    <a:ln w="9525">
                      <a:noFill/>
                      <a:miter lim="800000"/>
                      <a:headEnd/>
                      <a:tailEnd/>
                    </a:ln>
                  </pic:spPr>
                </pic:pic>
              </a:graphicData>
            </a:graphic>
          </wp:inline>
        </w:drawing>
      </w:r>
    </w:p>
    <w:p w14:paraId="49AE4960" w14:textId="77777777" w:rsidR="00EB63F1" w:rsidRPr="000A4C8B" w:rsidRDefault="009878E3" w:rsidP="00D30F08">
      <w:pPr>
        <w:pStyle w:val="NoUnderline-UDOTTitle"/>
        <w:rPr>
          <w:u w:val="single"/>
        </w:rPr>
      </w:pPr>
      <w:r w:rsidRPr="00E611A4">
        <w:rPr>
          <w:u w:val="single"/>
        </w:rPr>
        <w:br w:type="page"/>
      </w:r>
      <w:bookmarkStart w:id="8" w:name="_Toc473036485"/>
      <w:r w:rsidR="00EB63F1" w:rsidRPr="000A4C8B">
        <w:rPr>
          <w:u w:val="single"/>
        </w:rPr>
        <w:lastRenderedPageBreak/>
        <w:t>LIST OF ACRONYMS</w:t>
      </w:r>
      <w:bookmarkEnd w:id="5"/>
      <w:bookmarkEnd w:id="6"/>
      <w:bookmarkEnd w:id="8"/>
    </w:p>
    <w:p w14:paraId="1A5FC2F8" w14:textId="77777777" w:rsidR="00F32428" w:rsidRDefault="00F32428" w:rsidP="00F32428">
      <w:r>
        <w:t>AASHTO</w:t>
      </w:r>
      <w:r>
        <w:tab/>
        <w:t>American Association of State Highway and Transportation Officials</w:t>
      </w:r>
    </w:p>
    <w:p w14:paraId="66C763A2" w14:textId="77777777" w:rsidR="00F32428" w:rsidRDefault="00F32428" w:rsidP="00F32428">
      <w:r>
        <w:t>ASCE</w:t>
      </w:r>
      <w:r>
        <w:tab/>
      </w:r>
      <w:r>
        <w:tab/>
        <w:t>American Society of Civil Engineers</w:t>
      </w:r>
    </w:p>
    <w:p w14:paraId="0A4618E5" w14:textId="77777777" w:rsidR="00F32428" w:rsidRDefault="00F32428" w:rsidP="00F32428">
      <w:r>
        <w:t>CPT</w:t>
      </w:r>
      <w:r>
        <w:tab/>
      </w:r>
      <w:r>
        <w:tab/>
        <w:t>Cone Penetration Test</w:t>
      </w:r>
    </w:p>
    <w:p w14:paraId="3E35B0E7" w14:textId="77777777" w:rsidR="00F32428" w:rsidRDefault="00F32428" w:rsidP="00F32428">
      <w:r>
        <w:t>FHWA</w:t>
      </w:r>
      <w:r>
        <w:tab/>
      </w:r>
      <w:r>
        <w:tab/>
        <w:t>Federal Highway Administration</w:t>
      </w:r>
    </w:p>
    <w:p w14:paraId="2CD07219" w14:textId="65469C93" w:rsidR="00F32428" w:rsidRDefault="00F32428" w:rsidP="00F32428">
      <w:r>
        <w:t>GUI</w:t>
      </w:r>
      <w:r>
        <w:tab/>
      </w:r>
      <w:r>
        <w:tab/>
        <w:t>Graphical User Interface</w:t>
      </w:r>
    </w:p>
    <w:p w14:paraId="7DD2F794" w14:textId="432650C2" w:rsidR="00132254" w:rsidRDefault="00132254" w:rsidP="00F32428">
      <w:r>
        <w:t>NSHMP</w:t>
      </w:r>
      <w:r>
        <w:tab/>
        <w:t>National Seismic Hazard Model Project</w:t>
      </w:r>
    </w:p>
    <w:p w14:paraId="0DB08436" w14:textId="7D38F117" w:rsidR="00132254" w:rsidRDefault="00132254" w:rsidP="00132254">
      <w:r>
        <w:t>SPT</w:t>
      </w:r>
      <w:r>
        <w:tab/>
      </w:r>
      <w:r>
        <w:tab/>
        <w:t>Standard Penetration Test</w:t>
      </w:r>
    </w:p>
    <w:p w14:paraId="53B5FD4D" w14:textId="77777777" w:rsidR="00F32428" w:rsidRDefault="00F32428" w:rsidP="00F32428">
      <w:r>
        <w:t>UDOT</w:t>
      </w:r>
      <w:r>
        <w:tab/>
      </w:r>
      <w:r>
        <w:tab/>
        <w:t>Utah Department of Transportation</w:t>
      </w:r>
    </w:p>
    <w:p w14:paraId="07C3531C" w14:textId="77777777" w:rsidR="00F32428" w:rsidRDefault="00F32428" w:rsidP="00F32428">
      <w:r>
        <w:t>USGS</w:t>
      </w:r>
      <w:r>
        <w:tab/>
      </w:r>
      <w:r>
        <w:tab/>
        <w:t>United States Geological Survey</w:t>
      </w:r>
    </w:p>
    <w:p w14:paraId="1744BC4F" w14:textId="77F7FFE1" w:rsidR="00A14137" w:rsidRDefault="00A14137" w:rsidP="00F32428"/>
    <w:p w14:paraId="00204E22" w14:textId="77777777" w:rsidR="00A14137" w:rsidRDefault="00A14137">
      <w:pPr>
        <w:spacing w:line="240" w:lineRule="auto"/>
        <w:ind w:firstLine="0"/>
        <w:jc w:val="left"/>
      </w:pPr>
      <w:r>
        <w:br w:type="page"/>
      </w:r>
    </w:p>
    <w:p w14:paraId="3F4D2B9A" w14:textId="28695030" w:rsidR="00A14137" w:rsidRPr="00A14137" w:rsidRDefault="00A14137" w:rsidP="00A14137">
      <w:pPr>
        <w:spacing w:line="288" w:lineRule="auto"/>
        <w:ind w:firstLine="0"/>
        <w:jc w:val="center"/>
        <w:rPr>
          <w:b/>
        </w:rPr>
      </w:pPr>
      <w:r w:rsidRPr="00A14137">
        <w:rPr>
          <w:b/>
          <w:u w:val="single"/>
        </w:rPr>
        <w:lastRenderedPageBreak/>
        <w:t>LIST OF TERMS</w:t>
      </w:r>
    </w:p>
    <w:p w14:paraId="0E8E824C" w14:textId="77777777" w:rsidR="00A14137" w:rsidRDefault="00A14137" w:rsidP="00A14137">
      <w:pPr>
        <w:spacing w:line="288" w:lineRule="auto"/>
        <w:ind w:firstLine="0"/>
        <w:rPr>
          <w:i/>
        </w:rPr>
      </w:pPr>
    </w:p>
    <w:p w14:paraId="3F51072C" w14:textId="77777777" w:rsidR="00A14137" w:rsidRDefault="00A14137" w:rsidP="00A14137">
      <w:pPr>
        <w:spacing w:line="288" w:lineRule="auto"/>
        <w:ind w:firstLine="0"/>
      </w:pPr>
      <w:r>
        <w:rPr>
          <w:i/>
        </w:rPr>
        <w:t>CRR</w:t>
      </w:r>
      <w:r>
        <w:tab/>
      </w:r>
      <w:r>
        <w:tab/>
        <w:t>cyclic resistance ratio</w:t>
      </w:r>
    </w:p>
    <w:p w14:paraId="228CFC9A" w14:textId="77777777" w:rsidR="00A14137" w:rsidRDefault="00A14137" w:rsidP="00A14137">
      <w:pPr>
        <w:spacing w:line="288" w:lineRule="auto"/>
        <w:ind w:firstLine="0"/>
      </w:pPr>
      <w:r>
        <w:rPr>
          <w:i/>
        </w:rPr>
        <w:t>CSR</w:t>
      </w:r>
      <w:r>
        <w:tab/>
      </w:r>
      <w:r>
        <w:tab/>
        <w:t>cyclic stress ratio</w:t>
      </w:r>
    </w:p>
    <w:p w14:paraId="15C35CB7" w14:textId="77777777" w:rsidR="00A14137" w:rsidRDefault="00A14137" w:rsidP="00A14137">
      <w:pPr>
        <w:spacing w:line="288" w:lineRule="auto"/>
        <w:ind w:firstLine="0"/>
      </w:pPr>
      <w:r>
        <w:rPr>
          <w:i/>
        </w:rPr>
        <w:t>FS</w:t>
      </w:r>
      <w:r>
        <w:rPr>
          <w:i/>
          <w:vertAlign w:val="subscript"/>
        </w:rPr>
        <w:t>L</w:t>
      </w:r>
      <w:r>
        <w:tab/>
      </w:r>
      <w:r>
        <w:tab/>
        <w:t>factor of safety against liquefaction triggering</w:t>
      </w:r>
    </w:p>
    <w:p w14:paraId="02C897E0" w14:textId="77777777" w:rsidR="00A14137" w:rsidRDefault="00A14137" w:rsidP="00A14137">
      <w:pPr>
        <w:spacing w:line="288" w:lineRule="auto"/>
        <w:ind w:firstLine="0"/>
      </w:pPr>
      <w:r>
        <w:rPr>
          <w:i/>
        </w:rPr>
        <w:t>H</w:t>
      </w:r>
      <w:r>
        <w:rPr>
          <w:i/>
        </w:rPr>
        <w:tab/>
      </w:r>
      <w:r>
        <w:rPr>
          <w:i/>
        </w:rPr>
        <w:tab/>
      </w:r>
      <w:r>
        <w:t xml:space="preserve">the free face height </w:t>
      </w:r>
      <w:r>
        <w:rPr>
          <w:i/>
        </w:rPr>
        <w:t>H</w:t>
      </w:r>
    </w:p>
    <w:p w14:paraId="6477131C" w14:textId="77777777" w:rsidR="00A14137" w:rsidRDefault="00A14137" w:rsidP="00A14137">
      <w:pPr>
        <w:spacing w:line="288" w:lineRule="auto"/>
        <w:ind w:firstLine="0"/>
      </w:pPr>
      <w:r>
        <w:rPr>
          <w:i/>
        </w:rPr>
        <w:t>LD</w:t>
      </w:r>
      <w:r>
        <w:rPr>
          <w:i/>
        </w:rPr>
        <w:tab/>
      </w:r>
      <w:r>
        <w:rPr>
          <w:i/>
        </w:rPr>
        <w:tab/>
      </w:r>
      <w:r>
        <w:t>lateral displacement</w:t>
      </w:r>
    </w:p>
    <w:p w14:paraId="472515DB" w14:textId="77777777" w:rsidR="00A14137" w:rsidRDefault="00A14137" w:rsidP="00A14137">
      <w:pPr>
        <w:spacing w:line="288" w:lineRule="auto"/>
        <w:ind w:firstLine="0"/>
      </w:pPr>
      <w:r>
        <w:rPr>
          <w:i/>
        </w:rPr>
        <w:t>LDI</w:t>
      </w:r>
      <w:r>
        <w:rPr>
          <w:i/>
        </w:rPr>
        <w:tab/>
      </w:r>
      <w:r>
        <w:rPr>
          <w:i/>
        </w:rPr>
        <w:tab/>
      </w:r>
      <w:r>
        <w:t>lateral displacement index</w:t>
      </w:r>
    </w:p>
    <w:p w14:paraId="74C446A0" w14:textId="77777777" w:rsidR="00A14137" w:rsidRDefault="00A14137" w:rsidP="00A14137">
      <w:pPr>
        <w:spacing w:line="288" w:lineRule="auto"/>
        <w:ind w:firstLine="0"/>
      </w:pPr>
      <w:r>
        <w:rPr>
          <w:i/>
        </w:rPr>
        <w:t>L</w:t>
      </w:r>
      <w:r>
        <w:rPr>
          <w:i/>
        </w:rPr>
        <w:tab/>
      </w:r>
      <w:r>
        <w:rPr>
          <w:i/>
        </w:rPr>
        <w:tab/>
      </w:r>
      <w:r>
        <w:t>and the distance from toe of the free face</w:t>
      </w:r>
    </w:p>
    <w:p w14:paraId="28D660B0" w14:textId="77777777" w:rsidR="00A14137" w:rsidRDefault="00A14137" w:rsidP="00A14137">
      <w:pPr>
        <w:spacing w:line="288" w:lineRule="auto"/>
        <w:ind w:firstLine="0"/>
      </w:pPr>
      <w:r>
        <w:rPr>
          <w:i/>
        </w:rPr>
        <w:t>P</w:t>
      </w:r>
      <w:r>
        <w:rPr>
          <w:i/>
          <w:vertAlign w:val="subscript"/>
        </w:rPr>
        <w:t>L</w:t>
      </w:r>
      <w:r>
        <w:tab/>
      </w:r>
      <w:r>
        <w:tab/>
        <w:t>probability of liquefaction</w:t>
      </w:r>
    </w:p>
    <w:p w14:paraId="4347FD74" w14:textId="77777777" w:rsidR="00A14137" w:rsidRDefault="00A14137" w:rsidP="00A14137">
      <w:pPr>
        <w:spacing w:line="288" w:lineRule="auto"/>
        <w:ind w:firstLine="0"/>
      </w:pPr>
      <w:r>
        <w:rPr>
          <w:i/>
        </w:rPr>
        <w:t>ε</w:t>
      </w:r>
      <w:r>
        <w:rPr>
          <w:i/>
          <w:vertAlign w:val="subscript"/>
        </w:rPr>
        <w:t>v</w:t>
      </w:r>
      <w:r>
        <w:rPr>
          <w:i/>
          <w:vertAlign w:val="subscript"/>
        </w:rPr>
        <w:tab/>
      </w:r>
      <w:r>
        <w:rPr>
          <w:i/>
          <w:vertAlign w:val="subscript"/>
        </w:rPr>
        <w:tab/>
      </w:r>
      <w:r>
        <w:t>volumetric strain</w:t>
      </w:r>
    </w:p>
    <w:p w14:paraId="3BD329DA" w14:textId="77777777" w:rsidR="00A14137" w:rsidRDefault="00A14137" w:rsidP="00A14137">
      <w:pPr>
        <w:spacing w:line="288" w:lineRule="auto"/>
        <w:ind w:firstLine="0"/>
      </w:pPr>
      <w:r>
        <w:rPr>
          <w:i/>
        </w:rPr>
        <w:t>Q</w:t>
      </w:r>
      <w:r>
        <w:rPr>
          <w:i/>
          <w:vertAlign w:val="subscript"/>
        </w:rPr>
        <w:t>tn</w:t>
      </w:r>
      <w:r>
        <w:rPr>
          <w:vertAlign w:val="subscript"/>
        </w:rPr>
        <w:tab/>
      </w:r>
      <w:r>
        <w:rPr>
          <w:vertAlign w:val="subscript"/>
        </w:rPr>
        <w:tab/>
      </w:r>
      <w:r>
        <w:t>cone tip resistance corrected for overburden stress</w:t>
      </w:r>
    </w:p>
    <w:p w14:paraId="2EF95A73" w14:textId="77777777" w:rsidR="00A14137" w:rsidRDefault="00A14137" w:rsidP="00A14137">
      <w:pPr>
        <w:spacing w:line="288" w:lineRule="auto"/>
        <w:ind w:firstLine="0"/>
      </w:pPr>
      <w:r>
        <w:rPr>
          <w:i/>
        </w:rPr>
        <w:t>Q</w:t>
      </w:r>
      <w:r>
        <w:rPr>
          <w:i/>
          <w:vertAlign w:val="subscript"/>
        </w:rPr>
        <w:t>tncs</w:t>
      </w:r>
      <w:r>
        <w:rPr>
          <w:vertAlign w:val="subscript"/>
        </w:rPr>
        <w:tab/>
      </w:r>
      <w:r>
        <w:rPr>
          <w:vertAlign w:val="subscript"/>
        </w:rPr>
        <w:tab/>
      </w:r>
      <w:r>
        <w:t>clean-sand equivalent normalized CPT tip resistance Robertson (2009)</w:t>
      </w:r>
    </w:p>
    <w:p w14:paraId="2F0FC7D8" w14:textId="77777777" w:rsidR="00A14137" w:rsidRDefault="00A14137" w:rsidP="00A14137">
      <w:pPr>
        <w:spacing w:line="288" w:lineRule="auto"/>
        <w:ind w:firstLine="0"/>
      </w:pPr>
      <w:r>
        <w:rPr>
          <w:i/>
        </w:rPr>
        <w:t>r</w:t>
      </w:r>
      <w:r>
        <w:rPr>
          <w:i/>
          <w:vertAlign w:val="subscript"/>
        </w:rPr>
        <w:t>d</w:t>
      </w:r>
      <w:r>
        <w:tab/>
      </w:r>
      <w:r>
        <w:tab/>
        <w:t>shear stress reduction coefficient</w:t>
      </w:r>
    </w:p>
    <w:p w14:paraId="58B06C2A" w14:textId="289C14ED" w:rsidR="00687615" w:rsidRDefault="00A14137" w:rsidP="00A14137">
      <w:pPr>
        <w:spacing w:line="288" w:lineRule="auto"/>
        <w:ind w:firstLine="0"/>
      </w:pPr>
      <w:r>
        <w:rPr>
          <w:i/>
        </w:rPr>
        <w:t>S</w:t>
      </w:r>
      <w:r>
        <w:rPr>
          <w:i/>
        </w:rPr>
        <w:tab/>
      </w:r>
      <w:r>
        <w:rPr>
          <w:i/>
        </w:rPr>
        <w:tab/>
      </w:r>
      <w:r>
        <w:t>the ground slope in percentage</w:t>
      </w:r>
    </w:p>
    <w:p w14:paraId="24B82144" w14:textId="3D0309AF" w:rsidR="009D462E" w:rsidRDefault="00687615" w:rsidP="00A14137">
      <w:pPr>
        <w:spacing w:line="288" w:lineRule="auto"/>
        <w:ind w:firstLine="0"/>
        <w:rPr>
          <w:i/>
          <w:color w:val="000000" w:themeColor="text1"/>
        </w:rPr>
      </w:pPr>
      <w:r w:rsidRPr="00F32428">
        <w:rPr>
          <w:color w:val="000000" w:themeColor="text1"/>
        </w:rPr>
        <w:t>ε</w:t>
      </w:r>
      <w:r w:rsidRPr="00F32428">
        <w:rPr>
          <w:color w:val="000000" w:themeColor="text1"/>
          <w:vertAlign w:val="subscript"/>
        </w:rPr>
        <w:t>v,max</w:t>
      </w:r>
      <w:r w:rsidR="009D462E">
        <w:rPr>
          <w:color w:val="000000" w:themeColor="text1"/>
          <w:vertAlign w:val="subscript"/>
        </w:rPr>
        <w:tab/>
      </w:r>
      <w:r w:rsidR="009D462E">
        <w:rPr>
          <w:color w:val="000000" w:themeColor="text1"/>
          <w:vertAlign w:val="subscript"/>
        </w:rPr>
        <w:tab/>
      </w:r>
      <w:r w:rsidR="009D462E">
        <w:rPr>
          <w:color w:val="000000" w:themeColor="text1"/>
        </w:rPr>
        <w:t>maximum vertical strain</w:t>
      </w:r>
    </w:p>
    <w:p w14:paraId="389755CB" w14:textId="2BF2EF16" w:rsidR="009D462E" w:rsidRDefault="009D462E" w:rsidP="00A14137">
      <w:pPr>
        <w:spacing w:line="288" w:lineRule="auto"/>
        <w:ind w:firstLine="0"/>
        <w:rPr>
          <w:color w:val="000000" w:themeColor="text1"/>
        </w:rPr>
      </w:pPr>
      <w:r>
        <w:rPr>
          <w:i/>
          <w:color w:val="000000" w:themeColor="text1"/>
        </w:rPr>
        <w:t>Pa</w:t>
      </w:r>
      <w:r>
        <w:rPr>
          <w:i/>
          <w:color w:val="000000" w:themeColor="text1"/>
        </w:rPr>
        <w:tab/>
      </w:r>
      <w:r>
        <w:rPr>
          <w:i/>
          <w:color w:val="000000" w:themeColor="text1"/>
        </w:rPr>
        <w:tab/>
      </w:r>
      <w:r>
        <w:rPr>
          <w:color w:val="000000" w:themeColor="text1"/>
        </w:rPr>
        <w:t>atmospheric pressure</w:t>
      </w:r>
    </w:p>
    <w:p w14:paraId="027A6149" w14:textId="4BB69F0F" w:rsidR="009D462E" w:rsidRDefault="009D462E" w:rsidP="00A14137">
      <w:pPr>
        <w:spacing w:line="288" w:lineRule="auto"/>
        <w:ind w:firstLine="0"/>
        <w:rPr>
          <w:color w:val="000000" w:themeColor="text1"/>
        </w:rPr>
      </w:pPr>
      <w:r>
        <w:rPr>
          <w:i/>
          <w:color w:val="000000" w:themeColor="text1"/>
        </w:rPr>
        <w:t>Ic</w:t>
      </w:r>
      <w:r>
        <w:rPr>
          <w:color w:val="000000" w:themeColor="text1"/>
        </w:rPr>
        <w:tab/>
      </w:r>
      <w:r>
        <w:rPr>
          <w:color w:val="000000" w:themeColor="text1"/>
        </w:rPr>
        <w:tab/>
        <w:t>soil behavior type index</w:t>
      </w:r>
    </w:p>
    <w:p w14:paraId="6B1192AD" w14:textId="2D74C40F" w:rsidR="009D462E" w:rsidRPr="009D462E" w:rsidRDefault="009D462E" w:rsidP="00A14137">
      <w:pPr>
        <w:spacing w:line="288" w:lineRule="auto"/>
        <w:ind w:firstLine="0"/>
        <w:rPr>
          <w:color w:val="000000" w:themeColor="text1"/>
        </w:rPr>
      </w:pPr>
      <w:r>
        <w:rPr>
          <w:color w:val="000000" w:themeColor="text1"/>
        </w:rPr>
        <w:t>(N</w:t>
      </w:r>
      <w:r w:rsidRPr="009D462E">
        <w:rPr>
          <w:color w:val="000000" w:themeColor="text1"/>
          <w:vertAlign w:val="subscript"/>
        </w:rPr>
        <w:t>1</w:t>
      </w:r>
      <w:r>
        <w:rPr>
          <w:color w:val="000000" w:themeColor="text1"/>
        </w:rPr>
        <w:t>)</w:t>
      </w:r>
      <w:r w:rsidRPr="009D462E">
        <w:rPr>
          <w:color w:val="000000" w:themeColor="text1"/>
          <w:vertAlign w:val="subscript"/>
        </w:rPr>
        <w:t>60,cs</w:t>
      </w:r>
      <w:r>
        <w:rPr>
          <w:color w:val="000000" w:themeColor="text1"/>
          <w:vertAlign w:val="subscript"/>
        </w:rPr>
        <w:tab/>
      </w:r>
      <w:r>
        <w:rPr>
          <w:color w:val="000000" w:themeColor="text1"/>
        </w:rPr>
        <w:t>corrected SPT blow count</w:t>
      </w:r>
    </w:p>
    <w:p w14:paraId="12810594" w14:textId="77777777" w:rsidR="009D462E" w:rsidRDefault="009D462E" w:rsidP="00A14137">
      <w:pPr>
        <w:spacing w:line="288" w:lineRule="auto"/>
        <w:ind w:firstLine="0"/>
        <w:rPr>
          <w:color w:val="000000" w:themeColor="text1"/>
        </w:rPr>
      </w:pPr>
    </w:p>
    <w:p w14:paraId="1B837D93" w14:textId="77777777" w:rsidR="00A14137" w:rsidRPr="00261923" w:rsidRDefault="00A14137" w:rsidP="00A14137">
      <w:pPr>
        <w:spacing w:line="240" w:lineRule="auto"/>
        <w:ind w:firstLine="0"/>
        <w:jc w:val="left"/>
      </w:pPr>
      <w:bookmarkStart w:id="9" w:name="_Toc267550316"/>
      <w:bookmarkStart w:id="10" w:name="_Toc273506403"/>
    </w:p>
    <w:p w14:paraId="590F529D" w14:textId="77777777" w:rsidR="00A14137" w:rsidRDefault="00A14137">
      <w:pPr>
        <w:spacing w:line="240" w:lineRule="auto"/>
        <w:ind w:firstLine="0"/>
        <w:jc w:val="left"/>
        <w:rPr>
          <w:b/>
          <w:kern w:val="28"/>
          <w:szCs w:val="32"/>
          <w:u w:val="single"/>
        </w:rPr>
      </w:pPr>
      <w:r>
        <w:br w:type="page"/>
      </w:r>
    </w:p>
    <w:p w14:paraId="264B3EE5" w14:textId="4E20BD69" w:rsidR="005A6B8D" w:rsidRPr="004853B1" w:rsidRDefault="00EB63F1" w:rsidP="00851DA4">
      <w:pPr>
        <w:pStyle w:val="Heading1"/>
        <w:numPr>
          <w:ilvl w:val="0"/>
          <w:numId w:val="0"/>
        </w:numPr>
        <w:spacing w:after="240"/>
      </w:pPr>
      <w:bookmarkStart w:id="11" w:name="_Toc473036486"/>
      <w:r w:rsidRPr="004853B1">
        <w:lastRenderedPageBreak/>
        <w:t>EXECUTIVE SUMMARY</w:t>
      </w:r>
      <w:bookmarkEnd w:id="9"/>
      <w:bookmarkEnd w:id="10"/>
      <w:bookmarkEnd w:id="11"/>
    </w:p>
    <w:p w14:paraId="37554424" w14:textId="0621170E" w:rsidR="00F32428" w:rsidRDefault="00F32428" w:rsidP="00F32428">
      <w:r>
        <w:t xml:space="preserve">The purpose of </w:t>
      </w:r>
      <w:r w:rsidR="00311076">
        <w:t>this research</w:t>
      </w:r>
      <w:r>
        <w:t xml:space="preserve"> is to provide the benefit of the full performance-based probabilistic earthquake hazard analysis, without requiring special software, training, and experience. To do this, full performance-based methods will be created to calculate liquefaction triggering, liquefaction-induced settlements, and liquefaction-induced lateral spread based on cone penetration test (CPT) data. Currently, a computer tool, </w:t>
      </w:r>
      <w:r>
        <w:rPr>
          <w:i/>
        </w:rPr>
        <w:t>CPTLiquefY</w:t>
      </w:r>
      <w:r>
        <w:t>,</w:t>
      </w:r>
      <w:r w:rsidR="00AD2C6F">
        <w:t xml:space="preserve"> created</w:t>
      </w:r>
      <w:r>
        <w:t xml:space="preserve"> to perform the full performance-based </w:t>
      </w:r>
      <w:r w:rsidR="00E730C5">
        <w:t xml:space="preserve">hazard </w:t>
      </w:r>
      <w:r>
        <w:t xml:space="preserve">calculations is </w:t>
      </w:r>
      <w:r w:rsidR="00E730C5">
        <w:t>nearly complete.</w:t>
      </w:r>
      <w:r>
        <w:t xml:space="preserve"> </w:t>
      </w:r>
      <w:r w:rsidR="00E730C5">
        <w:t>Once complete this program will be used for a multi-site analysis</w:t>
      </w:r>
      <w:r>
        <w:t>. The analysis will compare the full performance-based approach to deterministic, pseudo-probabilistic, and semi-probabilistic calculations.</w:t>
      </w:r>
      <w:r>
        <w:rPr>
          <w:color w:val="FF0000"/>
        </w:rPr>
        <w:t xml:space="preserve"> </w:t>
      </w:r>
      <w:r>
        <w:t>This report provides an update of the Quarter 2 Year 1 progress of development of the computer tool, addressing Tas</w:t>
      </w:r>
      <w:r w:rsidR="00112A35">
        <w:t xml:space="preserve">ks 1, 2 3 and 4 of the </w:t>
      </w:r>
      <w:r w:rsidR="00AD2C6F">
        <w:t>TPF-5(</w:t>
      </w:r>
      <w:r>
        <w:t>338) research contract.</w:t>
      </w:r>
    </w:p>
    <w:p w14:paraId="5D23DD30" w14:textId="50781807" w:rsidR="00F32428" w:rsidRDefault="00F32428" w:rsidP="00F32428">
      <w:r>
        <w:t>The main focus of Quarter 2 has been the completion of</w:t>
      </w:r>
      <w:r w:rsidR="00E730C5">
        <w:t xml:space="preserve"> the tool to run site-specific</w:t>
      </w:r>
      <w:r w:rsidR="0019205C">
        <w:t xml:space="preserve"> p</w:t>
      </w:r>
      <w:r>
        <w:t xml:space="preserve">erformance-based liquefaction analysis, </w:t>
      </w:r>
      <w:r>
        <w:rPr>
          <w:i/>
        </w:rPr>
        <w:t>CPTLiquefY</w:t>
      </w:r>
      <w:r>
        <w:t xml:space="preserve">. The new deaggregation tool </w:t>
      </w:r>
      <w:r w:rsidR="0019205C">
        <w:t>from United States Geological Survey (USGS) has</w:t>
      </w:r>
      <w:r>
        <w:t xml:space="preserve"> been integrated into </w:t>
      </w:r>
      <w:r>
        <w:rPr>
          <w:i/>
        </w:rPr>
        <w:t>CPTLiquefY</w:t>
      </w:r>
      <w:r>
        <w:t xml:space="preserve"> to run deaggregations from the 2008 and 2014 deaggregation models. This new tool allows the program to run deaggregations from the desktop without the need to go online to the USGS website. The full performance-based probabilistic calculations have been completed in </w:t>
      </w:r>
      <w:r>
        <w:rPr>
          <w:i/>
        </w:rPr>
        <w:t>CPTLiquefY</w:t>
      </w:r>
      <w:r>
        <w:t xml:space="preserve"> for liquefaction triggering, liquefaction-induced free-field settlements, and will be completed soon for lateral spread calculations. For the liquefaction-induced settlement calculations, an adjustment was made to account for unrealistic vertical strain values.</w:t>
      </w:r>
    </w:p>
    <w:p w14:paraId="43E9588C" w14:textId="0458CE97" w:rsidR="00F32428" w:rsidRDefault="00F32428" w:rsidP="00F32428">
      <w:r>
        <w:rPr>
          <w:i/>
        </w:rPr>
        <w:t>CPTLiquefY</w:t>
      </w:r>
      <w:r>
        <w:t xml:space="preserve"> is expected to be complete within a few weeks</w:t>
      </w:r>
      <w:r w:rsidR="00AD2C6F">
        <w:t>,</w:t>
      </w:r>
      <w:r>
        <w:t xml:space="preserve"> and at that point analysis will begin. Analysis will consist of comparing results from the full performance-based methods to the deterministic, pseudo-probabilistic, and semi-probabilistic methods. Data will be collected for 10 different </w:t>
      </w:r>
      <w:r w:rsidR="00AD2C6F">
        <w:t>sites</w:t>
      </w:r>
      <w:r>
        <w:t xml:space="preserve"> with varying CPT soil profiles. </w:t>
      </w:r>
    </w:p>
    <w:p w14:paraId="43B489B9" w14:textId="77494A07" w:rsidR="009744F6" w:rsidRDefault="009744F6" w:rsidP="00641313">
      <w:pPr>
        <w:rPr>
          <w:szCs w:val="24"/>
        </w:rPr>
      </w:pPr>
    </w:p>
    <w:p w14:paraId="51A9E634" w14:textId="02277300" w:rsidR="00F32428" w:rsidRDefault="00F32428" w:rsidP="00641313">
      <w:pPr>
        <w:rPr>
          <w:szCs w:val="24"/>
        </w:rPr>
      </w:pPr>
    </w:p>
    <w:p w14:paraId="3E736A97" w14:textId="3BBA6AEE" w:rsidR="00F32428" w:rsidRDefault="00F32428" w:rsidP="00641313">
      <w:pPr>
        <w:rPr>
          <w:szCs w:val="24"/>
        </w:rPr>
      </w:pPr>
    </w:p>
    <w:p w14:paraId="79A4F703" w14:textId="2E6F2061" w:rsidR="00F32428" w:rsidRDefault="00F32428" w:rsidP="00641313">
      <w:pPr>
        <w:rPr>
          <w:szCs w:val="24"/>
        </w:rPr>
      </w:pPr>
    </w:p>
    <w:p w14:paraId="49F3D5FD" w14:textId="3443AB4A" w:rsidR="00F32428" w:rsidRDefault="00F32428" w:rsidP="00641313">
      <w:pPr>
        <w:rPr>
          <w:szCs w:val="24"/>
        </w:rPr>
      </w:pPr>
    </w:p>
    <w:p w14:paraId="230F0ED3" w14:textId="77777777" w:rsidR="00F32428" w:rsidRPr="004853B1" w:rsidRDefault="00F32428" w:rsidP="00641313">
      <w:pPr>
        <w:rPr>
          <w:szCs w:val="24"/>
        </w:rPr>
      </w:pPr>
    </w:p>
    <w:p w14:paraId="29FAF995" w14:textId="3CA7A7DA" w:rsidR="00235E75" w:rsidRPr="004853B1" w:rsidRDefault="00C93B27" w:rsidP="000D774C">
      <w:pPr>
        <w:pStyle w:val="Heading1"/>
      </w:pPr>
      <w:bookmarkStart w:id="12" w:name="_Toc259781263"/>
      <w:bookmarkStart w:id="13" w:name="_Toc263867752"/>
      <w:r w:rsidRPr="004853B1">
        <w:lastRenderedPageBreak/>
        <w:t xml:space="preserve">  </w:t>
      </w:r>
      <w:bookmarkStart w:id="14" w:name="_Toc273506404"/>
      <w:bookmarkStart w:id="15" w:name="_Toc473036487"/>
      <w:r w:rsidR="00235E75" w:rsidRPr="004853B1">
        <w:t>I</w:t>
      </w:r>
      <w:bookmarkEnd w:id="12"/>
      <w:bookmarkEnd w:id="13"/>
      <w:r w:rsidR="00E675A0" w:rsidRPr="004853B1">
        <w:rPr>
          <w:rStyle w:val="Heading3Char"/>
          <w:rFonts w:cs="Times New Roman"/>
        </w:rPr>
        <w:t>NTRODUCTION</w:t>
      </w:r>
      <w:bookmarkEnd w:id="14"/>
      <w:bookmarkEnd w:id="15"/>
    </w:p>
    <w:p w14:paraId="1C458A3F" w14:textId="77777777" w:rsidR="00235E75" w:rsidRPr="004853B1" w:rsidRDefault="00330669" w:rsidP="00E1182F">
      <w:pPr>
        <w:pStyle w:val="Heading2"/>
        <w:rPr>
          <w:rFonts w:cs="Times New Roman"/>
        </w:rPr>
      </w:pPr>
      <w:bookmarkStart w:id="16" w:name="_Toc259781264"/>
      <w:bookmarkStart w:id="17" w:name="_Toc263867753"/>
      <w:r w:rsidRPr="004853B1">
        <w:rPr>
          <w:rFonts w:cs="Times New Roman"/>
        </w:rPr>
        <w:t xml:space="preserve">  </w:t>
      </w:r>
      <w:bookmarkStart w:id="18" w:name="_Toc273506405"/>
      <w:bookmarkStart w:id="19" w:name="_Toc473036488"/>
      <w:r w:rsidR="00235E75" w:rsidRPr="004853B1">
        <w:rPr>
          <w:rFonts w:cs="Times New Roman"/>
        </w:rPr>
        <w:t>Problem Statement</w:t>
      </w:r>
      <w:bookmarkEnd w:id="16"/>
      <w:bookmarkEnd w:id="17"/>
      <w:bookmarkEnd w:id="18"/>
      <w:bookmarkEnd w:id="19"/>
    </w:p>
    <w:p w14:paraId="5F28EE53" w14:textId="00BF76B5" w:rsidR="00F32428" w:rsidRDefault="00F32428" w:rsidP="00F32428">
      <w:r>
        <w:t xml:space="preserve">The purpose of </w:t>
      </w:r>
      <w:r w:rsidR="00311076">
        <w:t>this</w:t>
      </w:r>
      <w:r>
        <w:t xml:space="preserve"> current research is to develop software that calculates a full </w:t>
      </w:r>
      <w:r w:rsidR="00311076">
        <w:t>performance-based engineering analysis to predict</w:t>
      </w:r>
      <w:r>
        <w:t xml:space="preserve"> liquefaction triggering, lateral spread </w:t>
      </w:r>
      <w:r w:rsidR="00311076">
        <w:t>displacement</w:t>
      </w:r>
      <w:r>
        <w:t>, and post-liq</w:t>
      </w:r>
      <w:r w:rsidR="00311076">
        <w:t xml:space="preserve">uefaction free-field settlement. To accomplish this purpose, </w:t>
      </w:r>
      <w:r>
        <w:t>empiri</w:t>
      </w:r>
      <w:r w:rsidR="00311076">
        <w:t>cal and/or semi-empirical models are used to estimate soil parameters</w:t>
      </w:r>
      <w:r>
        <w:t xml:space="preserve"> from a cone penetration test, CPT, as well as determine the behavior of the given soil during and after a seismic event. This is all accomplished using code written in Visual C++ to automate these procedures.</w:t>
      </w:r>
    </w:p>
    <w:p w14:paraId="3C214223" w14:textId="77777777" w:rsidR="009744F6" w:rsidRPr="004853B1" w:rsidRDefault="009744F6" w:rsidP="00E1182F">
      <w:pPr>
        <w:pStyle w:val="Heading2"/>
        <w:rPr>
          <w:rFonts w:cs="Times New Roman"/>
        </w:rPr>
      </w:pPr>
      <w:r w:rsidRPr="004853B1">
        <w:rPr>
          <w:rFonts w:cs="Times New Roman"/>
        </w:rPr>
        <w:t xml:space="preserve">  </w:t>
      </w:r>
      <w:bookmarkStart w:id="20" w:name="_Toc473036489"/>
      <w:r w:rsidRPr="004853B1">
        <w:rPr>
          <w:rFonts w:cs="Times New Roman"/>
        </w:rPr>
        <w:t>Objectives</w:t>
      </w:r>
      <w:bookmarkEnd w:id="20"/>
    </w:p>
    <w:p w14:paraId="397F0F89" w14:textId="0AC8D994" w:rsidR="00F32428" w:rsidRDefault="00F32428" w:rsidP="00F32428">
      <w:bookmarkStart w:id="21" w:name="_Toc259781265"/>
      <w:bookmarkStart w:id="22" w:name="_Toc263867754"/>
      <w:r>
        <w:t xml:space="preserve">The objective of this report is to report on the progress made in the development of the software </w:t>
      </w:r>
      <w:r>
        <w:rPr>
          <w:i/>
        </w:rPr>
        <w:t>CPTLiquefY</w:t>
      </w:r>
      <w:r w:rsidR="00112A35">
        <w:t xml:space="preserve">, addressing Task 4 of the </w:t>
      </w:r>
      <w:r>
        <w:t>TPF-5(338) research contract.</w:t>
      </w:r>
    </w:p>
    <w:p w14:paraId="21AB884E" w14:textId="77777777" w:rsidR="00235E75" w:rsidRPr="004853B1" w:rsidRDefault="00330669" w:rsidP="00E1182F">
      <w:pPr>
        <w:pStyle w:val="Heading2"/>
        <w:rPr>
          <w:rFonts w:cs="Times New Roman"/>
        </w:rPr>
      </w:pPr>
      <w:r w:rsidRPr="004853B1">
        <w:rPr>
          <w:rFonts w:cs="Times New Roman"/>
        </w:rPr>
        <w:t xml:space="preserve">  </w:t>
      </w:r>
      <w:bookmarkStart w:id="23" w:name="_Toc273506406"/>
      <w:bookmarkStart w:id="24" w:name="_Toc473036490"/>
      <w:r w:rsidR="00235E75" w:rsidRPr="004853B1">
        <w:rPr>
          <w:rFonts w:cs="Times New Roman"/>
        </w:rPr>
        <w:t>Scope</w:t>
      </w:r>
      <w:bookmarkEnd w:id="21"/>
      <w:bookmarkEnd w:id="22"/>
      <w:bookmarkEnd w:id="23"/>
      <w:bookmarkEnd w:id="24"/>
    </w:p>
    <w:p w14:paraId="690C4536" w14:textId="5A78359E" w:rsidR="00F32428" w:rsidRDefault="00311076" w:rsidP="00F32428">
      <w:r>
        <w:t>The primary task of</w:t>
      </w:r>
      <w:r w:rsidR="00F32428">
        <w:t xml:space="preserve"> this phase of research </w:t>
      </w:r>
      <w:r>
        <w:t>is the development of</w:t>
      </w:r>
      <w:r w:rsidR="00F32428">
        <w:t xml:space="preserve"> software that calculates soil characteristics from a CPT and automates the full performance-based model for liquefaction triggering, lateral spread displacement, post-liquefaction settlement.</w:t>
      </w:r>
    </w:p>
    <w:p w14:paraId="16C812CB" w14:textId="77777777" w:rsidR="00F32428" w:rsidRDefault="00F32428" w:rsidP="00F32428">
      <w:r>
        <w:t>The research conducted for this report will contain the following:</w:t>
      </w:r>
    </w:p>
    <w:p w14:paraId="1485B7FC" w14:textId="77777777" w:rsidR="00F32428" w:rsidRDefault="00F32428" w:rsidP="00F32428">
      <w:pPr>
        <w:widowControl w:val="0"/>
        <w:numPr>
          <w:ilvl w:val="0"/>
          <w:numId w:val="18"/>
        </w:numPr>
        <w:spacing w:line="276" w:lineRule="auto"/>
        <w:ind w:hanging="360"/>
        <w:contextualSpacing/>
      </w:pPr>
      <w:r>
        <w:rPr>
          <w:color w:val="000000"/>
          <w:szCs w:val="24"/>
        </w:rPr>
        <w:t>Introduction</w:t>
      </w:r>
    </w:p>
    <w:p w14:paraId="68F007E6" w14:textId="77777777" w:rsidR="00F32428" w:rsidRDefault="00F32428" w:rsidP="00F32428">
      <w:pPr>
        <w:widowControl w:val="0"/>
        <w:numPr>
          <w:ilvl w:val="0"/>
          <w:numId w:val="18"/>
        </w:numPr>
        <w:spacing w:line="276" w:lineRule="auto"/>
        <w:ind w:hanging="360"/>
        <w:contextualSpacing/>
      </w:pPr>
      <w:r>
        <w:rPr>
          <w:color w:val="000000"/>
          <w:szCs w:val="24"/>
        </w:rPr>
        <w:t>Progress in Development of Performance-</w:t>
      </w:r>
      <w:r>
        <w:t>B</w:t>
      </w:r>
      <w:r>
        <w:rPr>
          <w:color w:val="000000"/>
          <w:szCs w:val="24"/>
        </w:rPr>
        <w:t>ased Liquefaction Hazard Tool</w:t>
      </w:r>
    </w:p>
    <w:p w14:paraId="5B6BFC16" w14:textId="77777777" w:rsidR="00F32428" w:rsidRDefault="00F32428" w:rsidP="00F32428">
      <w:pPr>
        <w:widowControl w:val="0"/>
        <w:numPr>
          <w:ilvl w:val="0"/>
          <w:numId w:val="18"/>
        </w:numPr>
        <w:spacing w:line="276" w:lineRule="auto"/>
        <w:ind w:hanging="360"/>
        <w:contextualSpacing/>
      </w:pPr>
      <w:r>
        <w:rPr>
          <w:color w:val="000000"/>
          <w:szCs w:val="24"/>
        </w:rPr>
        <w:t>Integration of New USGS Deaggregation tool</w:t>
      </w:r>
    </w:p>
    <w:p w14:paraId="58B2C9A8" w14:textId="77777777" w:rsidR="00F32428" w:rsidRDefault="00F32428" w:rsidP="00F32428">
      <w:pPr>
        <w:widowControl w:val="0"/>
        <w:numPr>
          <w:ilvl w:val="0"/>
          <w:numId w:val="18"/>
        </w:numPr>
        <w:spacing w:line="276" w:lineRule="auto"/>
        <w:ind w:hanging="360"/>
        <w:contextualSpacing/>
      </w:pPr>
      <w:r>
        <w:rPr>
          <w:color w:val="000000"/>
          <w:szCs w:val="24"/>
        </w:rPr>
        <w:t>Conclusions</w:t>
      </w:r>
    </w:p>
    <w:p w14:paraId="5DEF20EC" w14:textId="77777777" w:rsidR="00F32428" w:rsidRDefault="00F32428" w:rsidP="00F32428">
      <w:pPr>
        <w:widowControl w:val="0"/>
        <w:numPr>
          <w:ilvl w:val="0"/>
          <w:numId w:val="18"/>
        </w:numPr>
        <w:spacing w:after="200" w:line="276" w:lineRule="auto"/>
        <w:ind w:hanging="360"/>
        <w:contextualSpacing/>
      </w:pPr>
      <w:r>
        <w:rPr>
          <w:color w:val="000000"/>
          <w:szCs w:val="24"/>
        </w:rPr>
        <w:t>Appendices</w:t>
      </w:r>
    </w:p>
    <w:p w14:paraId="37124E13" w14:textId="7A9F5527" w:rsidR="00E3551A" w:rsidRPr="004853B1" w:rsidRDefault="00691939" w:rsidP="00261923">
      <w:pPr>
        <w:ind w:firstLine="0"/>
      </w:pPr>
      <w:r w:rsidRPr="004853B1">
        <w:br w:type="page"/>
      </w:r>
    </w:p>
    <w:p w14:paraId="3B861985" w14:textId="3C5A0FC6" w:rsidR="00235E75" w:rsidRPr="004853B1" w:rsidRDefault="0070046B" w:rsidP="00FE1498">
      <w:pPr>
        <w:pStyle w:val="Heading1"/>
        <w:numPr>
          <w:ilvl w:val="0"/>
          <w:numId w:val="17"/>
        </w:numPr>
        <w:spacing w:after="240"/>
      </w:pPr>
      <w:r w:rsidRPr="00FE1498">
        <w:rPr>
          <w:i/>
        </w:rPr>
        <w:lastRenderedPageBreak/>
        <w:t xml:space="preserve"> </w:t>
      </w:r>
      <w:bookmarkStart w:id="25" w:name="_Toc473036491"/>
      <w:r w:rsidR="00396994" w:rsidRPr="00FE1498">
        <w:rPr>
          <w:i/>
        </w:rPr>
        <w:t>CPTLiquefY</w:t>
      </w:r>
      <w:r w:rsidR="00523B81" w:rsidRPr="004853B1">
        <w:t xml:space="preserve"> DEVELOPMENT</w:t>
      </w:r>
      <w:r w:rsidR="00FE1498">
        <w:t xml:space="preserve"> UPDATE</w:t>
      </w:r>
      <w:bookmarkEnd w:id="25"/>
      <w:r w:rsidR="00B94942" w:rsidRPr="004853B1">
        <w:t xml:space="preserve"> </w:t>
      </w:r>
    </w:p>
    <w:p w14:paraId="228DD54A" w14:textId="77777777" w:rsidR="00235E75" w:rsidRPr="004853B1" w:rsidRDefault="00C25F76" w:rsidP="004D65BF">
      <w:pPr>
        <w:pStyle w:val="Heading2"/>
        <w:rPr>
          <w:rFonts w:cs="Times New Roman"/>
        </w:rPr>
      </w:pPr>
      <w:bookmarkStart w:id="26" w:name="_Toc259781277"/>
      <w:bookmarkStart w:id="27" w:name="_Toc263867766"/>
      <w:r w:rsidRPr="004853B1">
        <w:rPr>
          <w:rFonts w:cs="Times New Roman"/>
        </w:rPr>
        <w:t xml:space="preserve">  </w:t>
      </w:r>
      <w:bookmarkStart w:id="28" w:name="_Toc273506420"/>
      <w:bookmarkStart w:id="29" w:name="_Toc473036492"/>
      <w:r w:rsidR="00235E75" w:rsidRPr="004853B1">
        <w:rPr>
          <w:rFonts w:cs="Times New Roman"/>
        </w:rPr>
        <w:t>Overview</w:t>
      </w:r>
      <w:bookmarkEnd w:id="26"/>
      <w:bookmarkEnd w:id="27"/>
      <w:bookmarkEnd w:id="28"/>
      <w:bookmarkEnd w:id="29"/>
    </w:p>
    <w:p w14:paraId="54CB21CC" w14:textId="7C8F3B89" w:rsidR="00F32428" w:rsidRDefault="00F32428" w:rsidP="00B61C93">
      <w:r>
        <w:t>A</w:t>
      </w:r>
      <w:r w:rsidR="00311076">
        <w:t>s previously mentioned, in the Quarter 1, Y</w:t>
      </w:r>
      <w:r>
        <w:t xml:space="preserve">ear 1 report, a computer program is in development named </w:t>
      </w:r>
      <w:r>
        <w:rPr>
          <w:i/>
        </w:rPr>
        <w:t>CPTLiquefY</w:t>
      </w:r>
      <w:r>
        <w:t>. This program is used to calculate t</w:t>
      </w:r>
      <w:r w:rsidR="00311076">
        <w:t>he full performance-based response of liquefaction triggering and its effects of lateral spread displacement and post-liquefaction free-field settlement</w:t>
      </w:r>
      <w:r>
        <w:t xml:space="preserve"> </w:t>
      </w:r>
      <w:r w:rsidR="00311076">
        <w:t>using CPT sounding input to characterize the soil</w:t>
      </w:r>
      <w:r>
        <w:t>.</w:t>
      </w:r>
      <w:r w:rsidR="00B61C93">
        <w:t xml:space="preserve"> </w:t>
      </w:r>
      <w:r>
        <w:t>Microsoft Vis</w:t>
      </w:r>
      <w:r w:rsidR="00B61C93">
        <w:t xml:space="preserve">ual Studio </w:t>
      </w:r>
      <w:r w:rsidR="00311076">
        <w:t>C++</w:t>
      </w:r>
      <w:r w:rsidR="00B61C93">
        <w:t xml:space="preserve"> (i.e., Visual C++)</w:t>
      </w:r>
      <w:r w:rsidR="00311076">
        <w:t xml:space="preserve"> was </w:t>
      </w:r>
      <w:r w:rsidR="00B61C93">
        <w:t>selected</w:t>
      </w:r>
      <w:r>
        <w:t xml:space="preserve"> to code </w:t>
      </w:r>
      <w:r>
        <w:rPr>
          <w:i/>
        </w:rPr>
        <w:t>CPTLiquefY</w:t>
      </w:r>
      <w:r w:rsidR="00B61C93">
        <w:t xml:space="preserve"> because of its processing speed, flexibility, rigor, and useful graphical user interface (GUI).</w:t>
      </w:r>
      <w:r>
        <w:t xml:space="preserve"> </w:t>
      </w:r>
    </w:p>
    <w:p w14:paraId="5332A9B6" w14:textId="7C6B0BB0" w:rsidR="00C15867" w:rsidRPr="004853B1" w:rsidRDefault="00C15867" w:rsidP="00C15867">
      <w:pPr>
        <w:pStyle w:val="Heading2"/>
        <w:rPr>
          <w:rFonts w:cs="Times New Roman"/>
        </w:rPr>
      </w:pPr>
      <w:r w:rsidRPr="004853B1">
        <w:rPr>
          <w:rFonts w:cs="Times New Roman"/>
        </w:rPr>
        <w:t xml:space="preserve">  </w:t>
      </w:r>
      <w:bookmarkStart w:id="30" w:name="_Toc473036493"/>
      <w:bookmarkStart w:id="31" w:name="_Toc259781291"/>
      <w:bookmarkStart w:id="32" w:name="_Toc263867780"/>
      <w:r w:rsidR="00B9155D">
        <w:rPr>
          <w:rFonts w:cs="Times New Roman"/>
        </w:rPr>
        <w:t>Recent</w:t>
      </w:r>
      <w:r w:rsidR="00AC0D8D" w:rsidRPr="004853B1">
        <w:rPr>
          <w:rFonts w:cs="Times New Roman"/>
        </w:rPr>
        <w:t xml:space="preserve"> </w:t>
      </w:r>
      <w:r w:rsidR="00523B81" w:rsidRPr="004853B1">
        <w:rPr>
          <w:rFonts w:cs="Times New Roman"/>
        </w:rPr>
        <w:t xml:space="preserve">Progress in </w:t>
      </w:r>
      <w:r w:rsidR="00396994" w:rsidRPr="004853B1">
        <w:rPr>
          <w:rFonts w:cs="Times New Roman"/>
          <w:i/>
        </w:rPr>
        <w:t>CPTLiquefY</w:t>
      </w:r>
      <w:bookmarkEnd w:id="30"/>
      <w:r w:rsidR="00523B81" w:rsidRPr="004853B1">
        <w:rPr>
          <w:rFonts w:cs="Times New Roman"/>
        </w:rPr>
        <w:t xml:space="preserve"> </w:t>
      </w:r>
    </w:p>
    <w:p w14:paraId="7C549344" w14:textId="65492CF3" w:rsidR="003707DB" w:rsidRPr="004853B1" w:rsidRDefault="003707DB" w:rsidP="003707DB">
      <w:pPr>
        <w:pStyle w:val="Heading3"/>
        <w:rPr>
          <w:rFonts w:cs="Times New Roman"/>
        </w:rPr>
      </w:pPr>
      <w:bookmarkStart w:id="33" w:name="_Toc259781279"/>
      <w:bookmarkStart w:id="34" w:name="_Toc263867768"/>
      <w:r w:rsidRPr="004853B1">
        <w:rPr>
          <w:rFonts w:cs="Times New Roman"/>
        </w:rPr>
        <w:t xml:space="preserve"> </w:t>
      </w:r>
      <w:bookmarkStart w:id="35" w:name="_Toc473036494"/>
      <w:r w:rsidR="00B9155D" w:rsidRPr="004853B1">
        <w:rPr>
          <w:rFonts w:cs="Times New Roman"/>
        </w:rPr>
        <w:t>Full Performance-Based Analysis of Liquefaction Triggering</w:t>
      </w:r>
      <w:bookmarkEnd w:id="35"/>
    </w:p>
    <w:p w14:paraId="0285C979" w14:textId="0775CF17" w:rsidR="00F32428" w:rsidRDefault="00F32428" w:rsidP="00F32428">
      <w:r>
        <w:rPr>
          <w:i/>
        </w:rPr>
        <w:t>CPTLiquefY</w:t>
      </w:r>
      <w:r>
        <w:t xml:space="preserve"> now contains the ability to perform full performance-based analysis </w:t>
      </w:r>
      <w:r w:rsidR="008B13C8">
        <w:t>of liquefaction triggering</w:t>
      </w:r>
      <w:r>
        <w:t>.  This allows the user to do a performance</w:t>
      </w:r>
      <w:r w:rsidR="008B13C8">
        <w:t>-</w:t>
      </w:r>
      <w:r>
        <w:t xml:space="preserve">based liquefaction hazard analysis while considering data from a CPT.  To perform this analysis the user simply uploads a CPT file and selects “Calculate”.  </w:t>
      </w:r>
      <w:r w:rsidR="00B61C93">
        <w:t>T</w:t>
      </w:r>
      <w:r>
        <w:t xml:space="preserve">he user can </w:t>
      </w:r>
      <w:r w:rsidR="00B61C93">
        <w:t xml:space="preserve">then </w:t>
      </w:r>
      <w:r>
        <w:t xml:space="preserve">go to the “Full Probabilistic User Inputs” </w:t>
      </w:r>
      <w:r w:rsidR="00B61C93">
        <w:t xml:space="preserve">tab </w:t>
      </w:r>
      <w:r>
        <w:t xml:space="preserve">and select “Load Seismic Data”. This will load information from the new </w:t>
      </w:r>
      <w:r w:rsidR="00B61C93">
        <w:t xml:space="preserve">beta </w:t>
      </w:r>
      <w:r>
        <w:t xml:space="preserve">USGS </w:t>
      </w:r>
      <w:r w:rsidR="00B61C93">
        <w:t xml:space="preserve">uniform hazard </w:t>
      </w:r>
      <w:r>
        <w:t>deaggregati</w:t>
      </w:r>
      <w:r w:rsidR="00B61C93">
        <w:t>on tool that will allow the user to perform a</w:t>
      </w:r>
      <w:r>
        <w:t xml:space="preserve"> full performance-based analysis. Once the green bar above the “Load Seismic Data” button is full, then the user can press the “Run Analysis” to begin this process.  Once the lower green loading bar is full, the analysis </w:t>
      </w:r>
      <w:r w:rsidR="00B61C93">
        <w:t>is complete and the results are plotted in the “Liquefaction Triggering Results” tab. Details on the models and mathematical calculations that comprise the full performance-based analysis method</w:t>
      </w:r>
      <w:r>
        <w:t xml:space="preserve"> are discussed in the Quarter 1</w:t>
      </w:r>
      <w:r w:rsidR="00B61C93">
        <w:t>,</w:t>
      </w:r>
      <w:r>
        <w:t xml:space="preserve"> Year 1 report.</w:t>
      </w:r>
    </w:p>
    <w:p w14:paraId="1CC1B7E9" w14:textId="77777777" w:rsidR="00E10BE2" w:rsidRDefault="00F32428" w:rsidP="00E10BE2">
      <w:pPr>
        <w:keepNext/>
        <w:ind w:firstLine="0"/>
        <w:jc w:val="center"/>
      </w:pPr>
      <w:r>
        <w:rPr>
          <w:noProof/>
        </w:rPr>
        <w:lastRenderedPageBreak/>
        <w:drawing>
          <wp:inline distT="114300" distB="114300" distL="114300" distR="114300" wp14:anchorId="0A98D85D" wp14:editId="0C9EEF53">
            <wp:extent cx="5305647" cy="3370521"/>
            <wp:effectExtent l="0" t="0" r="0" b="1905"/>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316954" cy="3377704"/>
                    </a:xfrm>
                    <a:prstGeom prst="rect">
                      <a:avLst/>
                    </a:prstGeom>
                    <a:ln/>
                  </pic:spPr>
                </pic:pic>
              </a:graphicData>
            </a:graphic>
          </wp:inline>
        </w:drawing>
      </w:r>
    </w:p>
    <w:p w14:paraId="5A4DDF2B" w14:textId="36EC58B6" w:rsidR="00E10BE2" w:rsidRDefault="00E10BE2" w:rsidP="00E10BE2">
      <w:pPr>
        <w:pStyle w:val="Caption"/>
      </w:pPr>
      <w:bookmarkStart w:id="36" w:name="_Ref472957275"/>
      <w:bookmarkStart w:id="37" w:name="_Ref472957269"/>
      <w:bookmarkStart w:id="38" w:name="_Toc473036508"/>
      <w:r>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1</w:t>
        </w:r>
      </w:fldSimple>
      <w:bookmarkEnd w:id="36"/>
      <w:r>
        <w:t xml:space="preserve"> View of </w:t>
      </w:r>
      <w:r>
        <w:rPr>
          <w:i/>
        </w:rPr>
        <w:t>CPTLiquefY</w:t>
      </w:r>
      <w:r>
        <w:t>, showing the completed analysis process on the “Full Probabilistic User Inputs” tab.</w:t>
      </w:r>
      <w:bookmarkStart w:id="39" w:name="_Ref463891934"/>
      <w:bookmarkEnd w:id="37"/>
      <w:bookmarkEnd w:id="38"/>
    </w:p>
    <w:p w14:paraId="136DBA87" w14:textId="3E0D369A" w:rsidR="00AE01C8" w:rsidRPr="004853B1" w:rsidRDefault="008825AA" w:rsidP="00A6680A">
      <w:pPr>
        <w:pStyle w:val="Heading3"/>
        <w:rPr>
          <w:rFonts w:cs="Times New Roman"/>
        </w:rPr>
      </w:pPr>
      <w:bookmarkStart w:id="40" w:name="_Toc473036495"/>
      <w:bookmarkEnd w:id="39"/>
      <w:r>
        <w:rPr>
          <w:rFonts w:cs="Times New Roman"/>
        </w:rPr>
        <w:t>Liquefaction Triggering</w:t>
      </w:r>
      <w:r w:rsidR="00E4368B">
        <w:rPr>
          <w:rFonts w:cs="Times New Roman"/>
        </w:rPr>
        <w:t xml:space="preserve"> Results Tab</w:t>
      </w:r>
      <w:bookmarkEnd w:id="40"/>
    </w:p>
    <w:p w14:paraId="38A98B00" w14:textId="6620D4CD" w:rsidR="00F32428" w:rsidRDefault="00F32428" w:rsidP="00F32428">
      <w:r>
        <w:t>At the completion of the analysis</w:t>
      </w:r>
      <w:r w:rsidR="00B61C93">
        <w:t>,</w:t>
      </w:r>
      <w:r>
        <w:t xml:space="preserve"> the user may navigate to the “Liquefaction Triggering Results” tab, as shown i</w:t>
      </w:r>
      <w:r w:rsidR="00E10BE2">
        <w:t xml:space="preserve">n </w:t>
      </w:r>
      <w:r w:rsidR="00E10BE2">
        <w:rPr>
          <w:color w:val="FF00FF"/>
        </w:rPr>
        <w:fldChar w:fldCharType="begin"/>
      </w:r>
      <w:r w:rsidR="00E10BE2">
        <w:rPr>
          <w:color w:val="FF00FF"/>
        </w:rPr>
        <w:instrText xml:space="preserve"> REF _Ref472957275 \h </w:instrText>
      </w:r>
      <w:r w:rsidR="00E10BE2">
        <w:rPr>
          <w:color w:val="FF00FF"/>
        </w:rPr>
      </w:r>
      <w:r w:rsidR="00E10BE2">
        <w:rPr>
          <w:color w:val="FF00FF"/>
        </w:rPr>
        <w:fldChar w:fldCharType="separate"/>
      </w:r>
      <w:r w:rsidR="00E10BE2">
        <w:t xml:space="preserve">Figure </w:t>
      </w:r>
      <w:r w:rsidR="00E10BE2">
        <w:rPr>
          <w:noProof/>
        </w:rPr>
        <w:t>2</w:t>
      </w:r>
      <w:r w:rsidR="00E10BE2">
        <w:t>.</w:t>
      </w:r>
      <w:r w:rsidR="00E10BE2">
        <w:rPr>
          <w:noProof/>
        </w:rPr>
        <w:t>1</w:t>
      </w:r>
      <w:r w:rsidR="00E10BE2">
        <w:rPr>
          <w:color w:val="FF00FF"/>
        </w:rPr>
        <w:fldChar w:fldCharType="end"/>
      </w:r>
      <w:r>
        <w:t xml:space="preserve">.  Each layer of the CPT profile that has been analyzed will have a distinct </w:t>
      </w:r>
      <w:r w:rsidR="00B61C93">
        <w:t xml:space="preserve">liquefaction triggering </w:t>
      </w:r>
      <w:r>
        <w:t xml:space="preserve">hazard curve calculated using both </w:t>
      </w:r>
      <w:r w:rsidRPr="006B0913">
        <w:t>Boulanger</w:t>
      </w:r>
      <w:r w:rsidR="006B0913" w:rsidRPr="006B0913">
        <w:t xml:space="preserve"> and Idriss (2014)</w:t>
      </w:r>
      <w:r w:rsidRPr="006B0913">
        <w:t xml:space="preserve"> and Ku et al</w:t>
      </w:r>
      <w:r w:rsidR="00B61C93">
        <w:t>. (2012</w:t>
      </w:r>
      <w:r w:rsidR="006B0913" w:rsidRPr="006B0913">
        <w:t>)</w:t>
      </w:r>
      <w:r w:rsidRPr="006B0913">
        <w:t xml:space="preserve"> (</w:t>
      </w:r>
      <w:r w:rsidR="00B61C93">
        <w:t xml:space="preserve">i.e., </w:t>
      </w:r>
      <w:r w:rsidRPr="006B0913">
        <w:t>Robertson and Wride</w:t>
      </w:r>
      <w:r w:rsidR="00B61C93">
        <w:t>, 1998</w:t>
      </w:r>
      <w:r w:rsidRPr="006B0913">
        <w:t>)</w:t>
      </w:r>
      <w:r>
        <w:t xml:space="preserve"> methods.  The user may enter in a specific layer into the “Enter Layer Number” te</w:t>
      </w:r>
      <w:r w:rsidR="00E10BE2">
        <w:t>xtbox to launch a data grid</w:t>
      </w:r>
      <w:r>
        <w:t xml:space="preserve"> with the </w:t>
      </w:r>
      <w:r w:rsidR="00E10BE2">
        <w:t>information</w:t>
      </w:r>
      <w:r>
        <w:t xml:space="preserve"> for that layer’s hazard curve</w:t>
      </w:r>
      <w:r w:rsidR="00E10BE2">
        <w:t xml:space="preserve">, as seen in </w:t>
      </w:r>
      <w:r w:rsidR="00E10BE2">
        <w:fldChar w:fldCharType="begin"/>
      </w:r>
      <w:r w:rsidR="00E10BE2">
        <w:instrText xml:space="preserve"> REF _Ref463892285 \h </w:instrText>
      </w:r>
      <w:r w:rsidR="00E10BE2">
        <w:fldChar w:fldCharType="separate"/>
      </w:r>
      <w:r w:rsidR="00E10BE2" w:rsidRPr="004853B1">
        <w:t xml:space="preserve">Figure </w:t>
      </w:r>
      <w:r w:rsidR="00E10BE2">
        <w:rPr>
          <w:noProof/>
        </w:rPr>
        <w:t>2</w:t>
      </w:r>
      <w:r w:rsidR="00E10BE2">
        <w:t>.</w:t>
      </w:r>
      <w:r w:rsidR="00E10BE2">
        <w:rPr>
          <w:noProof/>
        </w:rPr>
        <w:t>2</w:t>
      </w:r>
      <w:r w:rsidR="00E10BE2">
        <w:fldChar w:fldCharType="end"/>
      </w:r>
      <w:r>
        <w:t xml:space="preserve">. </w:t>
      </w:r>
      <w:r w:rsidR="002D2B2C">
        <w:t xml:space="preserve"> </w:t>
      </w:r>
      <w:r>
        <w:t xml:space="preserve">All data is easily copied and pasted into </w:t>
      </w:r>
      <w:r w:rsidR="00E10BE2">
        <w:t>Microsoft E</w:t>
      </w:r>
      <w:r>
        <w:t xml:space="preserve">xcel for </w:t>
      </w:r>
      <w:r w:rsidR="00B61C93">
        <w:t xml:space="preserve">additional </w:t>
      </w:r>
      <w:r>
        <w:t>plotting</w:t>
      </w:r>
      <w:r w:rsidR="00B61C93">
        <w:t xml:space="preserve"> options</w:t>
      </w:r>
      <w:r>
        <w:t xml:space="preserve">.  The </w:t>
      </w:r>
      <w:r w:rsidR="00E10BE2">
        <w:t>“</w:t>
      </w:r>
      <w:r>
        <w:t>Export</w:t>
      </w:r>
      <w:r w:rsidR="00E10BE2">
        <w:t>”</w:t>
      </w:r>
      <w:r>
        <w:t xml:space="preserve"> tab also contains options for easily saving a</w:t>
      </w:r>
      <w:r w:rsidR="004710F9">
        <w:t>ll calculated data into a tabulated</w:t>
      </w:r>
      <w:r>
        <w:t xml:space="preserve"> format.  An example of a completed liquefaction triggering hazard curve </w:t>
      </w:r>
      <w:r w:rsidR="004710F9">
        <w:t xml:space="preserve">for a single soil layer </w:t>
      </w:r>
      <w:r>
        <w:t xml:space="preserve">is shown in </w:t>
      </w:r>
      <w:r w:rsidR="00E10BE2">
        <w:fldChar w:fldCharType="begin"/>
      </w:r>
      <w:r w:rsidR="00E10BE2">
        <w:instrText xml:space="preserve"> REF _Ref472957728 \h </w:instrText>
      </w:r>
      <w:r w:rsidR="00E10BE2">
        <w:fldChar w:fldCharType="separate"/>
      </w:r>
      <w:r w:rsidR="00E10BE2" w:rsidRPr="00E10BE2">
        <w:t>Figure 2.3</w:t>
      </w:r>
      <w:r w:rsidR="00E10BE2">
        <w:fldChar w:fldCharType="end"/>
      </w:r>
      <w:r>
        <w:t>.  For any return period of interest</w:t>
      </w:r>
      <w:r w:rsidR="007326F2">
        <w:t>,</w:t>
      </w:r>
      <w:r>
        <w:t xml:space="preserve"> the user can use this plot to estimate the perform</w:t>
      </w:r>
      <w:r w:rsidR="002D2B2C">
        <w:t>ance-based f</w:t>
      </w:r>
      <w:r>
        <w:t>actor of safety against liquefaction of the specific layer analyzed.</w:t>
      </w:r>
    </w:p>
    <w:p w14:paraId="29F674F6" w14:textId="77777777" w:rsidR="00A450C7" w:rsidRPr="004853B1" w:rsidRDefault="00A450C7" w:rsidP="00096FFA"/>
    <w:p w14:paraId="2DE0625E" w14:textId="0DEAD251" w:rsidR="00A450C7" w:rsidRPr="004853B1" w:rsidRDefault="00F32428" w:rsidP="0051677C">
      <w:pPr>
        <w:keepNext/>
        <w:ind w:firstLine="0"/>
        <w:jc w:val="center"/>
      </w:pPr>
      <w:r>
        <w:rPr>
          <w:noProof/>
        </w:rPr>
        <w:lastRenderedPageBreak/>
        <w:drawing>
          <wp:inline distT="114300" distB="114300" distL="114300" distR="114300" wp14:anchorId="049321BB" wp14:editId="56199C1F">
            <wp:extent cx="5273749" cy="3306726"/>
            <wp:effectExtent l="0" t="0" r="3175" b="8255"/>
            <wp:docPr id="1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5295444" cy="3320329"/>
                    </a:xfrm>
                    <a:prstGeom prst="rect">
                      <a:avLst/>
                    </a:prstGeom>
                    <a:ln/>
                  </pic:spPr>
                </pic:pic>
              </a:graphicData>
            </a:graphic>
          </wp:inline>
        </w:drawing>
      </w:r>
    </w:p>
    <w:p w14:paraId="0852D8EC" w14:textId="19CB3C7A" w:rsidR="00096FFA" w:rsidRDefault="00A450C7" w:rsidP="0051677C">
      <w:pPr>
        <w:pStyle w:val="Caption"/>
        <w:ind w:firstLine="0"/>
      </w:pPr>
      <w:bookmarkStart w:id="41" w:name="_Ref463892285"/>
      <w:bookmarkStart w:id="42" w:name="_Toc473036509"/>
      <w:r w:rsidRPr="004853B1">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2</w:t>
        </w:r>
      </w:fldSimple>
      <w:bookmarkEnd w:id="41"/>
      <w:r w:rsidR="00956C28" w:rsidRPr="004853B1">
        <w:t xml:space="preserve"> View of </w:t>
      </w:r>
      <w:r w:rsidR="00E10BE2">
        <w:t>“L</w:t>
      </w:r>
      <w:r w:rsidR="00A86392">
        <w:t>iquefaction Triggering Results</w:t>
      </w:r>
      <w:r w:rsidR="00E10BE2">
        <w:t>” t</w:t>
      </w:r>
      <w:r w:rsidR="00A86392">
        <w:t>ab after analysis</w:t>
      </w:r>
      <w:bookmarkEnd w:id="42"/>
    </w:p>
    <w:p w14:paraId="41D8FFE3" w14:textId="77777777" w:rsidR="00E10BE2" w:rsidRDefault="00E10BE2" w:rsidP="00BA50B3">
      <w:pPr>
        <w:pStyle w:val="BodyText"/>
        <w:keepNext/>
        <w:ind w:firstLine="0"/>
        <w:jc w:val="center"/>
      </w:pPr>
      <w:r>
        <w:rPr>
          <w:noProof/>
        </w:rPr>
        <w:drawing>
          <wp:inline distT="0" distB="0" distL="0" distR="0" wp14:anchorId="7E9D5BEA" wp14:editId="25A3C1BE">
            <wp:extent cx="5029200" cy="3125972"/>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CCACB5" w14:textId="4BD5F8B8" w:rsidR="00F32428" w:rsidRPr="00F32428" w:rsidRDefault="00E10BE2" w:rsidP="00BA50B3">
      <w:pPr>
        <w:pStyle w:val="Caption"/>
        <w:ind w:firstLine="0"/>
      </w:pPr>
      <w:bookmarkStart w:id="43" w:name="_Ref472957728"/>
      <w:bookmarkStart w:id="44" w:name="_Toc473036510"/>
      <w:r w:rsidRPr="00E10BE2">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3</w:t>
        </w:r>
      </w:fldSimple>
      <w:bookmarkEnd w:id="43"/>
      <w:r w:rsidRPr="00E10BE2">
        <w:t xml:space="preserve"> Example </w:t>
      </w:r>
      <w:r>
        <w:t>plot from “Liquefaction Triggering R</w:t>
      </w:r>
      <w:r w:rsidRPr="00E10BE2">
        <w:t>esults</w:t>
      </w:r>
      <w:r>
        <w:t>”</w:t>
      </w:r>
      <w:r w:rsidRPr="00E10BE2">
        <w:t xml:space="preserve"> tab</w:t>
      </w:r>
      <w:bookmarkEnd w:id="44"/>
    </w:p>
    <w:p w14:paraId="5EE4F56E" w14:textId="1B017A65" w:rsidR="00096FFA" w:rsidRPr="004853B1" w:rsidRDefault="00096FFA" w:rsidP="00096FFA">
      <w:pPr>
        <w:pStyle w:val="Heading3"/>
        <w:rPr>
          <w:rFonts w:cs="Times New Roman"/>
        </w:rPr>
      </w:pPr>
      <w:r w:rsidRPr="004853B1">
        <w:rPr>
          <w:rFonts w:cs="Times New Roman"/>
        </w:rPr>
        <w:lastRenderedPageBreak/>
        <w:t xml:space="preserve"> </w:t>
      </w:r>
      <w:bookmarkStart w:id="45" w:name="_Toc473036496"/>
      <w:r w:rsidR="008825AA">
        <w:rPr>
          <w:rFonts w:cs="Times New Roman"/>
        </w:rPr>
        <w:t>Settlement</w:t>
      </w:r>
      <w:r w:rsidR="00E4368B">
        <w:rPr>
          <w:rFonts w:cs="Times New Roman"/>
        </w:rPr>
        <w:t xml:space="preserve"> Results Tab</w:t>
      </w:r>
      <w:bookmarkEnd w:id="45"/>
    </w:p>
    <w:p w14:paraId="0EFD9B7D" w14:textId="01CFD881" w:rsidR="00F32428" w:rsidRDefault="00F32428" w:rsidP="00F32428">
      <w:r>
        <w:t>After running the performance-based</w:t>
      </w:r>
      <w:r w:rsidR="004710F9">
        <w:t xml:space="preserve"> liquefaction triggering</w:t>
      </w:r>
      <w:r>
        <w:t xml:space="preserve"> anal</w:t>
      </w:r>
      <w:r w:rsidR="00BA5CF9">
        <w:t>ysis, the user may navigate</w:t>
      </w:r>
      <w:r>
        <w:t xml:space="preserve"> to the “Settlement Results” tab to see free-field settlement results. To calculate total settlement, using a full probabilistic performance-based approach, </w:t>
      </w:r>
      <w:r>
        <w:rPr>
          <w:i/>
        </w:rPr>
        <w:t xml:space="preserve">CPTLiquefY </w:t>
      </w:r>
      <w:r>
        <w:t>calculates a strain hazard curve using a full probabilistic approach</w:t>
      </w:r>
      <w:r w:rsidR="004710F9">
        <w:t xml:space="preserve"> as presented in Kramer et al. (2014)</w:t>
      </w:r>
      <w:r>
        <w:t xml:space="preserve">, for every soil layer, which is about every </w:t>
      </w:r>
      <w:r w:rsidR="00BB3AAA">
        <w:t>5-cm</w:t>
      </w:r>
      <w:r>
        <w:t xml:space="preserve"> </w:t>
      </w:r>
      <w:r w:rsidR="004710F9">
        <w:t xml:space="preserve">of soil depth </w:t>
      </w:r>
      <w:r>
        <w:t xml:space="preserve">depending on the CPT input file. Next, </w:t>
      </w:r>
      <w:r>
        <w:rPr>
          <w:i/>
        </w:rPr>
        <w:t>CPTLiquefY</w:t>
      </w:r>
      <w:r>
        <w:t xml:space="preserve"> develops a liquefaction-induced settlement hazard curve for the site.</w:t>
      </w:r>
      <w:r w:rsidR="00080D32">
        <w:t xml:space="preserve"> The settlement hazard curve is developed following the process described in the Quarter 1, Year 1 report.</w:t>
      </w:r>
      <w:r>
        <w:t xml:space="preserve"> It is important to note the multiplicative model bias value (M) has been re-regressed using empirical field observed data, as planned in the Year 1, Quarter 1 report, and implemented in </w:t>
      </w:r>
      <w:r>
        <w:rPr>
          <w:i/>
        </w:rPr>
        <w:t>CPTLiquefY</w:t>
      </w:r>
      <w:r>
        <w:t xml:space="preserve">.  </w:t>
      </w:r>
    </w:p>
    <w:p w14:paraId="3242CB60" w14:textId="640F3E5D" w:rsidR="00F32428" w:rsidRDefault="00F32428" w:rsidP="00F32428">
      <w:bookmarkStart w:id="46" w:name="_opuvcrsf3ai9" w:colFirst="0" w:colLast="0"/>
      <w:bookmarkEnd w:id="46"/>
      <w:r>
        <w:t>In addition to all background given in the Year 1, Quarter 1 report, a method to limit unrealistic strain values has been implemented into the strain calculation</w:t>
      </w:r>
      <w:r w:rsidRPr="006B0913">
        <w:t>. Kramer et al. (2008) found that specific soils have certain maximum volumetric strains that are even physically possible to achieve. Huang (2008) performed a study to find the maximum limited strain for different types of soil. Huang (2008) used the deterministic models of Tokimatsu and Seed (1987), Ishihara and Yoshimine (1992), Shamoto et al. (1998), and Wu and Seed (2004)</w:t>
      </w:r>
      <w:r w:rsidR="00BA5CF9">
        <w:t xml:space="preserve"> to create</w:t>
      </w:r>
      <w:r>
        <w:t xml:space="preserve"> a weighted average of maximum </w:t>
      </w:r>
      <w:r w:rsidR="004710F9">
        <w:t xml:space="preserve">volumetric </w:t>
      </w:r>
      <w:r>
        <w:t xml:space="preserve">strain based on </w:t>
      </w:r>
      <w:r w:rsidR="004710F9">
        <w:t>relative density (as correlated with SPT resistance)</w:t>
      </w:r>
      <w:r>
        <w:t xml:space="preserve"> as shown in</w:t>
      </w:r>
      <w:r w:rsidR="00BA5CF9">
        <w:rPr>
          <w:color w:val="FF00FF"/>
        </w:rPr>
        <w:t xml:space="preserve"> </w:t>
      </w:r>
      <w:r w:rsidR="00BA5CF9">
        <w:rPr>
          <w:color w:val="FF00FF"/>
        </w:rPr>
        <w:fldChar w:fldCharType="begin"/>
      </w:r>
      <w:r w:rsidR="00BA5CF9">
        <w:rPr>
          <w:color w:val="FF00FF"/>
        </w:rPr>
        <w:instrText xml:space="preserve"> REF _Ref472957988 \h </w:instrText>
      </w:r>
      <w:r w:rsidR="00BA5CF9">
        <w:rPr>
          <w:color w:val="FF00FF"/>
        </w:rPr>
      </w:r>
      <w:r w:rsidR="00BA5CF9">
        <w:rPr>
          <w:color w:val="FF00FF"/>
        </w:rPr>
        <w:fldChar w:fldCharType="separate"/>
      </w:r>
      <w:r w:rsidR="00BA5CF9" w:rsidRPr="00BA5CF9">
        <w:t>Figure 2.4</w:t>
      </w:r>
      <w:r w:rsidR="00BA5CF9">
        <w:rPr>
          <w:color w:val="FF00FF"/>
        </w:rPr>
        <w:fldChar w:fldCharType="end"/>
      </w:r>
      <w:r w:rsidR="00BA5CF9">
        <w:t>.</w:t>
      </w:r>
    </w:p>
    <w:p w14:paraId="4C56A6FE" w14:textId="77777777" w:rsidR="00BA5CF9" w:rsidRDefault="00BA5CF9" w:rsidP="00BA5CF9">
      <w:pPr>
        <w:keepNext/>
        <w:jc w:val="center"/>
      </w:pPr>
      <w:r>
        <w:rPr>
          <w:noProof/>
          <w:color w:val="000000"/>
        </w:rPr>
        <w:lastRenderedPageBreak/>
        <w:drawing>
          <wp:inline distT="0" distB="0" distL="0" distR="0" wp14:anchorId="7A7C171D" wp14:editId="36A21586">
            <wp:extent cx="4712741" cy="3328988"/>
            <wp:effectExtent l="0" t="0" r="0" b="5080"/>
            <wp:docPr id="24" name="Picture 24" descr="https://lh3.googleusercontent.com/t3-rxzrdNPhG05B8VRIBxFpLyH_Llf9q4CWi3ACoeAgcMRWCyzB0fczuF1lsjyNZ5NpYS0PCcT2JndwrjtvgOks9gRbQNbUk5oc1PjoVxtPoRgdwkodbNcq16Aoz1RDWh4_Ovl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t3-rxzrdNPhG05B8VRIBxFpLyH_Llf9q4CWi3ACoeAgcMRWCyzB0fczuF1lsjyNZ5NpYS0PCcT2JndwrjtvgOks9gRbQNbUk5oc1PjoVxtPoRgdwkodbNcq16Aoz1RDWh4_Ovla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6716" cy="3367115"/>
                    </a:xfrm>
                    <a:prstGeom prst="rect">
                      <a:avLst/>
                    </a:prstGeom>
                    <a:noFill/>
                    <a:ln>
                      <a:noFill/>
                    </a:ln>
                  </pic:spPr>
                </pic:pic>
              </a:graphicData>
            </a:graphic>
          </wp:inline>
        </w:drawing>
      </w:r>
    </w:p>
    <w:p w14:paraId="2567CDCE" w14:textId="11D87935" w:rsidR="00BA5CF9" w:rsidRDefault="00BA5CF9" w:rsidP="00BA5CF9">
      <w:pPr>
        <w:pStyle w:val="Caption"/>
      </w:pPr>
      <w:bookmarkStart w:id="47" w:name="_Ref472957988"/>
      <w:bookmarkStart w:id="48" w:name="_Toc473036511"/>
      <w:r w:rsidRPr="00BA5CF9">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4</w:t>
        </w:r>
      </w:fldSimple>
      <w:bookmarkEnd w:id="47"/>
      <w:r w:rsidRPr="00BA5CF9">
        <w:t xml:space="preserve"> Maximum vertical strain levels inferred by deterministic vertical strain models, and weighted average used to define mean value</w:t>
      </w:r>
      <w:r w:rsidR="00B61C93">
        <w:t xml:space="preserve"> (after Huang 2008)</w:t>
      </w:r>
      <w:bookmarkEnd w:id="48"/>
    </w:p>
    <w:p w14:paraId="1283F97B" w14:textId="77777777" w:rsidR="004710F9" w:rsidRDefault="004710F9" w:rsidP="00F32428">
      <w:pPr>
        <w:jc w:val="left"/>
      </w:pPr>
      <w:bookmarkStart w:id="49" w:name="_62jyrvbz0in9" w:colFirst="0" w:colLast="0"/>
      <w:bookmarkEnd w:id="49"/>
    </w:p>
    <w:p w14:paraId="0586E083" w14:textId="1A142960" w:rsidR="00F32428" w:rsidRDefault="00F32428" w:rsidP="00F32428">
      <w:pPr>
        <w:jc w:val="left"/>
      </w:pPr>
      <w:r w:rsidRPr="00B56B78">
        <w:t>Kramer et al. (2014)</w:t>
      </w:r>
      <w:r>
        <w:t xml:space="preserve"> approximated the weighted average relationship by</w:t>
      </w:r>
      <w:r w:rsidR="00BA5CF9">
        <w:t xml:space="preserve"> using the following equation.</w:t>
      </w:r>
    </w:p>
    <w:p w14:paraId="4780E7DC" w14:textId="592C88AE" w:rsidR="00F32428" w:rsidRDefault="00B84C3E" w:rsidP="00F32428">
      <w:pPr>
        <w:ind w:left="1440"/>
      </w:pPr>
      <m:oMath>
        <m:sSub>
          <m:sSubPr>
            <m:ctrlPr>
              <w:rPr>
                <w:rFonts w:ascii="Cambria Math" w:hAnsi="Cambria Math"/>
              </w:rPr>
            </m:ctrlPr>
          </m:sSubPr>
          <m:e>
            <m:r>
              <w:rPr>
                <w:rFonts w:ascii="Cambria Math" w:hAnsi="Cambria Math"/>
              </w:rPr>
              <m:t>ε</m:t>
            </m:r>
          </m:e>
          <m:sub>
            <m:r>
              <w:rPr>
                <w:rFonts w:ascii="Cambria Math" w:hAnsi="Cambria Math"/>
              </w:rPr>
              <m:t>v,max</m:t>
            </m:r>
          </m:sub>
        </m:sSub>
        <m:r>
          <w:rPr>
            <w:rFonts w:ascii="Cambria Math" w:hAnsi="Cambria Math"/>
          </w:rPr>
          <m:t>(%) = 9.765-2.427ln[ (</m:t>
        </m:r>
        <m:sSub>
          <m:sSubPr>
            <m:ctrlPr>
              <w:rPr>
                <w:rFonts w:ascii="Cambria Math" w:hAnsi="Cambria Math"/>
              </w:rPr>
            </m:ctrlPr>
          </m:sSubPr>
          <m:e>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e>
          <m:sub>
            <m:r>
              <w:rPr>
                <w:rFonts w:ascii="Cambria Math" w:hAnsi="Cambria Math"/>
              </w:rPr>
              <m:t>60,cs</m:t>
            </m:r>
          </m:sub>
        </m:sSub>
        <m:r>
          <w:rPr>
            <w:rFonts w:ascii="Cambria Math" w:hAnsi="Cambria Math"/>
          </w:rPr>
          <m:t>]</m:t>
        </m:r>
      </m:oMath>
      <w:r w:rsidR="00F32428">
        <w:tab/>
      </w:r>
      <w:r w:rsidR="00F32428">
        <w:tab/>
      </w:r>
      <w:r w:rsidR="00AE1861">
        <w:tab/>
      </w:r>
      <w:r w:rsidR="00AE1861">
        <w:tab/>
      </w:r>
      <w:r w:rsidR="00F32428">
        <w:t>(Eq. 1)</w:t>
      </w:r>
    </w:p>
    <w:p w14:paraId="0F62D119" w14:textId="77777777" w:rsidR="00BA5CF9" w:rsidRDefault="00BA5CF9" w:rsidP="00F32428">
      <w:pPr>
        <w:ind w:left="1440"/>
      </w:pPr>
    </w:p>
    <w:p w14:paraId="20017622" w14:textId="607C55A2" w:rsidR="00F32428" w:rsidRDefault="00F32428" w:rsidP="00F32428">
      <w:pPr>
        <w:ind w:firstLine="0"/>
      </w:pPr>
      <w:r w:rsidRPr="00F32428">
        <w:rPr>
          <w:color w:val="000000" w:themeColor="text1"/>
        </w:rPr>
        <w:t>Equation 1 was used to develop a limiting</w:t>
      </w:r>
      <w:r w:rsidR="007326F2">
        <w:rPr>
          <w:color w:val="000000" w:themeColor="text1"/>
        </w:rPr>
        <w:t xml:space="preserve"> volumetric</w:t>
      </w:r>
      <w:r w:rsidRPr="00F32428">
        <w:rPr>
          <w:color w:val="000000" w:themeColor="text1"/>
        </w:rPr>
        <w:t xml:space="preserve"> strain. </w:t>
      </w:r>
      <w:r w:rsidRPr="00B56B78">
        <w:rPr>
          <w:color w:val="000000" w:themeColor="text1"/>
        </w:rPr>
        <w:t>Huang</w:t>
      </w:r>
      <w:r w:rsidR="00AE1861" w:rsidRPr="00B56B78">
        <w:rPr>
          <w:color w:val="000000" w:themeColor="text1"/>
        </w:rPr>
        <w:t xml:space="preserve"> (</w:t>
      </w:r>
      <w:r w:rsidRPr="00B56B78">
        <w:rPr>
          <w:color w:val="000000" w:themeColor="text1"/>
        </w:rPr>
        <w:t>2008)</w:t>
      </w:r>
      <w:r w:rsidRPr="00F32428">
        <w:rPr>
          <w:color w:val="000000" w:themeColor="text1"/>
        </w:rPr>
        <w:t xml:space="preserve"> suggests using a</w:t>
      </w:r>
      <w:r w:rsidR="00AE1861">
        <w:rPr>
          <w:color w:val="000000" w:themeColor="text1"/>
        </w:rPr>
        <w:t>n</w:t>
      </w:r>
      <w:r w:rsidRPr="00F32428">
        <w:rPr>
          <w:color w:val="000000" w:themeColor="text1"/>
        </w:rPr>
        <w:t xml:space="preserve"> ε</w:t>
      </w:r>
      <w:r w:rsidRPr="00F32428">
        <w:rPr>
          <w:color w:val="000000" w:themeColor="text1"/>
          <w:vertAlign w:val="subscript"/>
        </w:rPr>
        <w:t xml:space="preserve">v,max </w:t>
      </w:r>
      <w:r w:rsidRPr="00F32428">
        <w:rPr>
          <w:color w:val="000000" w:themeColor="text1"/>
        </w:rPr>
        <w:t>range of 0.5*ε</w:t>
      </w:r>
      <w:r w:rsidRPr="00F32428">
        <w:rPr>
          <w:color w:val="000000" w:themeColor="text1"/>
          <w:vertAlign w:val="subscript"/>
        </w:rPr>
        <w:t>v,max</w:t>
      </w:r>
      <w:r w:rsidRPr="00F32428">
        <w:rPr>
          <w:color w:val="000000" w:themeColor="text1"/>
        </w:rPr>
        <w:t xml:space="preserve"> </w:t>
      </w:r>
      <w:r w:rsidR="00AE1861">
        <w:rPr>
          <w:color w:val="000000" w:themeColor="text1"/>
        </w:rPr>
        <w:t>to</w:t>
      </w:r>
      <w:r w:rsidRPr="00F32428">
        <w:rPr>
          <w:color w:val="000000" w:themeColor="text1"/>
        </w:rPr>
        <w:t xml:space="preserve"> 1.5*ε</w:t>
      </w:r>
      <w:r w:rsidRPr="00F32428">
        <w:rPr>
          <w:color w:val="000000" w:themeColor="text1"/>
          <w:vertAlign w:val="subscript"/>
        </w:rPr>
        <w:t>v,max</w:t>
      </w:r>
      <w:r w:rsidRPr="00F32428">
        <w:rPr>
          <w:color w:val="000000" w:themeColor="text1"/>
        </w:rPr>
        <w:t xml:space="preserve"> </w:t>
      </w:r>
      <w:r w:rsidR="007326F2">
        <w:rPr>
          <w:color w:val="000000" w:themeColor="text1"/>
        </w:rPr>
        <w:t xml:space="preserve">with a uniform probability distribution </w:t>
      </w:r>
      <w:r w:rsidRPr="00F32428">
        <w:rPr>
          <w:color w:val="000000" w:themeColor="text1"/>
        </w:rPr>
        <w:t>to account for scatter in the data. Finally, to apply Equation 1 to CPT data</w:t>
      </w:r>
      <w:r>
        <w:t xml:space="preserve">, </w:t>
      </w:r>
      <w:r w:rsidRPr="00B56B78">
        <w:t>Jefferies and Davies (1993)</w:t>
      </w:r>
      <w:r>
        <w:t xml:space="preserve"> was used to convert between CPT tip resistance and SPT blow count values. Jefferies and Davies (1993) developed this CPT-SPT relationship </w:t>
      </w:r>
      <w:r w:rsidR="004710F9">
        <w:t>as:</w:t>
      </w:r>
    </w:p>
    <w:p w14:paraId="2F87D9AB" w14:textId="77777777" w:rsidR="007326F2" w:rsidRDefault="007326F2" w:rsidP="00F32428">
      <w:pPr>
        <w:ind w:firstLine="0"/>
      </w:pPr>
    </w:p>
    <w:p w14:paraId="6561D36B" w14:textId="69399592" w:rsidR="00F32428" w:rsidRDefault="00B84C3E" w:rsidP="00F32428">
      <w:pPr>
        <w:ind w:left="2160"/>
      </w:pPr>
      <m:oMath>
        <m:f>
          <m:fPr>
            <m:ctrlPr>
              <w:rPr>
                <w:rFonts w:ascii="Cambria Math" w:hAnsi="Cambria Math"/>
              </w:rPr>
            </m:ctrlPr>
          </m:fPr>
          <m:num>
            <m:r>
              <w:rPr>
                <w:rFonts w:ascii="Cambria Math" w:hAnsi="Cambria Math"/>
              </w:rPr>
              <m:t>(qt/</m:t>
            </m:r>
            <m:sSub>
              <m:sSubPr>
                <m:ctrlPr>
                  <w:rPr>
                    <w:rFonts w:ascii="Cambria Math" w:hAnsi="Cambria Math"/>
                  </w:rPr>
                </m:ctrlPr>
              </m:sSubPr>
              <m:e>
                <m:r>
                  <w:rPr>
                    <w:rFonts w:ascii="Cambria Math" w:hAnsi="Cambria Math"/>
                  </w:rPr>
                  <m:t>p</m:t>
                </m:r>
              </m:e>
              <m:sub>
                <m:r>
                  <w:rPr>
                    <w:rFonts w:ascii="Cambria Math" w:hAnsi="Cambria Math"/>
                  </w:rPr>
                  <m:t>a</m:t>
                </m:r>
              </m:sub>
            </m:sSub>
            <m:r>
              <w:rPr>
                <w:rFonts w:ascii="Cambria Math" w:hAnsi="Cambria Math"/>
              </w:rPr>
              <m:t>)</m:t>
            </m:r>
          </m:num>
          <m:den>
            <m:r>
              <w:rPr>
                <w:rFonts w:ascii="Cambria Math" w:hAnsi="Cambria Math"/>
              </w:rPr>
              <m:t xml:space="preserve"> </m:t>
            </m:r>
            <m:sSub>
              <m:sSubPr>
                <m:ctrlPr>
                  <w:rPr>
                    <w:rFonts w:ascii="Cambria Math" w:hAnsi="Cambria Math"/>
                  </w:rPr>
                </m:ctrlPr>
              </m:sSubPr>
              <m:e>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e>
              <m:sub>
                <m:r>
                  <w:rPr>
                    <w:rFonts w:ascii="Cambria Math" w:hAnsi="Cambria Math"/>
                  </w:rPr>
                  <m:t>60,cs</m:t>
                </m:r>
              </m:sub>
            </m:sSub>
          </m:den>
        </m:f>
        <m:r>
          <w:rPr>
            <w:rFonts w:ascii="Cambria Math" w:hAnsi="Cambria Math"/>
          </w:rPr>
          <m:t xml:space="preserve"> </m:t>
        </m:r>
      </m:oMath>
      <w:r w:rsidR="00F32428">
        <w:t>=</w:t>
      </w:r>
      <m:oMath>
        <m:r>
          <w:rPr>
            <w:rFonts w:ascii="Cambria Math" w:hAnsi="Cambria Math"/>
          </w:rPr>
          <m:t xml:space="preserve"> 8.5(1-</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c</m:t>
                </m:r>
              </m:sub>
            </m:sSub>
          </m:num>
          <m:den>
            <m:r>
              <w:rPr>
                <w:rFonts w:ascii="Cambria Math" w:hAnsi="Cambria Math"/>
              </w:rPr>
              <m:t>4.6</m:t>
            </m:r>
          </m:den>
        </m:f>
        <m:r>
          <w:rPr>
            <w:rFonts w:ascii="Cambria Math" w:hAnsi="Cambria Math"/>
          </w:rPr>
          <m:t>)</m:t>
        </m:r>
      </m:oMath>
      <w:r w:rsidR="00F32428">
        <w:tab/>
      </w:r>
      <w:r w:rsidR="00F32428">
        <w:tab/>
      </w:r>
      <w:r w:rsidR="00AE1861">
        <w:tab/>
      </w:r>
      <w:r w:rsidR="00AE1861">
        <w:tab/>
      </w:r>
      <w:r w:rsidR="00AE1861">
        <w:tab/>
      </w:r>
      <w:r w:rsidR="00F32428">
        <w:tab/>
        <w:t>(Eq. 2)</w:t>
      </w:r>
    </w:p>
    <w:p w14:paraId="2E0C09F8" w14:textId="77777777" w:rsidR="00AE1861" w:rsidRDefault="00AE1861" w:rsidP="00F32428">
      <w:pPr>
        <w:ind w:left="2160"/>
      </w:pPr>
    </w:p>
    <w:p w14:paraId="3D20BB66" w14:textId="056762E4" w:rsidR="00F32428" w:rsidRDefault="004710F9" w:rsidP="00F32428">
      <w:pPr>
        <w:ind w:firstLine="0"/>
      </w:pPr>
      <w:r>
        <w:t>where</w:t>
      </w:r>
      <w:r w:rsidR="00AE1861">
        <w:t xml:space="preserve"> </w:t>
      </w:r>
      <w:r w:rsidR="007326F2" w:rsidRPr="007326F2">
        <w:rPr>
          <w:position w:val="-12"/>
        </w:rPr>
        <w:object w:dxaOrig="300" w:dyaOrig="360" w14:anchorId="517F2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8pt" o:ole="">
            <v:imagedata r:id="rId18" o:title=""/>
          </v:shape>
          <o:OLEObject Type="Embed" ProgID="Equation.DSMT4" ShapeID="_x0000_i1025" DrawAspect="Content" ObjectID="_1555144947" r:id="rId19"/>
        </w:object>
      </w:r>
      <w:r w:rsidR="007326F2">
        <w:t xml:space="preserve"> </w:t>
      </w:r>
      <w:r w:rsidR="00F32428">
        <w:t xml:space="preserve">is atmospheric pressure, </w:t>
      </w:r>
      <w:r w:rsidR="007326F2" w:rsidRPr="007326F2">
        <w:rPr>
          <w:position w:val="-12"/>
        </w:rPr>
        <w:object w:dxaOrig="240" w:dyaOrig="360" w14:anchorId="62C32022">
          <v:shape id="_x0000_i1026" type="#_x0000_t75" style="width:12pt;height:18pt" o:ole="">
            <v:imagedata r:id="rId20" o:title=""/>
          </v:shape>
          <o:OLEObject Type="Embed" ProgID="Equation.DSMT4" ShapeID="_x0000_i1026" DrawAspect="Content" ObjectID="_1555144948" r:id="rId21"/>
        </w:object>
      </w:r>
      <w:r w:rsidR="007326F2">
        <w:t xml:space="preserve"> </w:t>
      </w:r>
      <w:r w:rsidR="00F32428">
        <w:t xml:space="preserve">is the </w:t>
      </w:r>
      <w:r w:rsidR="007326F2">
        <w:t xml:space="preserve">Soil Behavior Type Index, and </w:t>
      </w:r>
      <w:r w:rsidR="007326F2" w:rsidRPr="007326F2">
        <w:rPr>
          <w:position w:val="-12"/>
        </w:rPr>
        <w:object w:dxaOrig="240" w:dyaOrig="360" w14:anchorId="2E53C0D0">
          <v:shape id="_x0000_i1027" type="#_x0000_t75" style="width:12pt;height:18pt" o:ole="">
            <v:imagedata r:id="rId22" o:title=""/>
          </v:shape>
          <o:OLEObject Type="Embed" ProgID="Equation.DSMT4" ShapeID="_x0000_i1027" DrawAspect="Content" ObjectID="_1555144949" r:id="rId23"/>
        </w:object>
      </w:r>
      <w:r w:rsidR="007326F2">
        <w:t xml:space="preserve"> </w:t>
      </w:r>
      <w:r w:rsidR="00F32428">
        <w:t xml:space="preserve">is the normalized </w:t>
      </w:r>
      <w:r w:rsidR="007326F2">
        <w:t xml:space="preserve">CPT </w:t>
      </w:r>
      <w:r w:rsidR="00F32428">
        <w:t xml:space="preserve">tip resistance. This approach has been implemented into </w:t>
      </w:r>
      <w:r w:rsidR="00F32428">
        <w:rPr>
          <w:i/>
        </w:rPr>
        <w:t>CPTLiquefY</w:t>
      </w:r>
      <w:r w:rsidR="00F32428">
        <w:t xml:space="preserve"> to account for </w:t>
      </w:r>
      <w:r w:rsidR="00F32428">
        <w:lastRenderedPageBreak/>
        <w:t xml:space="preserve">unrealistic strain values. </w:t>
      </w:r>
      <w:r w:rsidR="00B61C93">
        <w:t>Substituting Eq</w:t>
      </w:r>
      <w:r>
        <w:t>uation 2 into Equation</w:t>
      </w:r>
      <w:r w:rsidR="00B61C93">
        <w:t xml:space="preserve"> 1, a CPT-based equation for the maximum volumetric strain is given as:</w:t>
      </w:r>
    </w:p>
    <w:p w14:paraId="641A6E2A" w14:textId="37785712" w:rsidR="00B61C93" w:rsidRDefault="007326F2" w:rsidP="007326F2">
      <w:pPr>
        <w:ind w:left="2160"/>
        <w:jc w:val="left"/>
      </w:pPr>
      <w:r w:rsidRPr="007326F2">
        <w:rPr>
          <w:position w:val="-62"/>
        </w:rPr>
        <w:object w:dxaOrig="4180" w:dyaOrig="1359" w14:anchorId="6B83A388">
          <v:shape id="_x0000_i1028" type="#_x0000_t75" style="width:209.25pt;height:67.5pt" o:ole="">
            <v:imagedata r:id="rId24" o:title=""/>
          </v:shape>
          <o:OLEObject Type="Embed" ProgID="Equation.DSMT4" ShapeID="_x0000_i1028" DrawAspect="Content" ObjectID="_1555144950" r:id="rId25"/>
        </w:object>
      </w:r>
      <w:r>
        <w:tab/>
        <w:t xml:space="preserve">                        (Eq. 3)</w:t>
      </w:r>
    </w:p>
    <w:p w14:paraId="4F0E1B4D" w14:textId="77777777" w:rsidR="007326F2" w:rsidRDefault="007326F2" w:rsidP="00F32428">
      <w:bookmarkStart w:id="50" w:name="_tjs59m9jix8" w:colFirst="0" w:colLast="0"/>
      <w:bookmarkEnd w:id="50"/>
    </w:p>
    <w:p w14:paraId="2BC202D6" w14:textId="319EA1DB" w:rsidR="00F32428" w:rsidRDefault="00F32428" w:rsidP="00F32428">
      <w:r>
        <w:t xml:space="preserve">After all these calculations are </w:t>
      </w:r>
      <w:r w:rsidR="00842B20">
        <w:t>completed,</w:t>
      </w:r>
      <w:r>
        <w:t xml:space="preserve"> the user may view the settlement results under the “Settlement Results” tab, as shown </w:t>
      </w:r>
      <w:r w:rsidRPr="00842B20">
        <w:rPr>
          <w:color w:val="000000" w:themeColor="text1"/>
        </w:rPr>
        <w:t xml:space="preserve">in </w:t>
      </w:r>
      <w:r w:rsidR="00BA50B3">
        <w:rPr>
          <w:color w:val="000000" w:themeColor="text1"/>
        </w:rPr>
        <w:fldChar w:fldCharType="begin"/>
      </w:r>
      <w:r w:rsidR="00BA50B3">
        <w:rPr>
          <w:color w:val="000000" w:themeColor="text1"/>
        </w:rPr>
        <w:instrText xml:space="preserve"> REF _Ref463892393 \h </w:instrText>
      </w:r>
      <w:r w:rsidR="00BA50B3">
        <w:rPr>
          <w:color w:val="000000" w:themeColor="text1"/>
        </w:rPr>
      </w:r>
      <w:r w:rsidR="00BA50B3">
        <w:rPr>
          <w:color w:val="000000" w:themeColor="text1"/>
        </w:rPr>
        <w:fldChar w:fldCharType="separate"/>
      </w:r>
      <w:r w:rsidR="00BA50B3" w:rsidRPr="004853B1">
        <w:t xml:space="preserve">Figure </w:t>
      </w:r>
      <w:r w:rsidR="00BA50B3">
        <w:rPr>
          <w:noProof/>
        </w:rPr>
        <w:t>2</w:t>
      </w:r>
      <w:r w:rsidR="00BA50B3">
        <w:t>.</w:t>
      </w:r>
      <w:r w:rsidR="00BA50B3">
        <w:rPr>
          <w:noProof/>
        </w:rPr>
        <w:t>5</w:t>
      </w:r>
      <w:r w:rsidR="00BA50B3">
        <w:rPr>
          <w:color w:val="000000" w:themeColor="text1"/>
        </w:rPr>
        <w:fldChar w:fldCharType="end"/>
      </w:r>
      <w:r>
        <w:t xml:space="preserve">. On the </w:t>
      </w:r>
      <w:r w:rsidR="00842B20">
        <w:t>left,</w:t>
      </w:r>
      <w:r>
        <w:t xml:space="preserve"> the user will view all the data values for the total ground settlement hazard curv</w:t>
      </w:r>
      <w:r w:rsidR="004710F9">
        <w:t>es. This data can be copied and pasted into a spreadsheet for plotting. An example of ground surface settlement</w:t>
      </w:r>
      <w:r>
        <w:t xml:space="preserve"> hazard curve</w:t>
      </w:r>
      <w:r w:rsidR="004710F9">
        <w:t>s</w:t>
      </w:r>
      <w:r>
        <w:t xml:space="preserve"> </w:t>
      </w:r>
      <w:r w:rsidR="004710F9">
        <w:t xml:space="preserve">developed by </w:t>
      </w:r>
      <w:r w:rsidR="004710F9" w:rsidRPr="004710F9">
        <w:rPr>
          <w:i/>
        </w:rPr>
        <w:t>CPTLiquefY</w:t>
      </w:r>
      <w:r w:rsidR="004710F9">
        <w:t xml:space="preserve"> is </w:t>
      </w:r>
      <w:r>
        <w:t xml:space="preserve">shown in </w:t>
      </w:r>
      <w:r w:rsidR="00BA50B3">
        <w:rPr>
          <w:color w:val="FF00FF"/>
        </w:rPr>
        <w:fldChar w:fldCharType="begin"/>
      </w:r>
      <w:r w:rsidR="00BA50B3">
        <w:instrText xml:space="preserve"> REF _Ref472958434 \h </w:instrText>
      </w:r>
      <w:r w:rsidR="00BA50B3">
        <w:rPr>
          <w:color w:val="FF00FF"/>
        </w:rPr>
      </w:r>
      <w:r w:rsidR="00BA50B3">
        <w:rPr>
          <w:color w:val="FF00FF"/>
        </w:rPr>
        <w:fldChar w:fldCharType="separate"/>
      </w:r>
      <w:r w:rsidR="00BA50B3">
        <w:t xml:space="preserve">Figure </w:t>
      </w:r>
      <w:r w:rsidR="00BA50B3">
        <w:rPr>
          <w:noProof/>
        </w:rPr>
        <w:t>2</w:t>
      </w:r>
      <w:r w:rsidR="00BA50B3">
        <w:t>.</w:t>
      </w:r>
      <w:r w:rsidR="00BA50B3">
        <w:rPr>
          <w:noProof/>
        </w:rPr>
        <w:t>6</w:t>
      </w:r>
      <w:r w:rsidR="00BA50B3">
        <w:rPr>
          <w:color w:val="FF00FF"/>
        </w:rPr>
        <w:fldChar w:fldCharType="end"/>
      </w:r>
      <w:r w:rsidR="004710F9">
        <w:t>. It is important to note that</w:t>
      </w:r>
      <w:r>
        <w:t xml:space="preserve"> the finished </w:t>
      </w:r>
      <w:r w:rsidR="004710F9">
        <w:t xml:space="preserve">version of </w:t>
      </w:r>
      <w:r w:rsidR="004710F9" w:rsidRPr="004710F9">
        <w:rPr>
          <w:i/>
        </w:rPr>
        <w:t>CPTLiquefY</w:t>
      </w:r>
      <w:r w:rsidR="004710F9">
        <w:t xml:space="preserve"> will have the capability</w:t>
      </w:r>
      <w:r>
        <w:t xml:space="preserve"> to export </w:t>
      </w:r>
      <w:r w:rsidR="004710F9">
        <w:t xml:space="preserve">all the </w:t>
      </w:r>
      <w:r w:rsidR="00A66FA1">
        <w:t xml:space="preserve">settlement and/or strain </w:t>
      </w:r>
      <w:r w:rsidR="004710F9">
        <w:t>data directly into a spreadsheet</w:t>
      </w:r>
      <w:r>
        <w:t xml:space="preserve">. </w:t>
      </w:r>
    </w:p>
    <w:p w14:paraId="2DB42494" w14:textId="77777777" w:rsidR="00A66FA1" w:rsidRDefault="00A66FA1" w:rsidP="00F32428"/>
    <w:p w14:paraId="720C5164" w14:textId="20060739" w:rsidR="00A450C7" w:rsidRPr="004853B1" w:rsidRDefault="00BA50B3" w:rsidP="00BA50B3">
      <w:pPr>
        <w:jc w:val="center"/>
      </w:pPr>
      <w:r>
        <w:rPr>
          <w:noProof/>
        </w:rPr>
        <w:drawing>
          <wp:inline distT="0" distB="0" distL="0" distR="0" wp14:anchorId="601D2F10" wp14:editId="7B20450D">
            <wp:extent cx="4598035" cy="3100070"/>
            <wp:effectExtent l="0" t="0" r="0" b="5080"/>
            <wp:docPr id="1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4598035" cy="3100070"/>
                    </a:xfrm>
                    <a:prstGeom prst="rect">
                      <a:avLst/>
                    </a:prstGeom>
                    <a:ln/>
                  </pic:spPr>
                </pic:pic>
              </a:graphicData>
            </a:graphic>
          </wp:inline>
        </w:drawing>
      </w:r>
    </w:p>
    <w:p w14:paraId="7AA1A966" w14:textId="5C8FD773" w:rsidR="0064272E" w:rsidRDefault="00A450C7" w:rsidP="00A450C7">
      <w:pPr>
        <w:pStyle w:val="Caption"/>
      </w:pPr>
      <w:bookmarkStart w:id="51" w:name="_Ref463892393"/>
      <w:bookmarkStart w:id="52" w:name="_Toc473036512"/>
      <w:r w:rsidRPr="004853B1">
        <w:t xml:space="preserve">Figure </w:t>
      </w:r>
      <w:r w:rsidR="00B84C3E">
        <w:fldChar w:fldCharType="begin"/>
      </w:r>
      <w:r w:rsidR="00B84C3E">
        <w:instrText xml:space="preserve"> STYLEREF 1</w:instrText>
      </w:r>
      <w:r w:rsidR="00B84C3E">
        <w:instrText xml:space="preserve">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5</w:t>
        </w:r>
      </w:fldSimple>
      <w:bookmarkEnd w:id="51"/>
      <w:r w:rsidR="00960D3B" w:rsidRPr="004853B1">
        <w:t xml:space="preserve"> </w:t>
      </w:r>
      <w:r w:rsidR="00A86392">
        <w:t xml:space="preserve">View of </w:t>
      </w:r>
      <w:r w:rsidR="00BA50B3">
        <w:t>“</w:t>
      </w:r>
      <w:r w:rsidR="00A86392">
        <w:t>Settlement Results</w:t>
      </w:r>
      <w:r w:rsidR="00BA50B3">
        <w:t>”</w:t>
      </w:r>
      <w:r w:rsidR="00A86392">
        <w:t xml:space="preserve"> tab after analysis</w:t>
      </w:r>
      <w:r w:rsidR="00BA50B3">
        <w:t xml:space="preserve"> is complete</w:t>
      </w:r>
      <w:bookmarkEnd w:id="52"/>
    </w:p>
    <w:p w14:paraId="143CA361" w14:textId="77777777" w:rsidR="00BA50B3" w:rsidRDefault="00842B20" w:rsidP="00BA50B3">
      <w:pPr>
        <w:pStyle w:val="BodyText"/>
        <w:keepNext/>
        <w:jc w:val="center"/>
      </w:pPr>
      <w:r>
        <w:rPr>
          <w:noProof/>
        </w:rPr>
        <w:lastRenderedPageBreak/>
        <w:drawing>
          <wp:inline distT="0" distB="0" distL="0" distR="0" wp14:anchorId="4F8C01BA" wp14:editId="050AD8E1">
            <wp:extent cx="4340860" cy="2803525"/>
            <wp:effectExtent l="0" t="0" r="254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4340860" cy="2803525"/>
                    </a:xfrm>
                    <a:prstGeom prst="rect">
                      <a:avLst/>
                    </a:prstGeom>
                    <a:ln/>
                  </pic:spPr>
                </pic:pic>
              </a:graphicData>
            </a:graphic>
          </wp:inline>
        </w:drawing>
      </w:r>
    </w:p>
    <w:p w14:paraId="72E861A2" w14:textId="14803401" w:rsidR="00842B20" w:rsidRDefault="00BA50B3" w:rsidP="00BA50B3">
      <w:pPr>
        <w:pStyle w:val="Caption"/>
      </w:pPr>
      <w:bookmarkStart w:id="53" w:name="_Ref472958434"/>
      <w:bookmarkStart w:id="54" w:name="_Toc473036513"/>
      <w:r>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6</w:t>
        </w:r>
      </w:fldSimple>
      <w:bookmarkEnd w:id="53"/>
      <w:r>
        <w:t xml:space="preserve"> View of hazard curves for total ground surface settlement</w:t>
      </w:r>
      <w:bookmarkEnd w:id="54"/>
    </w:p>
    <w:p w14:paraId="1557D1FF" w14:textId="77777777" w:rsidR="00A66FA1" w:rsidRPr="00A66FA1" w:rsidRDefault="00A66FA1" w:rsidP="00A66FA1">
      <w:pPr>
        <w:pStyle w:val="BodyText"/>
      </w:pPr>
    </w:p>
    <w:p w14:paraId="22C1265F" w14:textId="07A2F40A" w:rsidR="008825AA" w:rsidRDefault="008825AA" w:rsidP="008825AA">
      <w:pPr>
        <w:pStyle w:val="Heading3"/>
      </w:pPr>
      <w:r>
        <w:t xml:space="preserve"> </w:t>
      </w:r>
      <w:bookmarkStart w:id="55" w:name="_Toc473036497"/>
      <w:r>
        <w:t>Lateral Spread Results Tab</w:t>
      </w:r>
      <w:bookmarkEnd w:id="55"/>
    </w:p>
    <w:p w14:paraId="1C009F4B" w14:textId="0C7DD191" w:rsidR="00842B20" w:rsidRDefault="00842B20" w:rsidP="00842B20">
      <w:r>
        <w:t xml:space="preserve">Following the analysis method set forth by </w:t>
      </w:r>
      <w:r w:rsidRPr="00B56B78">
        <w:t>Zhang et al. (1998)</w:t>
      </w:r>
      <w:r>
        <w:t xml:space="preserve">, three cases are defined for lateral spread: Case 1, gently sloping ground without a free face; Case 2, level ground with a free face; and Case 3, gently sloping ground with a free face. The selection of Case 1, 2, or 3 is made prior to running the performance-based liquefaction triggering analysis, on the “Full Probabilistic User Inputs” tab (seen in </w:t>
      </w:r>
      <w:r w:rsidR="002B6DE5">
        <w:fldChar w:fldCharType="begin"/>
      </w:r>
      <w:r w:rsidR="002B6DE5">
        <w:instrText xml:space="preserve"> REF _Ref472957275 \h </w:instrText>
      </w:r>
      <w:r w:rsidR="002B6DE5">
        <w:fldChar w:fldCharType="separate"/>
      </w:r>
      <w:r w:rsidR="002B6DE5">
        <w:t xml:space="preserve">Figure </w:t>
      </w:r>
      <w:r w:rsidR="002B6DE5">
        <w:rPr>
          <w:noProof/>
        </w:rPr>
        <w:t>2</w:t>
      </w:r>
      <w:r w:rsidR="002B6DE5">
        <w:t>.</w:t>
      </w:r>
      <w:r w:rsidR="002B6DE5">
        <w:rPr>
          <w:noProof/>
        </w:rPr>
        <w:t>1</w:t>
      </w:r>
      <w:r w:rsidR="002B6DE5">
        <w:fldChar w:fldCharType="end"/>
      </w:r>
      <w:r>
        <w:t>). On that tab</w:t>
      </w:r>
      <w:r w:rsidR="00A66FA1">
        <w:t>,</w:t>
      </w:r>
      <w:r>
        <w:t xml:space="preserve"> the case is sele</w:t>
      </w:r>
      <w:r w:rsidR="00A66FA1">
        <w:t>cted based on the site geometry. C</w:t>
      </w:r>
      <w:r>
        <w:t>orresponding</w:t>
      </w:r>
      <w:r w:rsidR="00A66FA1">
        <w:t xml:space="preserve"> geometry values can be entered as:</w:t>
      </w:r>
      <w:r>
        <w:t xml:space="preserve"> </w:t>
      </w:r>
      <w:r w:rsidRPr="005574EE">
        <w:rPr>
          <w:i/>
        </w:rPr>
        <w:t>S</w:t>
      </w:r>
      <w:r>
        <w:t xml:space="preserve"> (ground slope as a percentage), </w:t>
      </w:r>
      <w:r w:rsidRPr="005574EE">
        <w:rPr>
          <w:i/>
        </w:rPr>
        <w:t>L</w:t>
      </w:r>
      <w:r>
        <w:t xml:space="preserve"> (</w:t>
      </w:r>
      <w:r w:rsidR="005574EE">
        <w:t xml:space="preserve">horizontal </w:t>
      </w:r>
      <w:r>
        <w:t xml:space="preserve">distance from the toe of a free face), and </w:t>
      </w:r>
      <w:r w:rsidRPr="005574EE">
        <w:rPr>
          <w:i/>
        </w:rPr>
        <w:t>H</w:t>
      </w:r>
      <w:r>
        <w:t xml:space="preserve"> (elevation difference between the level ground surface and the toe of the free face).</w:t>
      </w:r>
    </w:p>
    <w:p w14:paraId="227D753C" w14:textId="1C5D9920" w:rsidR="00842B20" w:rsidRDefault="00842B20" w:rsidP="00842B20">
      <w:r>
        <w:t>Similar to the “Settlement Results”</w:t>
      </w:r>
      <w:r w:rsidR="00687615">
        <w:t xml:space="preserve"> tab</w:t>
      </w:r>
      <w:r>
        <w:t xml:space="preserve">, once the full </w:t>
      </w:r>
      <w:r w:rsidR="00687615">
        <w:t>performance-based</w:t>
      </w:r>
      <w:r>
        <w:t xml:space="preserve"> liquefaction triggering analysis is compl</w:t>
      </w:r>
      <w:r w:rsidR="00A66FA1">
        <w:t xml:space="preserve">ete, the user may navigate </w:t>
      </w:r>
      <w:r>
        <w:t>to the “Lateral Spread Results” tab to see performance-based results of lateral spread di</w:t>
      </w:r>
      <w:r w:rsidR="00A66FA1">
        <w:t>splacement. This tab is shown</w:t>
      </w:r>
      <w:r>
        <w:t xml:space="preserve"> in </w:t>
      </w:r>
      <w:r w:rsidR="00B56B78">
        <w:rPr>
          <w:highlight w:val="yellow"/>
        </w:rPr>
        <w:fldChar w:fldCharType="begin"/>
      </w:r>
      <w:r w:rsidR="00B56B78">
        <w:instrText xml:space="preserve"> REF _Ref472960200 \h </w:instrText>
      </w:r>
      <w:r w:rsidR="00B56B78">
        <w:rPr>
          <w:highlight w:val="yellow"/>
        </w:rPr>
      </w:r>
      <w:r w:rsidR="00B56B78">
        <w:rPr>
          <w:highlight w:val="yellow"/>
        </w:rPr>
        <w:fldChar w:fldCharType="separate"/>
      </w:r>
      <w:r w:rsidR="00B56B78">
        <w:t xml:space="preserve">Figure </w:t>
      </w:r>
      <w:r w:rsidR="00B56B78">
        <w:rPr>
          <w:noProof/>
        </w:rPr>
        <w:t>2</w:t>
      </w:r>
      <w:r w:rsidR="00B56B78">
        <w:t>.</w:t>
      </w:r>
      <w:r w:rsidR="00B56B78">
        <w:rPr>
          <w:noProof/>
        </w:rPr>
        <w:t>7</w:t>
      </w:r>
      <w:r w:rsidR="00B56B78">
        <w:rPr>
          <w:highlight w:val="yellow"/>
        </w:rPr>
        <w:fldChar w:fldCharType="end"/>
      </w:r>
      <w:r w:rsidR="00B56B78">
        <w:t xml:space="preserve">. </w:t>
      </w:r>
      <w:r>
        <w:t xml:space="preserve">Similar to the </w:t>
      </w:r>
      <w:r w:rsidR="00687615">
        <w:t>“Settlement R</w:t>
      </w:r>
      <w:r>
        <w:t>esults</w:t>
      </w:r>
      <w:r w:rsidR="00687615">
        <w:t>” tab</w:t>
      </w:r>
      <w:r w:rsidR="00A66FA1">
        <w:t xml:space="preserve">, </w:t>
      </w:r>
      <w:r>
        <w:t>the user can enter a specific layer number, and the corresponding relationship between maxi</w:t>
      </w:r>
      <w:r w:rsidR="00A66FA1">
        <w:t>mum cyclic shear strain</w:t>
      </w:r>
      <w:r>
        <w:t xml:space="preserve"> </w:t>
      </w:r>
      <w:r w:rsidR="00A66FA1">
        <w:t xml:space="preserve">(i.e., </w:t>
      </w:r>
      <w:r w:rsidR="00A66FA1" w:rsidRPr="00A66FA1">
        <w:rPr>
          <w:position w:val="-6"/>
        </w:rPr>
        <w:object w:dxaOrig="720" w:dyaOrig="320" w14:anchorId="5CAAC54E">
          <v:shape id="_x0000_i1029" type="#_x0000_t75" style="width:36pt;height:16.5pt" o:ole="">
            <v:imagedata r:id="rId28" o:title=""/>
          </v:shape>
          <o:OLEObject Type="Embed" ProgID="Equation.DSMT4" ShapeID="_x0000_i1029" DrawAspect="Content" ObjectID="_1555144951" r:id="rId29"/>
        </w:object>
      </w:r>
      <w:r w:rsidR="00A66FA1">
        <w:t xml:space="preserve">) </w:t>
      </w:r>
      <w:r>
        <w:t>and ann</w:t>
      </w:r>
      <w:r w:rsidR="00A66FA1">
        <w:t xml:space="preserve">ual rate of exceedance </w:t>
      </w:r>
      <w:r>
        <w:t xml:space="preserve"> is displayed. Any of these values can be easily copied into another p</w:t>
      </w:r>
      <w:r w:rsidR="005574EE">
        <w:t xml:space="preserve">rogram and plotted to display the horizontal strain </w:t>
      </w:r>
      <w:r>
        <w:t>hazard curve.</w:t>
      </w:r>
    </w:p>
    <w:p w14:paraId="4A85EC17" w14:textId="77777777" w:rsidR="00710EE1" w:rsidRDefault="00710EE1" w:rsidP="00842B20"/>
    <w:p w14:paraId="119F4583" w14:textId="77777777" w:rsidR="00710EE1" w:rsidRDefault="00710EE1" w:rsidP="00710EE1">
      <w:pPr>
        <w:keepNext/>
        <w:ind w:firstLine="0"/>
        <w:jc w:val="center"/>
      </w:pPr>
      <w:r>
        <w:rPr>
          <w:noProof/>
        </w:rPr>
        <w:drawing>
          <wp:inline distT="114300" distB="114300" distL="114300" distR="114300" wp14:anchorId="2ADD3B2B" wp14:editId="0433991F">
            <wp:extent cx="4778734" cy="3148717"/>
            <wp:effectExtent l="0" t="0" r="3175" b="0"/>
            <wp:docPr id="1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4790279" cy="3156324"/>
                    </a:xfrm>
                    <a:prstGeom prst="rect">
                      <a:avLst/>
                    </a:prstGeom>
                    <a:ln/>
                  </pic:spPr>
                </pic:pic>
              </a:graphicData>
            </a:graphic>
          </wp:inline>
        </w:drawing>
      </w:r>
    </w:p>
    <w:p w14:paraId="263A6FBC" w14:textId="2C08F3A1" w:rsidR="00710EE1" w:rsidRPr="00710EE1" w:rsidRDefault="00710EE1" w:rsidP="00710EE1">
      <w:pPr>
        <w:pStyle w:val="Caption"/>
        <w:ind w:firstLine="0"/>
      </w:pPr>
      <w:bookmarkStart w:id="56" w:name="_Ref472960200"/>
      <w:bookmarkStart w:id="57" w:name="_Toc473036514"/>
      <w:r>
        <w:t xml:space="preserve">Figure </w:t>
      </w:r>
      <w:r w:rsidR="00B84C3E">
        <w:fldChar w:fldCharType="begin"/>
      </w:r>
      <w:r w:rsidR="00B84C3E">
        <w:instrText xml:space="preserve"> STYLEREF 1 \s </w:instrText>
      </w:r>
      <w:r w:rsidR="00B84C3E">
        <w:fldChar w:fldCharType="separate"/>
      </w:r>
      <w:r>
        <w:rPr>
          <w:noProof/>
        </w:rPr>
        <w:t>2</w:t>
      </w:r>
      <w:r w:rsidR="00B84C3E">
        <w:rPr>
          <w:noProof/>
        </w:rPr>
        <w:fldChar w:fldCharType="end"/>
      </w:r>
      <w:r>
        <w:t>.</w:t>
      </w:r>
      <w:fldSimple w:instr=" SEQ Figure \* ARABIC \s 1 ">
        <w:r>
          <w:rPr>
            <w:noProof/>
          </w:rPr>
          <w:t>7</w:t>
        </w:r>
      </w:fldSimple>
      <w:bookmarkEnd w:id="56"/>
      <w:r>
        <w:t xml:space="preserve"> View of “Lateral Spread Results” tab after analysis</w:t>
      </w:r>
      <w:bookmarkEnd w:id="57"/>
    </w:p>
    <w:p w14:paraId="3DAE4721" w14:textId="77777777" w:rsidR="00710EE1" w:rsidRDefault="00710EE1" w:rsidP="00842B20"/>
    <w:p w14:paraId="420755B7" w14:textId="3EB6876D" w:rsidR="00842B20" w:rsidRDefault="00842B20" w:rsidP="00842B20">
      <w:r>
        <w:t xml:space="preserve"> Current progress is being made to develop a hazard curve for total lateral spread across multiple return periods. It is expected that this will be completed </w:t>
      </w:r>
      <w:r w:rsidR="005574EE">
        <w:t>by the end of January 2017</w:t>
      </w:r>
      <w:r>
        <w:t xml:space="preserve">. </w:t>
      </w:r>
    </w:p>
    <w:p w14:paraId="48AAF24E" w14:textId="37B81F60" w:rsidR="003A04BE" w:rsidRPr="004853B1" w:rsidRDefault="00947359" w:rsidP="008825AA">
      <w:pPr>
        <w:pStyle w:val="Heading2"/>
      </w:pPr>
      <w:r>
        <w:t xml:space="preserve"> </w:t>
      </w:r>
      <w:bookmarkStart w:id="58" w:name="_Toc473036498"/>
      <w:r w:rsidR="00E4368B">
        <w:t>Inclusion of new USGS deaggregation tool</w:t>
      </w:r>
      <w:bookmarkEnd w:id="58"/>
      <w:r w:rsidR="003A04BE" w:rsidRPr="004853B1">
        <w:t xml:space="preserve"> </w:t>
      </w:r>
    </w:p>
    <w:p w14:paraId="347A45EA" w14:textId="4BB12E58" w:rsidR="00842B20" w:rsidRDefault="00842B20" w:rsidP="00842B20">
      <w:r>
        <w:t xml:space="preserve">Coinciding with the release of the 2014 deaggregation model, USGS has decided to transition from an online interactive deaggregation to a local </w:t>
      </w:r>
      <w:r w:rsidR="00AF26DE">
        <w:t xml:space="preserve">deaggregation </w:t>
      </w:r>
      <w:r w:rsidR="005574EE">
        <w:t xml:space="preserve">software </w:t>
      </w:r>
      <w:r w:rsidR="00AF26DE">
        <w:t>tool called “NSHMP</w:t>
      </w:r>
      <w:r>
        <w:t>-haz”.  After the date of March 1, 2017 the online deaggregation tool will no longer be available</w:t>
      </w:r>
      <w:r w:rsidR="005574EE">
        <w:t>,</w:t>
      </w:r>
      <w:r>
        <w:t xml:space="preserve"> necessitatin</w:t>
      </w:r>
      <w:r w:rsidR="005574EE">
        <w:t>g the use of this new tool. A beta version of this</w:t>
      </w:r>
      <w:r>
        <w:t xml:space="preserve"> new tool has </w:t>
      </w:r>
      <w:r w:rsidR="005574EE">
        <w:t xml:space="preserve">already </w:t>
      </w:r>
      <w:r>
        <w:t xml:space="preserve">been integrated into </w:t>
      </w:r>
      <w:r w:rsidRPr="005574EE">
        <w:rPr>
          <w:i/>
        </w:rPr>
        <w:t>CPTLiquefY</w:t>
      </w:r>
      <w:r>
        <w:t xml:space="preserve">. However, a few programming errors within the new tool are being addressed by </w:t>
      </w:r>
      <w:r w:rsidR="005574EE">
        <w:t xml:space="preserve">the </w:t>
      </w:r>
      <w:r>
        <w:t>USGS before complete functionality will be available</w:t>
      </w:r>
      <w:r w:rsidR="005574EE">
        <w:t>.</w:t>
      </w:r>
    </w:p>
    <w:p w14:paraId="04357712" w14:textId="0C78ACD4" w:rsidR="00786F48" w:rsidRPr="004853B1" w:rsidRDefault="00E45B1D" w:rsidP="008825AA">
      <w:pPr>
        <w:pStyle w:val="Heading3"/>
      </w:pPr>
      <w:r>
        <w:t xml:space="preserve"> </w:t>
      </w:r>
      <w:bookmarkStart w:id="59" w:name="_Toc473036499"/>
      <w:r>
        <w:t>USGS O</w:t>
      </w:r>
      <w:r w:rsidR="00AF26DE">
        <w:t>ffline Deaggregation tool (NSHMP</w:t>
      </w:r>
      <w:r>
        <w:t>-haz)</w:t>
      </w:r>
      <w:bookmarkEnd w:id="59"/>
    </w:p>
    <w:p w14:paraId="0F565D84" w14:textId="0245088C" w:rsidR="00842B20" w:rsidRDefault="00842B20" w:rsidP="00842B20">
      <w:r>
        <w:t>NSHMP-haz is currently in beta</w:t>
      </w:r>
      <w:r w:rsidR="005574EE">
        <w:t xml:space="preserve"> mode</w:t>
      </w:r>
      <w:r>
        <w:t>, but wi</w:t>
      </w:r>
      <w:r w:rsidR="002B6DE5">
        <w:t>ll be available to the public</w:t>
      </w:r>
      <w:r>
        <w:t xml:space="preserve"> soon.  In cooperation with the USGS programmers, we have obtained access to the source code of </w:t>
      </w:r>
      <w:r>
        <w:lastRenderedPageBreak/>
        <w:t>NSHMP-haz through the website GitHub</w:t>
      </w:r>
      <w:r w:rsidR="005574EE">
        <w:t>.com</w:t>
      </w:r>
      <w:r>
        <w:t xml:space="preserve">.  An image of the NSHMP-haz code repository is shown in </w:t>
      </w:r>
      <w:r w:rsidR="00710EE1">
        <w:fldChar w:fldCharType="begin"/>
      </w:r>
      <w:r w:rsidR="00710EE1">
        <w:instrText xml:space="preserve"> REF _Ref472958926 \h </w:instrText>
      </w:r>
      <w:r w:rsidR="00710EE1">
        <w:fldChar w:fldCharType="separate"/>
      </w:r>
      <w:r w:rsidR="00710EE1" w:rsidRPr="00710EE1">
        <w:t>Figure 2.8</w:t>
      </w:r>
      <w:r w:rsidR="00710EE1">
        <w:fldChar w:fldCharType="end"/>
      </w:r>
      <w:r>
        <w:t xml:space="preserve">.  From GitHub, a download is available of the tool to a compatible system. Once downloaded, the computer can run </w:t>
      </w:r>
      <w:r w:rsidR="005574EE">
        <w:t xml:space="preserve">ground motion </w:t>
      </w:r>
      <w:r>
        <w:t xml:space="preserve">deaggregations </w:t>
      </w:r>
      <w:r w:rsidR="005574EE">
        <w:t>without</w:t>
      </w:r>
      <w:r>
        <w:t xml:space="preserve"> access</w:t>
      </w:r>
      <w:r w:rsidR="005574EE">
        <w:t>ing the USGS servers through the Internet.</w:t>
      </w:r>
      <w:r>
        <w:t xml:space="preserve"> This is a major step forward for performance-based earthquake </w:t>
      </w:r>
      <w:r w:rsidR="005574EE">
        <w:t>engineering research because</w:t>
      </w:r>
      <w:r>
        <w:t xml:space="preserve"> a major obstacle to </w:t>
      </w:r>
      <w:r w:rsidR="005574EE">
        <w:t>the development of earlier</w:t>
      </w:r>
      <w:r>
        <w:t xml:space="preserve"> research tools ha</w:t>
      </w:r>
      <w:r w:rsidR="005574EE">
        <w:t>s been the instability caused by performing and downloading thousands of USGS ground motion deaggregation files</w:t>
      </w:r>
      <w:r>
        <w:t>.  This should no longer be a problem in the future, as a single system will</w:t>
      </w:r>
      <w:r w:rsidR="005574EE">
        <w:t xml:space="preserve"> be capable of developing all ground motion deaggregations and performing</w:t>
      </w:r>
      <w:r>
        <w:t xml:space="preserve"> all </w:t>
      </w:r>
      <w:r w:rsidR="005574EE">
        <w:t xml:space="preserve">performance-based </w:t>
      </w:r>
      <w:r>
        <w:t xml:space="preserve">calculations.  </w:t>
      </w:r>
    </w:p>
    <w:p w14:paraId="7F4E5A74" w14:textId="77777777" w:rsidR="00842B20" w:rsidRDefault="00842B20" w:rsidP="00842B20"/>
    <w:p w14:paraId="4F7C2C2D" w14:textId="77777777" w:rsidR="00710EE1" w:rsidRDefault="00842B20" w:rsidP="00710EE1">
      <w:pPr>
        <w:keepNext/>
        <w:jc w:val="center"/>
      </w:pPr>
      <w:r>
        <w:rPr>
          <w:noProof/>
        </w:rPr>
        <w:drawing>
          <wp:inline distT="0" distB="0" distL="0" distR="0" wp14:anchorId="6B1D14B1" wp14:editId="07093FCC">
            <wp:extent cx="4933507" cy="4688958"/>
            <wp:effectExtent l="19050" t="19050" r="19685" b="16510"/>
            <wp:docPr id="15"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1"/>
                    <a:srcRect/>
                    <a:stretch>
                      <a:fillRect/>
                    </a:stretch>
                  </pic:blipFill>
                  <pic:spPr>
                    <a:xfrm>
                      <a:off x="0" y="0"/>
                      <a:ext cx="4938681" cy="4693876"/>
                    </a:xfrm>
                    <a:prstGeom prst="rect">
                      <a:avLst/>
                    </a:prstGeom>
                    <a:ln>
                      <a:solidFill>
                        <a:schemeClr val="tx1"/>
                      </a:solidFill>
                    </a:ln>
                  </pic:spPr>
                </pic:pic>
              </a:graphicData>
            </a:graphic>
          </wp:inline>
        </w:drawing>
      </w:r>
    </w:p>
    <w:p w14:paraId="50789D70" w14:textId="4C6EBC5C" w:rsidR="00842B20" w:rsidRDefault="00710EE1" w:rsidP="00710EE1">
      <w:pPr>
        <w:pStyle w:val="Caption"/>
      </w:pPr>
      <w:bookmarkStart w:id="60" w:name="_Ref472958926"/>
      <w:bookmarkStart w:id="61" w:name="_Toc473036515"/>
      <w:r w:rsidRPr="00710EE1">
        <w:t xml:space="preserve">Figure </w:t>
      </w:r>
      <w:r w:rsidR="00B84C3E">
        <w:fldChar w:fldCharType="begin"/>
      </w:r>
      <w:r w:rsidR="00B84C3E">
        <w:instrText xml:space="preserve"> STYLEREF 1 \s </w:instrText>
      </w:r>
      <w:r w:rsidR="00B84C3E">
        <w:fldChar w:fldCharType="separate"/>
      </w:r>
      <w:r>
        <w:rPr>
          <w:noProof/>
        </w:rPr>
        <w:t>2</w:t>
      </w:r>
      <w:r w:rsidR="00B84C3E">
        <w:rPr>
          <w:noProof/>
        </w:rPr>
        <w:fldChar w:fldCharType="end"/>
      </w:r>
      <w:r>
        <w:t>.</w:t>
      </w:r>
      <w:fldSimple w:instr=" SEQ Figure \* ARABIC \s 1 ">
        <w:r>
          <w:rPr>
            <w:noProof/>
          </w:rPr>
          <w:t>8</w:t>
        </w:r>
      </w:fldSimple>
      <w:bookmarkEnd w:id="60"/>
      <w:r w:rsidR="000D1EE5">
        <w:t xml:space="preserve"> </w:t>
      </w:r>
      <w:r w:rsidRPr="00710EE1">
        <w:t>USGS NSHMP-haz code</w:t>
      </w:r>
      <w:r w:rsidR="000D1EE5">
        <w:t xml:space="preserve"> repository</w:t>
      </w:r>
      <w:r w:rsidRPr="00710EE1">
        <w:t xml:space="preserve"> on GitHub.com</w:t>
      </w:r>
      <w:bookmarkEnd w:id="61"/>
      <w:r w:rsidR="00842B20">
        <w:rPr>
          <w:b w:val="0"/>
          <w:color w:val="000000"/>
          <w:szCs w:val="24"/>
        </w:rPr>
        <w:t xml:space="preserve"> </w:t>
      </w:r>
      <w:bookmarkStart w:id="62" w:name="_49x2ik5" w:colFirst="0" w:colLast="0"/>
      <w:bookmarkEnd w:id="62"/>
    </w:p>
    <w:p w14:paraId="3E3CA4EF" w14:textId="05135078" w:rsidR="00842B20" w:rsidRDefault="00842B20" w:rsidP="00842B20">
      <w:r>
        <w:lastRenderedPageBreak/>
        <w:t xml:space="preserve">The </w:t>
      </w:r>
      <w:r w:rsidR="002637ED">
        <w:t>NSHMP-haz code uses</w:t>
      </w:r>
      <w:r>
        <w:t xml:space="preserve"> </w:t>
      </w:r>
      <w:r w:rsidR="00710EE1">
        <w:t xml:space="preserve">the </w:t>
      </w:r>
      <w:r>
        <w:t>Java</w:t>
      </w:r>
      <w:r w:rsidR="00710EE1">
        <w:t xml:space="preserve"> programming language,</w:t>
      </w:r>
      <w:r>
        <w:t xml:space="preserve"> so installation</w:t>
      </w:r>
      <w:r w:rsidR="00730FFF">
        <w:t xml:space="preserve"> of J</w:t>
      </w:r>
      <w:r w:rsidR="00633165">
        <w:t>ava</w:t>
      </w:r>
      <w:r>
        <w:t xml:space="preserve"> is required before</w:t>
      </w:r>
      <w:r w:rsidR="002637ED">
        <w:t xml:space="preserve"> running the tool.  Set</w:t>
      </w:r>
      <w:r>
        <w:t>up</w:t>
      </w:r>
      <w:r w:rsidR="00730FFF">
        <w:t xml:space="preserve"> of J</w:t>
      </w:r>
      <w:r w:rsidR="00633165">
        <w:t>ava</w:t>
      </w:r>
      <w:r>
        <w:t xml:space="preserve"> is a simple process and clear instructions have been developed </w:t>
      </w:r>
      <w:r w:rsidR="002637ED">
        <w:t xml:space="preserve">by the USGS </w:t>
      </w:r>
      <w:r>
        <w:t>to guide users.  As stated previously</w:t>
      </w:r>
      <w:r w:rsidR="00730FFF">
        <w:t>,</w:t>
      </w:r>
      <w:r>
        <w:t xml:space="preserve"> the online deaggregations will no longer be available after March 1, 2017</w:t>
      </w:r>
      <w:r w:rsidR="00730FFF">
        <w:t>,</w:t>
      </w:r>
      <w:r>
        <w:t xml:space="preserve"> so access to this new tool is crucial for the success of our liquefaction hazard analysis tool </w:t>
      </w:r>
      <w:r>
        <w:rPr>
          <w:i/>
        </w:rPr>
        <w:t>CPTLiquefY</w:t>
      </w:r>
      <w:r>
        <w:t xml:space="preserve">.  </w:t>
      </w:r>
    </w:p>
    <w:p w14:paraId="37903719" w14:textId="77777777" w:rsidR="00842B20" w:rsidRDefault="00842B20" w:rsidP="00842B20">
      <w:r>
        <w:t xml:space="preserve">At this point, </w:t>
      </w:r>
      <w:r>
        <w:rPr>
          <w:i/>
        </w:rPr>
        <w:t>CPTLiquefY</w:t>
      </w:r>
      <w:r>
        <w:t xml:space="preserve"> successfully runs and collects deaggregation data from the new tool for the 2008 and 2014 deaggregations for the western half of the United States. Some minor errors have been detected in the new tool while calculating deaggregations for eastern states.  USGS is working to fix these errors as they prepare for the final release of the tool around March 1, 2017.</w:t>
      </w:r>
    </w:p>
    <w:p w14:paraId="329E7E7E" w14:textId="10DE22E3" w:rsidR="00842B20" w:rsidRDefault="00842B20" w:rsidP="00842B20">
      <w:r>
        <w:t xml:space="preserve">This </w:t>
      </w:r>
      <w:r w:rsidR="002637ED">
        <w:t>NSHMP-haz code</w:t>
      </w:r>
      <w:r>
        <w:t xml:space="preserve"> runs in a similar fashion to the old interactive deaggregation available online.  The user </w:t>
      </w:r>
      <w:r w:rsidR="006770AB">
        <w:t>chooses</w:t>
      </w:r>
      <w:r>
        <w:t xml:space="preserve"> four parameters before running the analysis.  These are a latitude, longitude, exceedance probability and a number of years to consider in the analysis. An image</w:t>
      </w:r>
      <w:r w:rsidR="001D37E1">
        <w:t xml:space="preserve"> of the old online interactive d</w:t>
      </w:r>
      <w:r>
        <w:t>eaggregation is shown</w:t>
      </w:r>
      <w:r w:rsidR="007A3786">
        <w:t xml:space="preserve"> with major parameters highlighted</w:t>
      </w:r>
      <w:r>
        <w:t xml:space="preserve"> in </w:t>
      </w:r>
      <w:r w:rsidR="00710EE1">
        <w:fldChar w:fldCharType="begin"/>
      </w:r>
      <w:r w:rsidR="00710EE1">
        <w:instrText xml:space="preserve"> REF _Ref472959004 \h </w:instrText>
      </w:r>
      <w:r w:rsidR="00710EE1">
        <w:fldChar w:fldCharType="separate"/>
      </w:r>
      <w:r w:rsidR="00710EE1" w:rsidRPr="00710EE1">
        <w:t>Figure 2.9</w:t>
      </w:r>
      <w:r w:rsidR="00710EE1">
        <w:fldChar w:fldCharType="end"/>
      </w:r>
      <w:r>
        <w:t xml:space="preserve">.  </w:t>
      </w:r>
    </w:p>
    <w:p w14:paraId="05677B66" w14:textId="77777777" w:rsidR="00842B20" w:rsidRDefault="00842B20" w:rsidP="00842B20"/>
    <w:p w14:paraId="7CD914CC" w14:textId="77777777" w:rsidR="00710EE1" w:rsidRDefault="00842B20" w:rsidP="00710EE1">
      <w:pPr>
        <w:keepNext/>
        <w:jc w:val="center"/>
      </w:pPr>
      <w:r>
        <w:rPr>
          <w:noProof/>
        </w:rPr>
        <w:lastRenderedPageBreak/>
        <w:drawing>
          <wp:inline distT="0" distB="0" distL="0" distR="0" wp14:anchorId="519A03D2" wp14:editId="67BF1C26">
            <wp:extent cx="4869711" cy="4369982"/>
            <wp:effectExtent l="19050" t="19050" r="26670" b="12065"/>
            <wp:docPr id="14" name="image30.jpg" descr="old usgs 2.JPG"/>
            <wp:cNvGraphicFramePr/>
            <a:graphic xmlns:a="http://schemas.openxmlformats.org/drawingml/2006/main">
              <a:graphicData uri="http://schemas.openxmlformats.org/drawingml/2006/picture">
                <pic:pic xmlns:pic="http://schemas.openxmlformats.org/drawingml/2006/picture">
                  <pic:nvPicPr>
                    <pic:cNvPr id="0" name="image30.jpg" descr="old usgs 2.JPG"/>
                    <pic:cNvPicPr preferRelativeResize="0"/>
                  </pic:nvPicPr>
                  <pic:blipFill>
                    <a:blip r:embed="rId32"/>
                    <a:srcRect t="552" b="552"/>
                    <a:stretch>
                      <a:fillRect/>
                    </a:stretch>
                  </pic:blipFill>
                  <pic:spPr>
                    <a:xfrm>
                      <a:off x="0" y="0"/>
                      <a:ext cx="4875840" cy="4375482"/>
                    </a:xfrm>
                    <a:prstGeom prst="rect">
                      <a:avLst/>
                    </a:prstGeom>
                    <a:ln>
                      <a:solidFill>
                        <a:schemeClr val="tx1"/>
                      </a:solidFill>
                    </a:ln>
                  </pic:spPr>
                </pic:pic>
              </a:graphicData>
            </a:graphic>
          </wp:inline>
        </w:drawing>
      </w:r>
    </w:p>
    <w:p w14:paraId="0318E539" w14:textId="40C1441D" w:rsidR="00842B20" w:rsidRDefault="00710EE1" w:rsidP="00710EE1">
      <w:pPr>
        <w:pStyle w:val="Caption"/>
      </w:pPr>
      <w:bookmarkStart w:id="63" w:name="_Ref472959004"/>
      <w:bookmarkStart w:id="64" w:name="_Toc473036516"/>
      <w:r w:rsidRPr="00710EE1">
        <w:t xml:space="preserve">Figure </w:t>
      </w:r>
      <w:r w:rsidR="00B84C3E">
        <w:fldChar w:fldCharType="begin"/>
      </w:r>
      <w:r w:rsidR="00B84C3E">
        <w:instrText xml:space="preserve"> STYLEREF 1 \s </w:instrText>
      </w:r>
      <w:r w:rsidR="00B84C3E">
        <w:fldChar w:fldCharType="separate"/>
      </w:r>
      <w:r w:rsidRPr="00710EE1">
        <w:t>2</w:t>
      </w:r>
      <w:r w:rsidR="00B84C3E">
        <w:fldChar w:fldCharType="end"/>
      </w:r>
      <w:r w:rsidRPr="00710EE1">
        <w:t>.</w:t>
      </w:r>
      <w:fldSimple w:instr=" SEQ Figure \* ARABIC \s 1 ">
        <w:r w:rsidRPr="00710EE1">
          <w:t>9</w:t>
        </w:r>
      </w:fldSimple>
      <w:bookmarkEnd w:id="63"/>
      <w:r w:rsidRPr="00710EE1">
        <w:t xml:space="preserve"> Image of the old USGS online deaggregation tool</w:t>
      </w:r>
      <w:bookmarkEnd w:id="64"/>
    </w:p>
    <w:p w14:paraId="0F4357A2" w14:textId="77777777" w:rsidR="002637ED" w:rsidRDefault="002637ED" w:rsidP="00710EE1"/>
    <w:p w14:paraId="01FC469E" w14:textId="2625B2A6" w:rsidR="00710EE1" w:rsidRDefault="00842B20" w:rsidP="00710EE1">
      <w:r>
        <w:t xml:space="preserve">These options remain the same with the new NSHMP-haz tool.  The user simply selects the same four parameters in the “Pseudo Probabilistic” tab in the program </w:t>
      </w:r>
      <w:r>
        <w:rPr>
          <w:i/>
        </w:rPr>
        <w:t>CPTLiquefY</w:t>
      </w:r>
      <w:r w:rsidR="007A3786">
        <w:t xml:space="preserve"> as highlighted</w:t>
      </w:r>
      <w:r>
        <w:t xml:space="preserve"> in </w:t>
      </w:r>
      <w:r w:rsidR="00710EE1">
        <w:fldChar w:fldCharType="begin"/>
      </w:r>
      <w:r w:rsidR="00710EE1">
        <w:instrText xml:space="preserve"> REF _Ref472959066 \h </w:instrText>
      </w:r>
      <w:r w:rsidR="00710EE1">
        <w:fldChar w:fldCharType="separate"/>
      </w:r>
      <w:r w:rsidR="00710EE1">
        <w:t xml:space="preserve">Figure </w:t>
      </w:r>
      <w:r w:rsidR="00710EE1">
        <w:rPr>
          <w:noProof/>
        </w:rPr>
        <w:t>2</w:t>
      </w:r>
      <w:r w:rsidR="00710EE1">
        <w:t>.</w:t>
      </w:r>
      <w:r w:rsidR="00710EE1">
        <w:rPr>
          <w:noProof/>
        </w:rPr>
        <w:t>10</w:t>
      </w:r>
      <w:r w:rsidR="00710EE1">
        <w:fldChar w:fldCharType="end"/>
      </w:r>
      <w:r>
        <w:t xml:space="preserve">.  </w:t>
      </w:r>
      <w:r>
        <w:rPr>
          <w:i/>
        </w:rPr>
        <w:t>CPTLiquefY</w:t>
      </w:r>
      <w:r>
        <w:t xml:space="preserve"> will then pass the parameters on to the USGS tool and display the results after completion of the deaggregation run.  The new tool runs on the system command prompt so when the tool is activated a command line window will</w:t>
      </w:r>
      <w:r w:rsidR="00710EE1">
        <w:t xml:space="preserve"> briefly open as the tool runs.</w:t>
      </w:r>
      <w:r>
        <w:t xml:space="preserve"> </w:t>
      </w:r>
      <w:r w:rsidR="00710EE1">
        <w:fldChar w:fldCharType="begin"/>
      </w:r>
      <w:r w:rsidR="00710EE1">
        <w:instrText xml:space="preserve"> REF _Ref472959222 \h </w:instrText>
      </w:r>
      <w:r w:rsidR="00710EE1">
        <w:fldChar w:fldCharType="separate"/>
      </w:r>
      <w:r w:rsidR="00710EE1">
        <w:t xml:space="preserve">Figure </w:t>
      </w:r>
      <w:r w:rsidR="00710EE1">
        <w:rPr>
          <w:noProof/>
        </w:rPr>
        <w:t>2</w:t>
      </w:r>
      <w:r w:rsidR="00710EE1">
        <w:t>.</w:t>
      </w:r>
      <w:r w:rsidR="00710EE1">
        <w:rPr>
          <w:noProof/>
        </w:rPr>
        <w:t>11</w:t>
      </w:r>
      <w:r w:rsidR="00710EE1">
        <w:fldChar w:fldCharType="end"/>
      </w:r>
      <w:r w:rsidR="00710EE1">
        <w:t xml:space="preserve"> </w:t>
      </w:r>
      <w:r>
        <w:t>shows an example of the window launched by the application.</w:t>
      </w:r>
    </w:p>
    <w:p w14:paraId="52ED1435" w14:textId="5A01A18F" w:rsidR="00842B20" w:rsidRDefault="00842B20" w:rsidP="00710EE1">
      <w:pPr>
        <w:ind w:firstLine="0"/>
        <w:jc w:val="center"/>
      </w:pPr>
      <w:r>
        <w:rPr>
          <w:noProof/>
        </w:rPr>
        <w:lastRenderedPageBreak/>
        <w:drawing>
          <wp:inline distT="114300" distB="114300" distL="114300" distR="114300" wp14:anchorId="153DDD57" wp14:editId="03B2C749">
            <wp:extent cx="5348177" cy="3444949"/>
            <wp:effectExtent l="0" t="0" r="5080" b="3175"/>
            <wp:docPr id="11" name="image12.jpg" descr="bah2.JPG"/>
            <wp:cNvGraphicFramePr/>
            <a:graphic xmlns:a="http://schemas.openxmlformats.org/drawingml/2006/main">
              <a:graphicData uri="http://schemas.openxmlformats.org/drawingml/2006/picture">
                <pic:pic xmlns:pic="http://schemas.openxmlformats.org/drawingml/2006/picture">
                  <pic:nvPicPr>
                    <pic:cNvPr id="0" name="image12.jpg" descr="bah2.JPG"/>
                    <pic:cNvPicPr preferRelativeResize="0"/>
                  </pic:nvPicPr>
                  <pic:blipFill>
                    <a:blip r:embed="rId33"/>
                    <a:srcRect/>
                    <a:stretch>
                      <a:fillRect/>
                    </a:stretch>
                  </pic:blipFill>
                  <pic:spPr>
                    <a:xfrm>
                      <a:off x="0" y="0"/>
                      <a:ext cx="5351344" cy="3446989"/>
                    </a:xfrm>
                    <a:prstGeom prst="rect">
                      <a:avLst/>
                    </a:prstGeom>
                    <a:ln/>
                  </pic:spPr>
                </pic:pic>
              </a:graphicData>
            </a:graphic>
          </wp:inline>
        </w:drawing>
      </w:r>
    </w:p>
    <w:p w14:paraId="3A7978FA" w14:textId="4CA65A2E" w:rsidR="00842B20" w:rsidRDefault="00842B20" w:rsidP="00710EE1">
      <w:pPr>
        <w:pStyle w:val="Caption"/>
        <w:ind w:firstLine="0"/>
      </w:pPr>
      <w:bookmarkStart w:id="65" w:name="_Ref472959066"/>
      <w:bookmarkStart w:id="66" w:name="_Toc473036517"/>
      <w:r>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10</w:t>
        </w:r>
      </w:fldSimple>
      <w:bookmarkEnd w:id="65"/>
      <w:r>
        <w:t xml:space="preserve"> Input options for new USGS tool</w:t>
      </w:r>
      <w:r w:rsidR="00710EE1">
        <w:t xml:space="preserve"> on the “Pseudo Probabilistic” tab</w:t>
      </w:r>
      <w:bookmarkEnd w:id="66"/>
    </w:p>
    <w:p w14:paraId="3D135D5F" w14:textId="77777777" w:rsidR="00710EE1" w:rsidRPr="00710EE1" w:rsidRDefault="00710EE1" w:rsidP="00710EE1">
      <w:pPr>
        <w:pStyle w:val="BodyText"/>
      </w:pPr>
    </w:p>
    <w:p w14:paraId="7760C827" w14:textId="77777777" w:rsidR="00842B20" w:rsidRDefault="00842B20" w:rsidP="00710EE1">
      <w:pPr>
        <w:keepNext/>
        <w:ind w:firstLine="0"/>
        <w:jc w:val="center"/>
      </w:pPr>
      <w:r>
        <w:rPr>
          <w:noProof/>
        </w:rPr>
        <w:drawing>
          <wp:inline distT="114300" distB="114300" distL="114300" distR="114300" wp14:anchorId="0236052D" wp14:editId="4C867492">
            <wp:extent cx="5369442" cy="2349795"/>
            <wp:effectExtent l="0" t="0" r="3175" b="0"/>
            <wp:docPr id="12" name="image09.jpg" descr="newtoolz.JPG"/>
            <wp:cNvGraphicFramePr/>
            <a:graphic xmlns:a="http://schemas.openxmlformats.org/drawingml/2006/main">
              <a:graphicData uri="http://schemas.openxmlformats.org/drawingml/2006/picture">
                <pic:pic xmlns:pic="http://schemas.openxmlformats.org/drawingml/2006/picture">
                  <pic:nvPicPr>
                    <pic:cNvPr id="0" name="image09.jpg" descr="newtoolz.JPG"/>
                    <pic:cNvPicPr preferRelativeResize="0"/>
                  </pic:nvPicPr>
                  <pic:blipFill>
                    <a:blip r:embed="rId34"/>
                    <a:srcRect/>
                    <a:stretch>
                      <a:fillRect/>
                    </a:stretch>
                  </pic:blipFill>
                  <pic:spPr>
                    <a:xfrm>
                      <a:off x="0" y="0"/>
                      <a:ext cx="5380958" cy="2354835"/>
                    </a:xfrm>
                    <a:prstGeom prst="rect">
                      <a:avLst/>
                    </a:prstGeom>
                    <a:ln/>
                  </pic:spPr>
                </pic:pic>
              </a:graphicData>
            </a:graphic>
          </wp:inline>
        </w:drawing>
      </w:r>
    </w:p>
    <w:p w14:paraId="13D146BC" w14:textId="4267751A" w:rsidR="00842B20" w:rsidRDefault="00842B20" w:rsidP="00710EE1">
      <w:pPr>
        <w:pStyle w:val="Caption"/>
        <w:ind w:firstLine="0"/>
      </w:pPr>
      <w:bookmarkStart w:id="67" w:name="_Ref472959222"/>
      <w:bookmarkStart w:id="68" w:name="_Toc473036518"/>
      <w:r>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710EE1">
          <w:rPr>
            <w:noProof/>
          </w:rPr>
          <w:t>11</w:t>
        </w:r>
      </w:fldSimple>
      <w:bookmarkEnd w:id="67"/>
      <w:r>
        <w:t xml:space="preserve"> </w:t>
      </w:r>
      <w:r w:rsidR="00710EE1">
        <w:t xml:space="preserve">View of the </w:t>
      </w:r>
      <w:r w:rsidR="00185387">
        <w:t>window launched by NSHMP-haz</w:t>
      </w:r>
      <w:bookmarkEnd w:id="68"/>
    </w:p>
    <w:p w14:paraId="5E934335" w14:textId="0B9A75E1" w:rsidR="00842B20" w:rsidRDefault="00842B20" w:rsidP="0002068F">
      <w:pPr>
        <w:ind w:firstLine="0"/>
      </w:pPr>
      <w:r>
        <w:tab/>
        <w:t xml:space="preserve">There is one slight difference in the new USGS tool.  Users are now required to select which region of the United States the location of interest is found.  </w:t>
      </w:r>
      <w:r w:rsidR="007B0096">
        <w:t>There are currently two options, o</w:t>
      </w:r>
      <w:r>
        <w:t>ption 1 is</w:t>
      </w:r>
      <w:r w:rsidR="007B0096">
        <w:t xml:space="preserve"> for the western US, and option 2 is for the central and e</w:t>
      </w:r>
      <w:r>
        <w:t>astern US.  The division between western, central, and eastern states can be seen in</w:t>
      </w:r>
      <w:r w:rsidR="0002068F">
        <w:t xml:space="preserve"> </w:t>
      </w:r>
      <w:r w:rsidR="0002068F">
        <w:rPr>
          <w:highlight w:val="yellow"/>
        </w:rPr>
        <w:fldChar w:fldCharType="begin"/>
      </w:r>
      <w:r w:rsidR="0002068F">
        <w:instrText xml:space="preserve"> REF _Ref472959310 \h </w:instrText>
      </w:r>
      <w:r w:rsidR="0002068F">
        <w:rPr>
          <w:highlight w:val="yellow"/>
        </w:rPr>
        <w:instrText xml:space="preserve"> \* MERGEFORMAT </w:instrText>
      </w:r>
      <w:r w:rsidR="0002068F">
        <w:rPr>
          <w:highlight w:val="yellow"/>
        </w:rPr>
      </w:r>
      <w:r w:rsidR="0002068F">
        <w:rPr>
          <w:highlight w:val="yellow"/>
        </w:rPr>
        <w:fldChar w:fldCharType="separate"/>
      </w:r>
      <w:r w:rsidR="00B80705">
        <w:t xml:space="preserve">Figure </w:t>
      </w:r>
      <w:r w:rsidR="00B80705">
        <w:rPr>
          <w:noProof/>
        </w:rPr>
        <w:t>2.12</w:t>
      </w:r>
      <w:r w:rsidR="0002068F">
        <w:rPr>
          <w:highlight w:val="yellow"/>
        </w:rPr>
        <w:fldChar w:fldCharType="end"/>
      </w:r>
      <w:r w:rsidRPr="0002068F">
        <w:t>.</w:t>
      </w:r>
      <w:r>
        <w:t xml:space="preserve"> If the wrong </w:t>
      </w:r>
      <w:r>
        <w:lastRenderedPageBreak/>
        <w:t xml:space="preserve">region is selected an error will occur and the user will be notified to use the other model.  Other models are currently available for locations in Hawaii and Alaska but have not yet been integrated with </w:t>
      </w:r>
      <w:r>
        <w:rPr>
          <w:i/>
        </w:rPr>
        <w:t>CPTLiquefY</w:t>
      </w:r>
      <w:r>
        <w:t>.  Other models may become available</w:t>
      </w:r>
      <w:r w:rsidR="00B80705">
        <w:t xml:space="preserve"> in the near future.  Continued</w:t>
      </w:r>
      <w:r>
        <w:t xml:space="preserve"> work may include the addition of these models. </w:t>
      </w:r>
    </w:p>
    <w:p w14:paraId="773E3B6A" w14:textId="77777777" w:rsidR="0002068F" w:rsidRDefault="0002068F" w:rsidP="00842B20">
      <w:pPr>
        <w:ind w:firstLine="0"/>
        <w:jc w:val="left"/>
      </w:pPr>
    </w:p>
    <w:p w14:paraId="469495B2" w14:textId="77777777" w:rsidR="00842B20" w:rsidRDefault="00842B20" w:rsidP="00842B20">
      <w:pPr>
        <w:keepNext/>
        <w:ind w:firstLine="0"/>
        <w:jc w:val="center"/>
      </w:pPr>
      <w:r>
        <w:rPr>
          <w:noProof/>
        </w:rPr>
        <w:drawing>
          <wp:inline distT="114300" distB="114300" distL="114300" distR="114300" wp14:anchorId="4019BB35" wp14:editId="53A49600">
            <wp:extent cx="4550734" cy="2828261"/>
            <wp:effectExtent l="0" t="0" r="254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5"/>
                    <a:srcRect/>
                    <a:stretch>
                      <a:fillRect/>
                    </a:stretch>
                  </pic:blipFill>
                  <pic:spPr>
                    <a:xfrm>
                      <a:off x="0" y="0"/>
                      <a:ext cx="4559632" cy="2833791"/>
                    </a:xfrm>
                    <a:prstGeom prst="rect">
                      <a:avLst/>
                    </a:prstGeom>
                    <a:ln/>
                  </pic:spPr>
                </pic:pic>
              </a:graphicData>
            </a:graphic>
          </wp:inline>
        </w:drawing>
      </w:r>
    </w:p>
    <w:p w14:paraId="200AD865" w14:textId="54D7E6C4" w:rsidR="00842B20" w:rsidRDefault="00842B20" w:rsidP="00842B20">
      <w:pPr>
        <w:pStyle w:val="Caption"/>
      </w:pPr>
      <w:bookmarkStart w:id="69" w:name="_Ref472959310"/>
      <w:bookmarkStart w:id="70" w:name="_Toc473036519"/>
      <w:r>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B80705">
          <w:rPr>
            <w:noProof/>
          </w:rPr>
          <w:t>12</w:t>
        </w:r>
      </w:fldSimple>
      <w:bookmarkEnd w:id="69"/>
      <w:r>
        <w:t xml:space="preserve"> Map west U</w:t>
      </w:r>
      <w:r w:rsidR="0002068F">
        <w:t>nited States, showing the division in USGS between western, central, and eastern states</w:t>
      </w:r>
      <w:bookmarkEnd w:id="70"/>
    </w:p>
    <w:p w14:paraId="25AC55C2" w14:textId="64232B8C" w:rsidR="00B96839" w:rsidRDefault="00E45B1D" w:rsidP="00E45B1D">
      <w:pPr>
        <w:pStyle w:val="Heading3"/>
      </w:pPr>
      <w:bookmarkStart w:id="71" w:name="_Toc473036500"/>
      <w:r>
        <w:t>USGS Deagg</w:t>
      </w:r>
      <w:r w:rsidR="004C266A">
        <w:t>regation</w:t>
      </w:r>
      <w:r>
        <w:t xml:space="preserve"> Model 2008</w:t>
      </w:r>
      <w:bookmarkEnd w:id="71"/>
    </w:p>
    <w:p w14:paraId="4AFCA3CB" w14:textId="473274B6" w:rsidR="00842B20" w:rsidRDefault="00842B20" w:rsidP="00842B20">
      <w:r>
        <w:rPr>
          <w:color w:val="000000"/>
          <w:szCs w:val="24"/>
        </w:rPr>
        <w:t xml:space="preserve">Along with the new tool, USGS has now made available an updated version of the 2008 Deaggregation model that was available previously.  This model includes bug fixes and increased accuracy.  </w:t>
      </w:r>
      <w:r>
        <w:t>The user can choose to use the 2008 model in the new tool by selecting the USGS year in t</w:t>
      </w:r>
      <w:r w:rsidR="00B80705">
        <w:t xml:space="preserve">he “Pseudo Probabilistic” tab, as seen in </w:t>
      </w:r>
      <w:r w:rsidR="00B80705">
        <w:fldChar w:fldCharType="begin"/>
      </w:r>
      <w:r w:rsidR="00B80705">
        <w:instrText xml:space="preserve"> REF _Ref472959409 \h </w:instrText>
      </w:r>
      <w:r w:rsidR="00B80705">
        <w:fldChar w:fldCharType="separate"/>
      </w:r>
      <w:r w:rsidR="00620DEA">
        <w:t xml:space="preserve">Figure </w:t>
      </w:r>
      <w:r w:rsidR="00620DEA">
        <w:rPr>
          <w:noProof/>
        </w:rPr>
        <w:t>2</w:t>
      </w:r>
      <w:r w:rsidR="00620DEA">
        <w:t>.</w:t>
      </w:r>
      <w:r w:rsidR="00620DEA">
        <w:rPr>
          <w:noProof/>
        </w:rPr>
        <w:t>13</w:t>
      </w:r>
      <w:r w:rsidR="00B80705">
        <w:fldChar w:fldCharType="end"/>
      </w:r>
      <w:r w:rsidR="00B80705">
        <w:t>.</w:t>
      </w:r>
    </w:p>
    <w:p w14:paraId="2A250E5E" w14:textId="77777777" w:rsidR="00842B20" w:rsidRDefault="00842B20" w:rsidP="00B80705">
      <w:pPr>
        <w:keepNext/>
        <w:ind w:firstLine="0"/>
        <w:jc w:val="center"/>
      </w:pPr>
      <w:r>
        <w:rPr>
          <w:noProof/>
        </w:rPr>
        <w:lastRenderedPageBreak/>
        <w:drawing>
          <wp:inline distT="114300" distB="114300" distL="114300" distR="114300" wp14:anchorId="6AA9572F" wp14:editId="02CC01F1">
            <wp:extent cx="5143500" cy="3381375"/>
            <wp:effectExtent l="0" t="0" r="0" b="9525"/>
            <wp:docPr id="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6"/>
                    <a:srcRect/>
                    <a:stretch>
                      <a:fillRect/>
                    </a:stretch>
                  </pic:blipFill>
                  <pic:spPr>
                    <a:xfrm>
                      <a:off x="0" y="0"/>
                      <a:ext cx="5143500" cy="3381375"/>
                    </a:xfrm>
                    <a:prstGeom prst="rect">
                      <a:avLst/>
                    </a:prstGeom>
                    <a:ln/>
                  </pic:spPr>
                </pic:pic>
              </a:graphicData>
            </a:graphic>
          </wp:inline>
        </w:drawing>
      </w:r>
    </w:p>
    <w:p w14:paraId="59248FB1" w14:textId="75B43AD0" w:rsidR="00842B20" w:rsidRDefault="00842B20" w:rsidP="00B80705">
      <w:pPr>
        <w:pStyle w:val="Caption"/>
      </w:pPr>
      <w:bookmarkStart w:id="72" w:name="_Ref472959409"/>
      <w:bookmarkStart w:id="73" w:name="_Toc473036520"/>
      <w:r>
        <w:t xml:space="preserve">Figure </w:t>
      </w:r>
      <w:r w:rsidR="00B84C3E">
        <w:fldChar w:fldCharType="begin"/>
      </w:r>
      <w:r w:rsidR="00B84C3E">
        <w:instrText xml:space="preserve"> STYLEREF 1 \s </w:instrText>
      </w:r>
      <w:r w:rsidR="00B84C3E">
        <w:fldChar w:fldCharType="separate"/>
      </w:r>
      <w:r w:rsidR="00710EE1">
        <w:rPr>
          <w:noProof/>
        </w:rPr>
        <w:t>2</w:t>
      </w:r>
      <w:r w:rsidR="00B84C3E">
        <w:rPr>
          <w:noProof/>
        </w:rPr>
        <w:fldChar w:fldCharType="end"/>
      </w:r>
      <w:r w:rsidR="00710EE1">
        <w:t>.</w:t>
      </w:r>
      <w:fldSimple w:instr=" SEQ Figure \* ARABIC \s 1 ">
        <w:r w:rsidR="00620DEA">
          <w:rPr>
            <w:noProof/>
          </w:rPr>
          <w:t>13</w:t>
        </w:r>
      </w:fldSimple>
      <w:bookmarkEnd w:id="72"/>
      <w:r>
        <w:t xml:space="preserve"> </w:t>
      </w:r>
      <w:r w:rsidR="00B80705">
        <w:t>Display of USGS deaggregation year selection</w:t>
      </w:r>
      <w:bookmarkEnd w:id="73"/>
    </w:p>
    <w:p w14:paraId="7A7E04C7" w14:textId="041B6615" w:rsidR="00E45B1D" w:rsidRDefault="004C266A" w:rsidP="00E45B1D">
      <w:pPr>
        <w:pStyle w:val="Heading3"/>
      </w:pPr>
      <w:r>
        <w:t xml:space="preserve"> </w:t>
      </w:r>
      <w:bookmarkStart w:id="74" w:name="_Toc473036501"/>
      <w:r w:rsidR="00E45B1D">
        <w:t>USGS Deaggregation Model 2014</w:t>
      </w:r>
      <w:bookmarkEnd w:id="74"/>
    </w:p>
    <w:p w14:paraId="481306EC" w14:textId="4C591996" w:rsidR="00842B20" w:rsidRPr="00B80705" w:rsidRDefault="00842B20" w:rsidP="00B80705">
      <w:pPr>
        <w:rPr>
          <w:color w:val="000000"/>
          <w:szCs w:val="24"/>
        </w:rPr>
      </w:pPr>
      <w:r>
        <w:rPr>
          <w:color w:val="000000"/>
          <w:szCs w:val="24"/>
        </w:rPr>
        <w:t xml:space="preserve">With the release of </w:t>
      </w:r>
      <w:r>
        <w:t>NSHMP</w:t>
      </w:r>
      <w:r>
        <w:rPr>
          <w:color w:val="000000"/>
          <w:szCs w:val="24"/>
        </w:rPr>
        <w:t xml:space="preserve">-haz, USGS is releasing the USGS 2014 Deaggregation Model for the first time.  This model contains all the most recent data, and provides an update from the previous 2008 Deaggregations that we previously available online.  </w:t>
      </w:r>
      <w:r w:rsidR="009B073E">
        <w:rPr>
          <w:color w:val="000000"/>
          <w:szCs w:val="24"/>
        </w:rPr>
        <w:t xml:space="preserve">This model is now available by selecting “2014” from the USGS </w:t>
      </w:r>
      <w:r w:rsidR="00620DEA">
        <w:rPr>
          <w:color w:val="000000"/>
          <w:szCs w:val="24"/>
        </w:rPr>
        <w:t xml:space="preserve">Year dropdown box as seen </w:t>
      </w:r>
      <w:r w:rsidR="009B073E">
        <w:rPr>
          <w:color w:val="000000"/>
          <w:szCs w:val="24"/>
        </w:rPr>
        <w:t xml:space="preserve">in </w:t>
      </w:r>
      <w:r w:rsidR="00620DEA">
        <w:rPr>
          <w:color w:val="000000"/>
          <w:szCs w:val="24"/>
        </w:rPr>
        <w:fldChar w:fldCharType="begin"/>
      </w:r>
      <w:r w:rsidR="00620DEA">
        <w:rPr>
          <w:color w:val="000000"/>
          <w:szCs w:val="24"/>
        </w:rPr>
        <w:instrText xml:space="preserve"> REF _Ref472959409 \h </w:instrText>
      </w:r>
      <w:r w:rsidR="00620DEA">
        <w:rPr>
          <w:color w:val="000000"/>
          <w:szCs w:val="24"/>
        </w:rPr>
      </w:r>
      <w:r w:rsidR="00620DEA">
        <w:rPr>
          <w:color w:val="000000"/>
          <w:szCs w:val="24"/>
        </w:rPr>
        <w:fldChar w:fldCharType="separate"/>
      </w:r>
      <w:r w:rsidR="00620DEA">
        <w:t xml:space="preserve">Figure </w:t>
      </w:r>
      <w:r w:rsidR="00620DEA">
        <w:rPr>
          <w:noProof/>
        </w:rPr>
        <w:t>2</w:t>
      </w:r>
      <w:r w:rsidR="00620DEA">
        <w:t>.</w:t>
      </w:r>
      <w:r w:rsidR="00620DEA">
        <w:rPr>
          <w:noProof/>
        </w:rPr>
        <w:t>13</w:t>
      </w:r>
      <w:r w:rsidR="00620DEA">
        <w:rPr>
          <w:color w:val="000000"/>
          <w:szCs w:val="24"/>
        </w:rPr>
        <w:fldChar w:fldCharType="end"/>
      </w:r>
      <w:r w:rsidR="009B073E">
        <w:rPr>
          <w:color w:val="000000"/>
          <w:szCs w:val="24"/>
        </w:rPr>
        <w:t>.</w:t>
      </w:r>
    </w:p>
    <w:p w14:paraId="49C5740B" w14:textId="47AC1A2C" w:rsidR="00B410D9" w:rsidRPr="00B410D9" w:rsidRDefault="00042E8E" w:rsidP="00B410D9">
      <w:pPr>
        <w:pStyle w:val="Heading2"/>
      </w:pPr>
      <w:r>
        <w:t xml:space="preserve"> </w:t>
      </w:r>
      <w:bookmarkStart w:id="75" w:name="_Toc473036502"/>
      <w:r w:rsidR="007F3EE6" w:rsidRPr="004853B1">
        <w:t>Future</w:t>
      </w:r>
      <w:r w:rsidR="00262F43" w:rsidRPr="004853B1">
        <w:t xml:space="preserve"> work on </w:t>
      </w:r>
      <w:r w:rsidR="00396994" w:rsidRPr="004853B1">
        <w:rPr>
          <w:i/>
        </w:rPr>
        <w:t>CPTLiquefY</w:t>
      </w:r>
      <w:r w:rsidR="00262F43" w:rsidRPr="004853B1">
        <w:t xml:space="preserve"> </w:t>
      </w:r>
      <w:bookmarkEnd w:id="75"/>
    </w:p>
    <w:p w14:paraId="7DA75B74" w14:textId="45ED1D4E" w:rsidR="00842B20" w:rsidRDefault="00842B20" w:rsidP="00842B20">
      <w:bookmarkStart w:id="76" w:name="_Toc267522198"/>
      <w:bookmarkStart w:id="77" w:name="_Toc267522199"/>
      <w:bookmarkStart w:id="78" w:name="_Toc267522200"/>
      <w:bookmarkStart w:id="79" w:name="_Toc267522201"/>
      <w:bookmarkStart w:id="80" w:name="_Toc267522218"/>
      <w:bookmarkStart w:id="81" w:name="_Toc267522220"/>
      <w:bookmarkStart w:id="82" w:name="_Toc259781294"/>
      <w:bookmarkStart w:id="83" w:name="_Toc263867783"/>
      <w:bookmarkStart w:id="84" w:name="_Toc259781295"/>
      <w:bookmarkStart w:id="85" w:name="_Toc263867784"/>
      <w:bookmarkEnd w:id="31"/>
      <w:bookmarkEnd w:id="32"/>
      <w:bookmarkEnd w:id="33"/>
      <w:bookmarkEnd w:id="34"/>
      <w:bookmarkEnd w:id="76"/>
      <w:bookmarkEnd w:id="77"/>
      <w:bookmarkEnd w:id="78"/>
      <w:bookmarkEnd w:id="79"/>
      <w:bookmarkEnd w:id="80"/>
      <w:bookmarkEnd w:id="81"/>
      <w:r>
        <w:t>Current effort is being made to complete and verify the results from Settlement and Lateral Spread tabs.  Settlement tab is complete and is in its final stages of verifying the analysis is running correctly. Lateral Spread tab will be complete within the week and</w:t>
      </w:r>
      <w:r w:rsidR="00B80705">
        <w:t>,</w:t>
      </w:r>
      <w:r>
        <w:t xml:space="preserve"> following </w:t>
      </w:r>
      <w:r w:rsidR="00B80705">
        <w:t xml:space="preserve">which, the </w:t>
      </w:r>
      <w:r>
        <w:t>results will be verified.</w:t>
      </w:r>
    </w:p>
    <w:p w14:paraId="3942ED66" w14:textId="6FC23F7E" w:rsidR="00AB57E6" w:rsidRPr="004853B1" w:rsidRDefault="00842B20" w:rsidP="00B410D9">
      <w:r>
        <w:t xml:space="preserve">Once </w:t>
      </w:r>
      <w:r>
        <w:rPr>
          <w:i/>
        </w:rPr>
        <w:t>CPTLiquefY</w:t>
      </w:r>
      <w:r>
        <w:t xml:space="preserve"> is complete, a multi-site analysis will be run to compare performance-based results to results from more common analyses such as the deterministic, pseudo-probabilistic, and semi-probabilistic approaches.  This analysis will cover 10 </w:t>
      </w:r>
      <w:r w:rsidR="00AD2C6F">
        <w:t>sites</w:t>
      </w:r>
      <w:r>
        <w:t xml:space="preserve"> and will cover a </w:t>
      </w:r>
      <w:r w:rsidR="00B410D9">
        <w:t>range soil profile environments.</w:t>
      </w:r>
    </w:p>
    <w:p w14:paraId="3397ACD0" w14:textId="45F2023F" w:rsidR="005C196B" w:rsidRPr="004853B1" w:rsidRDefault="00976921" w:rsidP="00EB1CB4">
      <w:pPr>
        <w:pStyle w:val="Heading1"/>
        <w:spacing w:after="240"/>
      </w:pPr>
      <w:r w:rsidRPr="004853B1">
        <w:lastRenderedPageBreak/>
        <w:t xml:space="preserve">  </w:t>
      </w:r>
      <w:bookmarkStart w:id="86" w:name="_Toc273506440"/>
      <w:bookmarkStart w:id="87" w:name="_Toc473036503"/>
      <w:r w:rsidR="005C196B" w:rsidRPr="004853B1">
        <w:t>C</w:t>
      </w:r>
      <w:bookmarkEnd w:id="82"/>
      <w:bookmarkEnd w:id="83"/>
      <w:r w:rsidR="00620AAD" w:rsidRPr="004853B1">
        <w:t>ONCLUSION</w:t>
      </w:r>
      <w:bookmarkEnd w:id="86"/>
      <w:r w:rsidR="00462624" w:rsidRPr="004853B1">
        <w:t>S</w:t>
      </w:r>
      <w:bookmarkEnd w:id="87"/>
    </w:p>
    <w:p w14:paraId="5CCD6FA4" w14:textId="77777777" w:rsidR="00235E75" w:rsidRPr="004853B1" w:rsidRDefault="00C25F76" w:rsidP="004D65BF">
      <w:pPr>
        <w:pStyle w:val="Heading2"/>
        <w:rPr>
          <w:rFonts w:cs="Times New Roman"/>
        </w:rPr>
      </w:pPr>
      <w:r w:rsidRPr="004853B1">
        <w:rPr>
          <w:rFonts w:cs="Times New Roman"/>
        </w:rPr>
        <w:t xml:space="preserve">  </w:t>
      </w:r>
      <w:bookmarkStart w:id="88" w:name="_Toc273506441"/>
      <w:bookmarkStart w:id="89" w:name="_Toc473036504"/>
      <w:r w:rsidR="00235E75" w:rsidRPr="004853B1">
        <w:rPr>
          <w:rFonts w:cs="Times New Roman"/>
        </w:rPr>
        <w:t>Summary</w:t>
      </w:r>
      <w:bookmarkEnd w:id="84"/>
      <w:bookmarkEnd w:id="85"/>
      <w:bookmarkEnd w:id="88"/>
      <w:bookmarkEnd w:id="89"/>
    </w:p>
    <w:p w14:paraId="121BB412" w14:textId="05212310" w:rsidR="00842B20" w:rsidRDefault="00842B20" w:rsidP="00842B20">
      <w:bookmarkStart w:id="90" w:name="_Toc259781296"/>
      <w:bookmarkStart w:id="91" w:name="_Toc263867785"/>
      <w:r>
        <w:t>The purp</w:t>
      </w:r>
      <w:r w:rsidR="002637ED">
        <w:t>ose of this phase of research</w:t>
      </w:r>
      <w:r>
        <w:t xml:space="preserve"> is to develop a full</w:t>
      </w:r>
      <w:r w:rsidR="002637ED">
        <w:t xml:space="preserve"> performance-based liquefaction hazard analysis tool that performs its computations using</w:t>
      </w:r>
      <w:r>
        <w:t xml:space="preserve"> CPT data. To accomplish this goal, </w:t>
      </w:r>
      <w:r w:rsidR="002637ED">
        <w:t xml:space="preserve">the performance-based </w:t>
      </w:r>
      <w:r>
        <w:t xml:space="preserve">framework from a similar project based on the SPT was followed, but modified to incorporate the CPT. The objective of this report was to discuss progress that has been made in the research of liquefaction procedures with the CPT being used, and the development of the full performance-based tool, </w:t>
      </w:r>
      <w:r>
        <w:rPr>
          <w:i/>
        </w:rPr>
        <w:t>CPTLiquefY</w:t>
      </w:r>
      <w:r>
        <w:t>.</w:t>
      </w:r>
    </w:p>
    <w:p w14:paraId="2187FA8F" w14:textId="780ED6A6" w:rsidR="00235E75" w:rsidRPr="007A4D51" w:rsidRDefault="00C25F76" w:rsidP="004D65BF">
      <w:pPr>
        <w:pStyle w:val="Heading2"/>
      </w:pPr>
      <w:r w:rsidRPr="007A4D51">
        <w:t xml:space="preserve">  </w:t>
      </w:r>
      <w:bookmarkStart w:id="92" w:name="_Toc473036505"/>
      <w:bookmarkEnd w:id="90"/>
      <w:bookmarkEnd w:id="91"/>
      <w:r w:rsidR="00C61B8F">
        <w:t>Progress and Challenges</w:t>
      </w:r>
      <w:bookmarkEnd w:id="92"/>
    </w:p>
    <w:p w14:paraId="0182A882" w14:textId="01DB894F" w:rsidR="00842B20" w:rsidRDefault="00842B20" w:rsidP="00842B20">
      <w:r>
        <w:t xml:space="preserve">Procedures from </w:t>
      </w:r>
      <w:hyperlink w:anchor="_1mrcu09">
        <w:r w:rsidRPr="005D540F">
          <w:t>Kramer and Mayfield (2007</w:t>
        </w:r>
      </w:hyperlink>
      <w:r w:rsidRPr="005D540F">
        <w:t xml:space="preserve">), </w:t>
      </w:r>
      <w:hyperlink w:anchor="_2zbgiuw">
        <w:r w:rsidRPr="005D540F">
          <w:t>Robertson and Wride (1998</w:t>
        </w:r>
      </w:hyperlink>
      <w:r w:rsidR="00620DEA">
        <w:t>)</w:t>
      </w:r>
      <w:r w:rsidRPr="005D540F">
        <w:t xml:space="preserve">, </w:t>
      </w:r>
      <w:hyperlink w:anchor="_3l18frh">
        <w:r w:rsidRPr="005D540F">
          <w:t>Robertson (2009</w:t>
        </w:r>
      </w:hyperlink>
      <w:r w:rsidRPr="005D540F">
        <w:t>),</w:t>
      </w:r>
      <w:r>
        <w:t xml:space="preserve"> as well as others were followed to begin the performance-based calculations using the CPT. </w:t>
      </w:r>
      <w:r>
        <w:rPr>
          <w:i/>
        </w:rPr>
        <w:t>CPTLiquefY</w:t>
      </w:r>
      <w:r>
        <w:t xml:space="preserve"> currently has the ability to run pseudo-probabilistic, deterministic, performance-based liquefaction triggering, </w:t>
      </w:r>
      <w:r w:rsidR="002637ED">
        <w:t xml:space="preserve">and </w:t>
      </w:r>
      <w:r>
        <w:t>performance-based liquefaction-induced settlement</w:t>
      </w:r>
      <w:r w:rsidR="002637ED">
        <w:t xml:space="preserve"> analyses. The program</w:t>
      </w:r>
      <w:r>
        <w:t xml:space="preserve"> will soon have </w:t>
      </w:r>
      <w:r w:rsidR="002637ED">
        <w:t xml:space="preserve">the capability of running a </w:t>
      </w:r>
      <w:r>
        <w:t xml:space="preserve">performance-based lateral spread </w:t>
      </w:r>
      <w:r w:rsidR="002637ED">
        <w:t>displacement analysi</w:t>
      </w:r>
      <w:r>
        <w:t>s. The tool is in its final stages of validations and debugging and will soon be ready for analyses.</w:t>
      </w:r>
    </w:p>
    <w:p w14:paraId="0C8744A4" w14:textId="58BBAE60" w:rsidR="00842B20" w:rsidRDefault="00842B20" w:rsidP="00842B20">
      <w:r>
        <w:t xml:space="preserve">Integration of the new USGS </w:t>
      </w:r>
      <w:r w:rsidR="002637ED">
        <w:t xml:space="preserve">NSHMP-haz </w:t>
      </w:r>
      <w:r>
        <w:t xml:space="preserve">deaggregation tool is complete. There are a few errors within the tool itself that are being addressed </w:t>
      </w:r>
      <w:r w:rsidR="002637ED">
        <w:t>by</w:t>
      </w:r>
      <w:r>
        <w:t xml:space="preserve"> programmers from USGS.</w:t>
      </w:r>
      <w:r w:rsidR="002637ED">
        <w:t xml:space="preserve"> However,</w:t>
      </w:r>
      <w:r>
        <w:t xml:space="preserve"> all issues should be addressed and fixed within the next few weeks. </w:t>
      </w:r>
    </w:p>
    <w:p w14:paraId="249776F4" w14:textId="78626B40" w:rsidR="00235E75" w:rsidRPr="007A4D51" w:rsidRDefault="00C25F76" w:rsidP="004D65BF">
      <w:pPr>
        <w:pStyle w:val="Heading2"/>
      </w:pPr>
      <w:r w:rsidRPr="007A4D51">
        <w:t xml:space="preserve">  </w:t>
      </w:r>
      <w:bookmarkStart w:id="93" w:name="_Toc473036506"/>
      <w:r w:rsidR="00C61B8F">
        <w:t>Future Work</w:t>
      </w:r>
      <w:bookmarkEnd w:id="93"/>
    </w:p>
    <w:p w14:paraId="3934AAD5" w14:textId="5F70133C" w:rsidR="006C784D" w:rsidRPr="0051677C" w:rsidRDefault="00842B20" w:rsidP="00620DEA">
      <w:pPr>
        <w:sectPr w:rsidR="006C784D" w:rsidRPr="0051677C" w:rsidSect="004F2AF5">
          <w:headerReference w:type="first" r:id="rId37"/>
          <w:footerReference w:type="first" r:id="rId38"/>
          <w:pgSz w:w="12240" w:h="15840" w:code="1"/>
          <w:pgMar w:top="1440" w:right="1440" w:bottom="1440" w:left="1440" w:header="720" w:footer="720" w:gutter="0"/>
          <w:cols w:space="720"/>
          <w:docGrid w:linePitch="360"/>
        </w:sectPr>
      </w:pPr>
      <w:r>
        <w:t xml:space="preserve">Once </w:t>
      </w:r>
      <w:r>
        <w:rPr>
          <w:i/>
        </w:rPr>
        <w:t>CPTLiquefY</w:t>
      </w:r>
      <w:r>
        <w:t xml:space="preserve"> is complete analyses will be performed comparing the full probabilistic performance-based approach to the pseudo-probabilistic, deterministic, and semi-probabilistic approache</w:t>
      </w:r>
      <w:r w:rsidR="00D61289">
        <w:t>s. Analyses will be performed at</w:t>
      </w:r>
      <w:r>
        <w:t xml:space="preserve"> 10 different </w:t>
      </w:r>
      <w:r w:rsidR="00D61289">
        <w:t>locations</w:t>
      </w:r>
      <w:r>
        <w:t xml:space="preserve"> and </w:t>
      </w:r>
      <w:r w:rsidR="00D61289">
        <w:t>with a variety of CPT data representing different soil profiles.</w:t>
      </w:r>
    </w:p>
    <w:p w14:paraId="11D419D0" w14:textId="7313EFCA" w:rsidR="00670AB3" w:rsidRPr="007F3EE6" w:rsidRDefault="00235E75" w:rsidP="00620DEA">
      <w:pPr>
        <w:pStyle w:val="Heading1"/>
        <w:numPr>
          <w:ilvl w:val="0"/>
          <w:numId w:val="0"/>
        </w:numPr>
        <w:spacing w:after="240"/>
      </w:pPr>
      <w:bookmarkStart w:id="94" w:name="_Toc259781300"/>
      <w:bookmarkStart w:id="95" w:name="_Toc263867789"/>
      <w:bookmarkStart w:id="96" w:name="_Toc273506446"/>
      <w:bookmarkStart w:id="97" w:name="_Toc473036507"/>
      <w:r w:rsidRPr="007F3EE6">
        <w:lastRenderedPageBreak/>
        <w:t>R</w:t>
      </w:r>
      <w:bookmarkEnd w:id="94"/>
      <w:bookmarkEnd w:id="95"/>
      <w:r w:rsidR="00976921" w:rsidRPr="007F3EE6">
        <w:t>EFERENCES</w:t>
      </w:r>
      <w:bookmarkEnd w:id="96"/>
      <w:bookmarkEnd w:id="97"/>
    </w:p>
    <w:p w14:paraId="5A87BB50" w14:textId="77777777" w:rsidR="00842B20" w:rsidRPr="005D540F" w:rsidRDefault="00842B20" w:rsidP="00842B20">
      <w:pPr>
        <w:ind w:left="720" w:hanging="720"/>
        <w:rPr>
          <w:color w:val="000000" w:themeColor="text1"/>
        </w:rPr>
      </w:pPr>
      <w:bookmarkStart w:id="98" w:name="_2u6wntf" w:colFirst="0" w:colLast="0"/>
      <w:bookmarkEnd w:id="98"/>
      <w:r w:rsidRPr="005D540F">
        <w:rPr>
          <w:color w:val="000000" w:themeColor="text1"/>
          <w:szCs w:val="24"/>
        </w:rPr>
        <w:t xml:space="preserve">Boulanger, R., and Idriss, I. (2014). "CPT and SPT based liquefaction triggering procedures." </w:t>
      </w:r>
      <w:r w:rsidRPr="005D540F">
        <w:rPr>
          <w:i/>
          <w:color w:val="000000" w:themeColor="text1"/>
          <w:szCs w:val="24"/>
        </w:rPr>
        <w:t>Center for Geotechnical Modeling, Department of Civil and Environmental Engineering, University of California, Davis, CA. Report No. UCD/CGM-14/01</w:t>
      </w:r>
      <w:r w:rsidRPr="005D540F">
        <w:rPr>
          <w:color w:val="000000" w:themeColor="text1"/>
          <w:szCs w:val="24"/>
        </w:rPr>
        <w:t>.</w:t>
      </w:r>
    </w:p>
    <w:p w14:paraId="5A5D34D6" w14:textId="77777777" w:rsidR="00842B20" w:rsidRPr="005D540F" w:rsidRDefault="00842B20" w:rsidP="00842B20">
      <w:pPr>
        <w:ind w:left="720" w:hanging="720"/>
        <w:rPr>
          <w:color w:val="000000" w:themeColor="text1"/>
        </w:rPr>
      </w:pPr>
      <w:bookmarkStart w:id="99" w:name="_19c6y18" w:colFirst="0" w:colLast="0"/>
      <w:bookmarkStart w:id="100" w:name="_28h4qwu" w:colFirst="0" w:colLast="0"/>
      <w:bookmarkEnd w:id="99"/>
      <w:bookmarkEnd w:id="100"/>
      <w:r w:rsidRPr="005D540F">
        <w:rPr>
          <w:color w:val="000000" w:themeColor="text1"/>
        </w:rPr>
        <w:t xml:space="preserve">Huang, Y.M. (2008) “Performance-based design and evaluation for liquefaction-related seismic hazards.” </w:t>
      </w:r>
      <w:r w:rsidRPr="005D540F">
        <w:rPr>
          <w:i/>
          <w:color w:val="000000" w:themeColor="text1"/>
        </w:rPr>
        <w:t>Ph.D. Dissertation,</w:t>
      </w:r>
      <w:r w:rsidRPr="005D540F">
        <w:rPr>
          <w:color w:val="000000" w:themeColor="text1"/>
        </w:rPr>
        <w:t xml:space="preserve"> University of Washington, Seattle, WA.</w:t>
      </w:r>
    </w:p>
    <w:p w14:paraId="44C0D5E0" w14:textId="77777777" w:rsidR="00842B20" w:rsidRPr="005D540F" w:rsidRDefault="00842B20" w:rsidP="00842B20">
      <w:pPr>
        <w:ind w:left="720" w:hanging="720"/>
        <w:rPr>
          <w:color w:val="000000" w:themeColor="text1"/>
        </w:rPr>
      </w:pPr>
      <w:bookmarkStart w:id="101" w:name="_h4csdsbrxmnx" w:colFirst="0" w:colLast="0"/>
      <w:bookmarkEnd w:id="101"/>
      <w:r w:rsidRPr="005D540F">
        <w:rPr>
          <w:color w:val="000000" w:themeColor="text1"/>
          <w:szCs w:val="24"/>
        </w:rPr>
        <w:t xml:space="preserve">Ishihara, K., and Yoshimine, M. (1992). "Evaluation of settlements in sand deposits following liquefaction during earthquakes." </w:t>
      </w:r>
      <w:r w:rsidRPr="005D540F">
        <w:rPr>
          <w:i/>
          <w:color w:val="000000" w:themeColor="text1"/>
          <w:szCs w:val="24"/>
        </w:rPr>
        <w:t>SOILS AND FOUNDATIONS</w:t>
      </w:r>
      <w:r w:rsidRPr="005D540F">
        <w:rPr>
          <w:color w:val="000000" w:themeColor="text1"/>
          <w:szCs w:val="24"/>
        </w:rPr>
        <w:t>, 32(1), 173-188.</w:t>
      </w:r>
    </w:p>
    <w:p w14:paraId="34D9CDF0" w14:textId="77777777" w:rsidR="00842B20" w:rsidRPr="005D540F" w:rsidRDefault="00842B20" w:rsidP="00842B20">
      <w:pPr>
        <w:ind w:left="720" w:hanging="720"/>
        <w:rPr>
          <w:color w:val="000000" w:themeColor="text1"/>
        </w:rPr>
      </w:pPr>
      <w:bookmarkStart w:id="102" w:name="_nmf14n" w:colFirst="0" w:colLast="0"/>
      <w:bookmarkEnd w:id="102"/>
      <w:r w:rsidRPr="005D540F">
        <w:rPr>
          <w:color w:val="000000" w:themeColor="text1"/>
        </w:rPr>
        <w:t>Jefferies, M.G., and Davies, M.P., 1993. Use of CPTU to estimate equivalent SPT N60. Geotechnical Testing Journal, ASTM, 16(4): 458-468.</w:t>
      </w:r>
    </w:p>
    <w:p w14:paraId="78F7028A" w14:textId="77777777" w:rsidR="00842B20" w:rsidRPr="005D540F" w:rsidRDefault="00842B20" w:rsidP="00842B20">
      <w:pPr>
        <w:ind w:left="720" w:hanging="720"/>
        <w:rPr>
          <w:color w:val="000000" w:themeColor="text1"/>
        </w:rPr>
      </w:pPr>
      <w:bookmarkStart w:id="103" w:name="_37m2jsg" w:colFirst="0" w:colLast="0"/>
      <w:bookmarkStart w:id="104" w:name="_k59fuy4uwo31" w:colFirst="0" w:colLast="0"/>
      <w:bookmarkEnd w:id="103"/>
      <w:bookmarkEnd w:id="104"/>
      <w:r w:rsidRPr="005D540F">
        <w:rPr>
          <w:color w:val="000000" w:themeColor="text1"/>
          <w:szCs w:val="24"/>
        </w:rPr>
        <w:t xml:space="preserve">Kramer, S. L., and Mayfield, R. T. (2007). "Return period of soil liquefaction." </w:t>
      </w:r>
      <w:r w:rsidRPr="005D540F">
        <w:rPr>
          <w:i/>
          <w:color w:val="000000" w:themeColor="text1"/>
          <w:szCs w:val="24"/>
        </w:rPr>
        <w:t>Journal of Geotechnical and Geoenvironmental Engineering</w:t>
      </w:r>
      <w:r w:rsidRPr="005D540F">
        <w:rPr>
          <w:color w:val="000000" w:themeColor="text1"/>
          <w:szCs w:val="24"/>
        </w:rPr>
        <w:t>, 133(7), 802-813.</w:t>
      </w:r>
    </w:p>
    <w:p w14:paraId="37296557" w14:textId="77777777" w:rsidR="00842B20" w:rsidRPr="005D540F" w:rsidRDefault="00842B20" w:rsidP="00842B20">
      <w:pPr>
        <w:ind w:left="720" w:hanging="720"/>
        <w:rPr>
          <w:color w:val="000000" w:themeColor="text1"/>
        </w:rPr>
      </w:pPr>
      <w:bookmarkStart w:id="105" w:name="_tlrpk5aqrtxs" w:colFirst="0" w:colLast="0"/>
      <w:bookmarkEnd w:id="105"/>
      <w:r w:rsidRPr="005D540F">
        <w:rPr>
          <w:color w:val="000000" w:themeColor="text1"/>
        </w:rPr>
        <w:t>Kramer, S.L., (2008). “Evaluation of liquefaction hazards in Washington State.” WSDOT Report WA-RD 668.1, 152 pp.</w:t>
      </w:r>
    </w:p>
    <w:p w14:paraId="4A218229" w14:textId="77777777" w:rsidR="00842B20" w:rsidRPr="005D540F" w:rsidRDefault="00842B20" w:rsidP="00842B20">
      <w:pPr>
        <w:ind w:left="720" w:hanging="720"/>
        <w:rPr>
          <w:color w:val="000000" w:themeColor="text1"/>
        </w:rPr>
      </w:pPr>
      <w:bookmarkStart w:id="106" w:name="_1mrcu09" w:colFirst="0" w:colLast="0"/>
      <w:bookmarkEnd w:id="106"/>
      <w:r w:rsidRPr="005D540F">
        <w:rPr>
          <w:color w:val="000000" w:themeColor="text1"/>
        </w:rPr>
        <w:t xml:space="preserve">Kramer, S.L., Huang, Y.M., and Greenfield, M.W. (2014). Performance-based assessment of liquefaction hazards. </w:t>
      </w:r>
      <w:r w:rsidRPr="005D540F">
        <w:rPr>
          <w:i/>
          <w:color w:val="000000" w:themeColor="text1"/>
        </w:rPr>
        <w:t>Geotechnics for Catastrophic Flooding Events,</w:t>
      </w:r>
      <w:r w:rsidRPr="005D540F">
        <w:rPr>
          <w:color w:val="000000" w:themeColor="text1"/>
        </w:rPr>
        <w:t xml:space="preserve"> Iai ed., ISBN 978-1-138-02709-1, Taylor and Francis Group, London, 17-26.</w:t>
      </w:r>
    </w:p>
    <w:p w14:paraId="34BB5710" w14:textId="77777777" w:rsidR="00842B20" w:rsidRPr="005D540F" w:rsidRDefault="00842B20" w:rsidP="00842B20">
      <w:pPr>
        <w:ind w:left="720" w:hanging="720"/>
        <w:rPr>
          <w:color w:val="000000" w:themeColor="text1"/>
        </w:rPr>
      </w:pPr>
      <w:bookmarkStart w:id="107" w:name="_46r0co2" w:colFirst="0" w:colLast="0"/>
      <w:bookmarkStart w:id="108" w:name="_2lwamvv" w:colFirst="0" w:colLast="0"/>
      <w:bookmarkEnd w:id="107"/>
      <w:bookmarkEnd w:id="108"/>
      <w:r w:rsidRPr="005D540F">
        <w:rPr>
          <w:color w:val="000000" w:themeColor="text1"/>
          <w:szCs w:val="24"/>
        </w:rPr>
        <w:t xml:space="preserve">Ku, C.-S., Juang, C. H., Chang, C.-W., and Ching, J. (2011). "Probabilistic version of the Robertson and Wride method for liquefaction evaluation: development and application." </w:t>
      </w:r>
      <w:r w:rsidRPr="005D540F">
        <w:rPr>
          <w:i/>
          <w:color w:val="000000" w:themeColor="text1"/>
          <w:szCs w:val="24"/>
        </w:rPr>
        <w:t>Canadian Geotechnical Journal</w:t>
      </w:r>
      <w:r w:rsidRPr="005D540F">
        <w:rPr>
          <w:color w:val="000000" w:themeColor="text1"/>
          <w:szCs w:val="24"/>
        </w:rPr>
        <w:t>, 49(1), 27-44.</w:t>
      </w:r>
    </w:p>
    <w:p w14:paraId="00ECCDAC" w14:textId="733F0912" w:rsidR="00842B20" w:rsidRPr="005D540F" w:rsidRDefault="00842B20" w:rsidP="00842B20">
      <w:pPr>
        <w:ind w:left="720" w:hanging="720"/>
        <w:rPr>
          <w:color w:val="000000" w:themeColor="text1"/>
        </w:rPr>
      </w:pPr>
      <w:bookmarkStart w:id="109" w:name="_111kx3o" w:colFirst="0" w:colLast="0"/>
      <w:bookmarkEnd w:id="109"/>
      <w:r w:rsidRPr="005D540F">
        <w:rPr>
          <w:color w:val="000000" w:themeColor="text1"/>
          <w:szCs w:val="24"/>
        </w:rPr>
        <w:t>Robertson, P.</w:t>
      </w:r>
      <w:r w:rsidR="005D540F" w:rsidRPr="005D540F">
        <w:rPr>
          <w:color w:val="000000" w:themeColor="text1"/>
          <w:szCs w:val="24"/>
        </w:rPr>
        <w:t xml:space="preserve"> (2009)</w:t>
      </w:r>
      <w:r w:rsidRPr="005D540F">
        <w:rPr>
          <w:color w:val="000000" w:themeColor="text1"/>
          <w:szCs w:val="24"/>
        </w:rPr>
        <w:t xml:space="preserve"> "Performance based earthquake design using the CPT." </w:t>
      </w:r>
      <w:r w:rsidRPr="005D540F">
        <w:rPr>
          <w:i/>
          <w:color w:val="000000" w:themeColor="text1"/>
          <w:szCs w:val="24"/>
        </w:rPr>
        <w:t>Proc., Proceedings of IS-Tokyo 2009: international conference on performance-based design in earthquake geotechnical engineering—from case history to practice, Tokyo, Japan</w:t>
      </w:r>
      <w:r w:rsidRPr="005D540F">
        <w:rPr>
          <w:color w:val="000000" w:themeColor="text1"/>
          <w:szCs w:val="24"/>
        </w:rPr>
        <w:t>, 15-18.</w:t>
      </w:r>
    </w:p>
    <w:p w14:paraId="3DAF9C6D" w14:textId="723F83EF" w:rsidR="00842B20" w:rsidRPr="005D540F" w:rsidRDefault="00842B20" w:rsidP="005D540F">
      <w:pPr>
        <w:ind w:left="720" w:hanging="720"/>
        <w:rPr>
          <w:color w:val="000000" w:themeColor="text1"/>
        </w:rPr>
      </w:pPr>
      <w:bookmarkStart w:id="110" w:name="_206ipza" w:colFirst="0" w:colLast="0"/>
      <w:bookmarkStart w:id="111" w:name="_2zbgiuw" w:colFirst="0" w:colLast="0"/>
      <w:bookmarkEnd w:id="110"/>
      <w:bookmarkEnd w:id="111"/>
      <w:r w:rsidRPr="005D540F">
        <w:rPr>
          <w:color w:val="000000" w:themeColor="text1"/>
          <w:szCs w:val="24"/>
        </w:rPr>
        <w:t xml:space="preserve">Robertson, P., and Wride, C. (1998). "Evaluating cyclic liquefaction potential using the cone penetration test." </w:t>
      </w:r>
      <w:r w:rsidRPr="005D540F">
        <w:rPr>
          <w:i/>
          <w:color w:val="000000" w:themeColor="text1"/>
          <w:szCs w:val="24"/>
        </w:rPr>
        <w:t>Canadian Geotechnical Journal</w:t>
      </w:r>
      <w:r w:rsidRPr="005D540F">
        <w:rPr>
          <w:color w:val="000000" w:themeColor="text1"/>
          <w:szCs w:val="24"/>
        </w:rPr>
        <w:t>, 35(3), 442-459.</w:t>
      </w:r>
    </w:p>
    <w:p w14:paraId="7C126E44" w14:textId="544BF438" w:rsidR="00842B20" w:rsidRPr="005D540F" w:rsidRDefault="00842B20" w:rsidP="005D540F">
      <w:pPr>
        <w:ind w:left="720" w:hanging="720"/>
        <w:rPr>
          <w:color w:val="000000" w:themeColor="text1"/>
        </w:rPr>
      </w:pPr>
      <w:bookmarkStart w:id="112" w:name="_3e7jvcmt3b95" w:colFirst="0" w:colLast="0"/>
      <w:bookmarkEnd w:id="112"/>
      <w:r w:rsidRPr="005D540F">
        <w:rPr>
          <w:color w:val="000000" w:themeColor="text1"/>
        </w:rPr>
        <w:t>Shamoto, Y., Zhang, J.-M., and Tokimatsu, K. (1998). “Methods for evaluating residual post-liquefaction ground settlement and horizontal displacement,” Soils and Foundations, Special Issue No. 2, 69-83.</w:t>
      </w:r>
    </w:p>
    <w:p w14:paraId="6A1D33B7" w14:textId="77777777" w:rsidR="00842B20" w:rsidRPr="005D540F" w:rsidRDefault="00842B20" w:rsidP="00842B20">
      <w:pPr>
        <w:ind w:left="720" w:hanging="720"/>
        <w:rPr>
          <w:color w:val="000000" w:themeColor="text1"/>
        </w:rPr>
      </w:pPr>
      <w:bookmarkStart w:id="113" w:name="_y68tr9d0wy7c" w:colFirst="0" w:colLast="0"/>
      <w:bookmarkEnd w:id="113"/>
      <w:r w:rsidRPr="005D540F">
        <w:rPr>
          <w:color w:val="000000" w:themeColor="text1"/>
        </w:rPr>
        <w:t>Tokimatsu, K. and Seed, H.B. (1987). "Evaluation of settlements in sand due to earthquake shaking," Journal of Geotechnical Engineering, ASCE, Vol. 113, No. 8, pp. 861-878.</w:t>
      </w:r>
    </w:p>
    <w:p w14:paraId="7D55EDFC" w14:textId="77777777" w:rsidR="00842B20" w:rsidRPr="005D540F" w:rsidRDefault="00842B20" w:rsidP="00842B20">
      <w:pPr>
        <w:ind w:left="720" w:hanging="720"/>
        <w:rPr>
          <w:color w:val="000000" w:themeColor="text1"/>
        </w:rPr>
      </w:pPr>
      <w:bookmarkStart w:id="114" w:name="_k2f63r5pzvcf" w:colFirst="0" w:colLast="0"/>
      <w:bookmarkEnd w:id="114"/>
      <w:r w:rsidRPr="005D540F">
        <w:rPr>
          <w:color w:val="000000" w:themeColor="text1"/>
        </w:rPr>
        <w:lastRenderedPageBreak/>
        <w:t>Wu, J. and Seed, R.B. (2004). “Estimation of liquefaction-induced ground settlement (case studies),” Proceedings, Fifth International Conference on Case Histories in Geotechnical Engineering, New York, pp. 1-8.</w:t>
      </w:r>
    </w:p>
    <w:p w14:paraId="6497DC13" w14:textId="77777777" w:rsidR="00842B20" w:rsidRPr="00842B20" w:rsidRDefault="00842B20" w:rsidP="00842B20">
      <w:pPr>
        <w:ind w:left="720" w:hanging="720"/>
        <w:rPr>
          <w:color w:val="000000" w:themeColor="text1"/>
        </w:rPr>
      </w:pPr>
      <w:bookmarkStart w:id="115" w:name="_4bvk7pj" w:colFirst="0" w:colLast="0"/>
      <w:bookmarkEnd w:id="115"/>
      <w:r w:rsidRPr="005D540F">
        <w:rPr>
          <w:color w:val="000000" w:themeColor="text1"/>
          <w:szCs w:val="24"/>
        </w:rPr>
        <w:t xml:space="preserve">Zhang, G., Robertson, P. K., and Brachman, R. (2004). "Estimating liquefaction-induced lateral displacements using the standard penetration test or cone penetration test." </w:t>
      </w:r>
      <w:r w:rsidRPr="005D540F">
        <w:rPr>
          <w:i/>
          <w:color w:val="000000" w:themeColor="text1"/>
          <w:szCs w:val="24"/>
        </w:rPr>
        <w:t>Journal of Geotechnical and Geoenvironmental Engineering</w:t>
      </w:r>
      <w:r w:rsidRPr="005D540F">
        <w:rPr>
          <w:color w:val="000000" w:themeColor="text1"/>
          <w:szCs w:val="24"/>
        </w:rPr>
        <w:t>, 130(8), 861-871.</w:t>
      </w:r>
    </w:p>
    <w:p w14:paraId="30E2A4BD" w14:textId="77777777" w:rsidR="00842B20" w:rsidRDefault="00842B20" w:rsidP="00842B20">
      <w:pPr>
        <w:tabs>
          <w:tab w:val="left" w:pos="4040"/>
        </w:tabs>
      </w:pPr>
    </w:p>
    <w:p w14:paraId="1CDC0A9E" w14:textId="2A26CBD7" w:rsidR="00FE186A" w:rsidRPr="0093662C" w:rsidRDefault="00FE186A" w:rsidP="00842B20">
      <w:pPr>
        <w:pStyle w:val="EndNoteBibliography"/>
        <w:ind w:left="720" w:hanging="720"/>
      </w:pPr>
    </w:p>
    <w:sectPr w:rsidR="00FE186A" w:rsidRPr="0093662C" w:rsidSect="0036504D">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0921E" w14:textId="77777777" w:rsidR="00B84C3E" w:rsidRDefault="00B84C3E" w:rsidP="00354C0C">
      <w:pPr>
        <w:spacing w:line="240" w:lineRule="auto"/>
      </w:pPr>
      <w:r>
        <w:separator/>
      </w:r>
    </w:p>
  </w:endnote>
  <w:endnote w:type="continuationSeparator" w:id="0">
    <w:p w14:paraId="3580B61D" w14:textId="77777777" w:rsidR="00B84C3E" w:rsidRDefault="00B84C3E" w:rsidP="00354C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2D2DC" w14:textId="56421AF3" w:rsidR="00311076" w:rsidRDefault="00311076">
    <w:pPr>
      <w:pStyle w:val="Footer"/>
      <w:jc w:val="center"/>
    </w:pPr>
    <w:r>
      <w:fldChar w:fldCharType="begin"/>
    </w:r>
    <w:r>
      <w:instrText xml:space="preserve"> PAGE   \* MERGEFORMAT </w:instrText>
    </w:r>
    <w:r>
      <w:fldChar w:fldCharType="separate"/>
    </w:r>
    <w:r w:rsidR="00112A35">
      <w:rPr>
        <w:noProof/>
      </w:rPr>
      <w:t>3</w:t>
    </w:r>
    <w:r>
      <w:rPr>
        <w:noProof/>
      </w:rPr>
      <w:fldChar w:fldCharType="end"/>
    </w:r>
  </w:p>
  <w:p w14:paraId="5FE01504" w14:textId="77777777" w:rsidR="00311076" w:rsidRDefault="003110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574997"/>
      <w:docPartObj>
        <w:docPartGallery w:val="Page Numbers (Bottom of Page)"/>
        <w:docPartUnique/>
      </w:docPartObj>
    </w:sdtPr>
    <w:sdtEndPr>
      <w:rPr>
        <w:noProof/>
      </w:rPr>
    </w:sdtEndPr>
    <w:sdtContent>
      <w:p w14:paraId="2D04A5AD" w14:textId="4ADDDE98" w:rsidR="00311076" w:rsidRDefault="00311076">
        <w:pPr>
          <w:pStyle w:val="Footer"/>
          <w:jc w:val="center"/>
        </w:pPr>
        <w:r>
          <w:fldChar w:fldCharType="begin"/>
        </w:r>
        <w:r>
          <w:instrText xml:space="preserve"> PAGE   \* MERGEFORMAT </w:instrText>
        </w:r>
        <w:r>
          <w:fldChar w:fldCharType="separate"/>
        </w:r>
        <w:r w:rsidR="00112A35">
          <w:rPr>
            <w:noProof/>
          </w:rPr>
          <w:t>1</w:t>
        </w:r>
        <w:r>
          <w:rPr>
            <w:noProof/>
          </w:rPr>
          <w:fldChar w:fldCharType="end"/>
        </w:r>
      </w:p>
    </w:sdtContent>
  </w:sdt>
  <w:p w14:paraId="3CB5FF01" w14:textId="77777777" w:rsidR="00311076" w:rsidRDefault="003110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BDB01" w14:textId="77777777" w:rsidR="00311076" w:rsidRDefault="0031107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2FDA" w14:textId="2DFA5E96" w:rsidR="00311076" w:rsidRDefault="00311076" w:rsidP="00354C0C">
    <w:pPr>
      <w:pStyle w:val="Footer"/>
      <w:jc w:val="center"/>
    </w:pPr>
    <w:r>
      <w:fldChar w:fldCharType="begin"/>
    </w:r>
    <w:r>
      <w:instrText xml:space="preserve"> PAGE   \* MERGEFORMAT </w:instrText>
    </w:r>
    <w:r>
      <w:fldChar w:fldCharType="separate"/>
    </w:r>
    <w:r w:rsidR="00112A35">
      <w:rPr>
        <w:noProof/>
      </w:rPr>
      <w:t>26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9F922" w14:textId="77777777" w:rsidR="00B84C3E" w:rsidRDefault="00B84C3E" w:rsidP="00354C0C">
      <w:pPr>
        <w:spacing w:line="240" w:lineRule="auto"/>
      </w:pPr>
      <w:r>
        <w:separator/>
      </w:r>
    </w:p>
  </w:footnote>
  <w:footnote w:type="continuationSeparator" w:id="0">
    <w:p w14:paraId="03672389" w14:textId="77777777" w:rsidR="00B84C3E" w:rsidRDefault="00B84C3E" w:rsidP="00354C0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4A4DF" w14:textId="77777777" w:rsidR="00311076" w:rsidRDefault="00311076">
    <w:pPr>
      <w:pStyle w:val="Header"/>
    </w:pPr>
    <w:r>
      <w:rPr>
        <w:noProof/>
      </w:rPr>
      <mc:AlternateContent>
        <mc:Choice Requires="wps">
          <w:drawing>
            <wp:anchor distT="0" distB="0" distL="114300" distR="114300" simplePos="0" relativeHeight="251659776" behindDoc="0" locked="0" layoutInCell="0" allowOverlap="1" wp14:anchorId="6FF17ECB" wp14:editId="1E9A37A5">
              <wp:simplePos x="0" y="0"/>
              <wp:positionH relativeFrom="page">
                <wp:posOffset>516890</wp:posOffset>
              </wp:positionH>
              <wp:positionV relativeFrom="page">
                <wp:posOffset>3436620</wp:posOffset>
              </wp:positionV>
              <wp:extent cx="338455" cy="895350"/>
              <wp:effectExtent l="2540" t="0" r="1905" b="1905"/>
              <wp:wrapNone/>
              <wp:docPr id="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D967D" w14:textId="77777777" w:rsidR="00311076" w:rsidRPr="001B37DF" w:rsidRDefault="00311076">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7</w:t>
                          </w:r>
                          <w:r w:rsidRPr="001B37DF">
                            <w:rPr>
                              <w:noProof/>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17ECB" id="Rectangle 9" o:spid="_x0000_s1028" style="position:absolute;left:0;text-align:left;margin-left:40.7pt;margin-top:270.6pt;width:26.65pt;height:7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0YgQIAAAYFAAAOAAAAZHJzL2Uyb0RvYy54bWysVF1v2yAUfZ+0/4B4T/0Ru42tOlWbLNOk&#10;bqvW7QcQwDEaBgYkTjXtv++CkzTd9jBN8wPmwuVw7r3ncn2z7yXaceuEVg3OLlKMuKKaCbVp8JfP&#10;q8kMI+eJYkRqxRv8xB2+mb9+dT2Ymue605JxiwBEuXowDe68N3WSONrxnrgLbbiCzVbbnngw7SZh&#10;lgyA3sskT9PLZNCWGaspdw5Wl+Mmnkf8tuXUf2xbxz2SDQZuPo42juswJvNrUm8sMZ2gBxrkH1j0&#10;RCi49AS1JJ6grRW/QfWCWu106y+o7hPdtoLyGANEk6W/RPPYEcNjLJAcZ05pcv8Pln7YPVgkWIPz&#10;KUaK9FCjT5A1ojaSoyrkZzCuBrdH82BDhM7ca/rVIaUXHXjxW2v10HHCgFUW/JMXB4Lh4ChaD+81&#10;A3Sy9Tqmat/aPgBCEtA+VuTpVBG+94jC4nQ6K8oSIwpbs6qclrFiCamPh411/i3XPQqTBlugHsHJ&#10;7t75QIbUR5dIXkvBVkLKaNjNeiEt2hEQxyp+kT/EeO4mVXBWOhwbEccV4Ah3hL3ANhb7e5XlRXqX&#10;V5PV5exqUqyKclJdpbNJmlV31WVaVMVy9SMQzIq6E4xxdS8UPwovK/6usIcWGCUTpYeGBldlXsbY&#10;X7B350Gm8ftTkL3w0IdS9JDnkxOpQ13fKAZhk9oTIcd58pJ+zDLk4PiPWYkqCIUfBeT36z2gBDWs&#10;NXsCPVgN9YKWhMcDJmHEaIBGbLD7tiWWYyTfKdBUlRVF6NxoFOVVDoY931mf7xBFOw39DWDjdOHH&#10;bt8aKzYd3JTFHCl9CzpsRdTIM6uDeqHZYjCHhyF087kdvZ6fr/lPAAAA//8DAFBLAwQUAAYACAAA&#10;ACEAOqxfAuIAAAAKAQAADwAAAGRycy9kb3ducmV2LnhtbEyPXUvDQBBF3wX/wzKCb3aTGGuM2ZQi&#10;KlhE6IfFx2kyJtHd2ZDdtvHfu33Sx+Ee7j1TzEajxYEG11lWEE8iEMSVrTtuFGzWT1cZCOeRa9SW&#10;ScEPOZiV52cF5rU98pIOK9+IUMIuRwWt930upataMugmticO2acdDPpwDo2sBzyGcqNlEkVTabDj&#10;sNBiTw8tVd+rvVHQ4XZ8+1o8+uXr4ll/zLe6unt5V+ryYpzfg/A0+j8YTvpBHcrgtLN7rp3QCrI4&#10;DaSCmzROQJyA6/QWxE7BNEsSkGUh/79Q/gIAAP//AwBQSwECLQAUAAYACAAAACEAtoM4kv4AAADh&#10;AQAAEwAAAAAAAAAAAAAAAAAAAAAAW0NvbnRlbnRfVHlwZXNdLnhtbFBLAQItABQABgAIAAAAIQA4&#10;/SH/1gAAAJQBAAALAAAAAAAAAAAAAAAAAC8BAABfcmVscy8ucmVsc1BLAQItABQABgAIAAAAIQDi&#10;Oh0YgQIAAAYFAAAOAAAAAAAAAAAAAAAAAC4CAABkcnMvZTJvRG9jLnhtbFBLAQItABQABgAIAAAA&#10;IQA6rF8C4gAAAAoBAAAPAAAAAAAAAAAAAAAAANsEAABkcnMvZG93bnJldi54bWxQSwUGAAAAAAQA&#10;BADzAAAA6gUAAAAA&#10;" o:allowincell="f" stroked="f">
              <v:textbox style="layout-flow:vertical">
                <w:txbxContent>
                  <w:p w14:paraId="18CD967D" w14:textId="77777777" w:rsidR="00311076" w:rsidRPr="001B37DF" w:rsidRDefault="00311076">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7</w:t>
                    </w:r>
                    <w:r w:rsidRPr="001B37DF">
                      <w:rPr>
                        <w:noProof/>
                        <w:szCs w:val="24"/>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1432"/>
    <w:multiLevelType w:val="hybridMultilevel"/>
    <w:tmpl w:val="FD2AD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022A58"/>
    <w:multiLevelType w:val="hybridMultilevel"/>
    <w:tmpl w:val="3768E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B557D1"/>
    <w:multiLevelType w:val="hybridMultilevel"/>
    <w:tmpl w:val="71D69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1797B"/>
    <w:multiLevelType w:val="hybridMultilevel"/>
    <w:tmpl w:val="8AC64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DD7431"/>
    <w:multiLevelType w:val="hybridMultilevel"/>
    <w:tmpl w:val="87962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F5982"/>
    <w:multiLevelType w:val="hybridMultilevel"/>
    <w:tmpl w:val="AD3EB6F6"/>
    <w:lvl w:ilvl="0" w:tplc="E27EA61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242D6"/>
    <w:multiLevelType w:val="hybridMultilevel"/>
    <w:tmpl w:val="98428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263C5E"/>
    <w:multiLevelType w:val="hybridMultilevel"/>
    <w:tmpl w:val="79DC79E2"/>
    <w:lvl w:ilvl="0" w:tplc="5D0E7574">
      <w:start w:val="1"/>
      <w:numFmt w:val="upperLetter"/>
      <w:suff w:val="nothing"/>
      <w:lvlText w:val="APPENDIX %1"/>
      <w:lvlJc w:val="left"/>
      <w:pPr>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15:restartNumberingAfterBreak="0">
    <w:nsid w:val="3AB61F8F"/>
    <w:multiLevelType w:val="hybridMultilevel"/>
    <w:tmpl w:val="B5424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3D53D6"/>
    <w:multiLevelType w:val="hybridMultilevel"/>
    <w:tmpl w:val="E53A6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49770B"/>
    <w:multiLevelType w:val="multilevel"/>
    <w:tmpl w:val="6172B11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1" w15:restartNumberingAfterBreak="0">
    <w:nsid w:val="5DBB1381"/>
    <w:multiLevelType w:val="hybridMultilevel"/>
    <w:tmpl w:val="51D4C6DA"/>
    <w:lvl w:ilvl="0" w:tplc="37CC16A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062EF1"/>
    <w:multiLevelType w:val="hybridMultilevel"/>
    <w:tmpl w:val="858CEA66"/>
    <w:lvl w:ilvl="0" w:tplc="32B2432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837501"/>
    <w:multiLevelType w:val="hybridMultilevel"/>
    <w:tmpl w:val="AD0E89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5AD2E4C"/>
    <w:multiLevelType w:val="multilevel"/>
    <w:tmpl w:val="5E18446E"/>
    <w:lvl w:ilvl="0">
      <w:start w:val="1"/>
      <w:numFmt w:val="decimal"/>
      <w:pStyle w:val="Heading1"/>
      <w:suff w:val="nothing"/>
      <w:lvlText w:val="%1.0"/>
      <w:lvlJc w:val="left"/>
      <w:pPr>
        <w:ind w:left="0" w:firstLine="0"/>
      </w:pPr>
      <w:rPr>
        <w:rFonts w:cs="Times New Roman" w:hint="default"/>
        <w:b/>
        <w:i w:val="0"/>
        <w:sz w:val="24"/>
        <w:u w:val="single"/>
      </w:rPr>
    </w:lvl>
    <w:lvl w:ilvl="1">
      <w:start w:val="1"/>
      <w:numFmt w:val="decimal"/>
      <w:pStyle w:val="Heading2"/>
      <w:suff w:val="nothing"/>
      <w:lvlText w:val="%1.%2"/>
      <w:lvlJc w:val="left"/>
      <w:pPr>
        <w:ind w:left="270" w:firstLine="0"/>
      </w:pPr>
      <w:rPr>
        <w:rFonts w:cs="Times New Roman" w:hint="default"/>
      </w:rPr>
    </w:lvl>
    <w:lvl w:ilvl="2">
      <w:start w:val="1"/>
      <w:numFmt w:val="decimal"/>
      <w:pStyle w:val="Heading3"/>
      <w:suff w:val="nothing"/>
      <w:lvlText w:val="%1.%2.%3"/>
      <w:lvlJc w:val="left"/>
      <w:pPr>
        <w:ind w:left="0" w:firstLine="0"/>
      </w:pPr>
      <w:rPr>
        <w:rFonts w:cs="Times New Roman" w:hint="default"/>
        <w:b w:val="0"/>
        <w:i w:val="0"/>
        <w:sz w:val="24"/>
        <w:u w:val="single"/>
      </w:rPr>
    </w:lvl>
    <w:lvl w:ilvl="3">
      <w:start w:val="1"/>
      <w:numFmt w:val="decimal"/>
      <w:pStyle w:val="Heading4"/>
      <w:suff w:val="nothing"/>
      <w:lvlText w:val="%1.%2.%3.%4"/>
      <w:lvlJc w:val="left"/>
      <w:pPr>
        <w:ind w:left="0" w:firstLine="0"/>
      </w:pPr>
      <w:rPr>
        <w:rFonts w:cs="Times New Roman" w:hint="default"/>
        <w:b w:val="0"/>
        <w:i/>
        <w:sz w:val="24"/>
        <w:u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7"/>
  </w:num>
  <w:num w:numId="2">
    <w:abstractNumId w:val="1"/>
  </w:num>
  <w:num w:numId="3">
    <w:abstractNumId w:val="0"/>
  </w:num>
  <w:num w:numId="4">
    <w:abstractNumId w:val="14"/>
  </w:num>
  <w:num w:numId="5">
    <w:abstractNumId w:val="4"/>
  </w:num>
  <w:num w:numId="6">
    <w:abstractNumId w:val="14"/>
  </w:num>
  <w:num w:numId="7">
    <w:abstractNumId w:val="3"/>
  </w:num>
  <w:num w:numId="8">
    <w:abstractNumId w:val="9"/>
  </w:num>
  <w:num w:numId="9">
    <w:abstractNumId w:val="13"/>
  </w:num>
  <w:num w:numId="10">
    <w:abstractNumId w:val="2"/>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 w:numId="14">
    <w:abstractNumId w:val="5"/>
  </w:num>
  <w:num w:numId="15">
    <w:abstractNumId w:val="11"/>
  </w:num>
  <w:num w:numId="16">
    <w:abstractNumId w:val="6"/>
  </w:num>
  <w:num w:numId="1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SCE -  Author (Ye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ppa55ptsysvpeae9arb5w05lff05tzafspef&quot;&gt;Research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record-ids&gt;&lt;/item&gt;&lt;/Libraries&gt;"/>
  </w:docVars>
  <w:rsids>
    <w:rsidRoot w:val="00321DA6"/>
    <w:rsid w:val="0000189B"/>
    <w:rsid w:val="0000270C"/>
    <w:rsid w:val="0000278C"/>
    <w:rsid w:val="0000295D"/>
    <w:rsid w:val="000029D8"/>
    <w:rsid w:val="00004E9C"/>
    <w:rsid w:val="00006C45"/>
    <w:rsid w:val="00010724"/>
    <w:rsid w:val="000117AD"/>
    <w:rsid w:val="000120A7"/>
    <w:rsid w:val="000138B7"/>
    <w:rsid w:val="00013B75"/>
    <w:rsid w:val="00014F8A"/>
    <w:rsid w:val="00015FCA"/>
    <w:rsid w:val="00017DDF"/>
    <w:rsid w:val="00020425"/>
    <w:rsid w:val="0002068F"/>
    <w:rsid w:val="00020968"/>
    <w:rsid w:val="00020C5C"/>
    <w:rsid w:val="00020E89"/>
    <w:rsid w:val="0002230E"/>
    <w:rsid w:val="0002375B"/>
    <w:rsid w:val="00023D0C"/>
    <w:rsid w:val="00024068"/>
    <w:rsid w:val="0002455D"/>
    <w:rsid w:val="00024A10"/>
    <w:rsid w:val="00026627"/>
    <w:rsid w:val="00026645"/>
    <w:rsid w:val="00026666"/>
    <w:rsid w:val="0002754D"/>
    <w:rsid w:val="00027B0D"/>
    <w:rsid w:val="00027D54"/>
    <w:rsid w:val="00027ED9"/>
    <w:rsid w:val="00030268"/>
    <w:rsid w:val="0003028B"/>
    <w:rsid w:val="000309BE"/>
    <w:rsid w:val="00030B99"/>
    <w:rsid w:val="00031A1B"/>
    <w:rsid w:val="00032AD4"/>
    <w:rsid w:val="00032EA8"/>
    <w:rsid w:val="000331F0"/>
    <w:rsid w:val="000339E0"/>
    <w:rsid w:val="00033A53"/>
    <w:rsid w:val="000348C4"/>
    <w:rsid w:val="000349FB"/>
    <w:rsid w:val="0003524A"/>
    <w:rsid w:val="0003614B"/>
    <w:rsid w:val="00036D72"/>
    <w:rsid w:val="00037239"/>
    <w:rsid w:val="0003783F"/>
    <w:rsid w:val="00040167"/>
    <w:rsid w:val="00040758"/>
    <w:rsid w:val="00041020"/>
    <w:rsid w:val="0004146A"/>
    <w:rsid w:val="00042144"/>
    <w:rsid w:val="00042E8E"/>
    <w:rsid w:val="000436C5"/>
    <w:rsid w:val="00044022"/>
    <w:rsid w:val="000442DC"/>
    <w:rsid w:val="000454C8"/>
    <w:rsid w:val="00046D14"/>
    <w:rsid w:val="0004703C"/>
    <w:rsid w:val="00050ABF"/>
    <w:rsid w:val="000524FB"/>
    <w:rsid w:val="00053153"/>
    <w:rsid w:val="00054944"/>
    <w:rsid w:val="00055742"/>
    <w:rsid w:val="0005613F"/>
    <w:rsid w:val="00056CD1"/>
    <w:rsid w:val="00056DCA"/>
    <w:rsid w:val="000573CD"/>
    <w:rsid w:val="000576B3"/>
    <w:rsid w:val="000606E8"/>
    <w:rsid w:val="00060B6B"/>
    <w:rsid w:val="00061021"/>
    <w:rsid w:val="00061780"/>
    <w:rsid w:val="00063C1B"/>
    <w:rsid w:val="00063C80"/>
    <w:rsid w:val="000640E5"/>
    <w:rsid w:val="00064B2A"/>
    <w:rsid w:val="00065841"/>
    <w:rsid w:val="00066339"/>
    <w:rsid w:val="00067BB1"/>
    <w:rsid w:val="00067FB6"/>
    <w:rsid w:val="00071B4E"/>
    <w:rsid w:val="000720B0"/>
    <w:rsid w:val="000724CD"/>
    <w:rsid w:val="00072616"/>
    <w:rsid w:val="00072AFE"/>
    <w:rsid w:val="00072D35"/>
    <w:rsid w:val="00073196"/>
    <w:rsid w:val="000732A6"/>
    <w:rsid w:val="00073738"/>
    <w:rsid w:val="00073A3D"/>
    <w:rsid w:val="00073F30"/>
    <w:rsid w:val="000743DC"/>
    <w:rsid w:val="00075D62"/>
    <w:rsid w:val="00076BB2"/>
    <w:rsid w:val="00076DC1"/>
    <w:rsid w:val="0007788A"/>
    <w:rsid w:val="00077E11"/>
    <w:rsid w:val="00080D32"/>
    <w:rsid w:val="000814DD"/>
    <w:rsid w:val="000818C7"/>
    <w:rsid w:val="0008239B"/>
    <w:rsid w:val="00084479"/>
    <w:rsid w:val="00084584"/>
    <w:rsid w:val="00086140"/>
    <w:rsid w:val="000864F1"/>
    <w:rsid w:val="0008693D"/>
    <w:rsid w:val="00086B6F"/>
    <w:rsid w:val="00087C46"/>
    <w:rsid w:val="00087C64"/>
    <w:rsid w:val="000915AA"/>
    <w:rsid w:val="000929BD"/>
    <w:rsid w:val="000930D7"/>
    <w:rsid w:val="0009316C"/>
    <w:rsid w:val="00093696"/>
    <w:rsid w:val="000938D6"/>
    <w:rsid w:val="000945AD"/>
    <w:rsid w:val="00094875"/>
    <w:rsid w:val="000948A7"/>
    <w:rsid w:val="00095857"/>
    <w:rsid w:val="00095FB5"/>
    <w:rsid w:val="00096C45"/>
    <w:rsid w:val="00096FFA"/>
    <w:rsid w:val="0009749E"/>
    <w:rsid w:val="000A0657"/>
    <w:rsid w:val="000A078B"/>
    <w:rsid w:val="000A1261"/>
    <w:rsid w:val="000A22EF"/>
    <w:rsid w:val="000A3827"/>
    <w:rsid w:val="000A385F"/>
    <w:rsid w:val="000A4918"/>
    <w:rsid w:val="000A4C8B"/>
    <w:rsid w:val="000A54BE"/>
    <w:rsid w:val="000A5A9D"/>
    <w:rsid w:val="000A651C"/>
    <w:rsid w:val="000A67E1"/>
    <w:rsid w:val="000A7379"/>
    <w:rsid w:val="000A7697"/>
    <w:rsid w:val="000A7B01"/>
    <w:rsid w:val="000B0110"/>
    <w:rsid w:val="000B02D2"/>
    <w:rsid w:val="000B160C"/>
    <w:rsid w:val="000B2313"/>
    <w:rsid w:val="000B30F9"/>
    <w:rsid w:val="000B3EBB"/>
    <w:rsid w:val="000B55F5"/>
    <w:rsid w:val="000B6CE4"/>
    <w:rsid w:val="000B7893"/>
    <w:rsid w:val="000C0B68"/>
    <w:rsid w:val="000C139B"/>
    <w:rsid w:val="000C17D8"/>
    <w:rsid w:val="000C1864"/>
    <w:rsid w:val="000C1E92"/>
    <w:rsid w:val="000C1E93"/>
    <w:rsid w:val="000C2085"/>
    <w:rsid w:val="000C26D4"/>
    <w:rsid w:val="000C3129"/>
    <w:rsid w:val="000C51FA"/>
    <w:rsid w:val="000C523A"/>
    <w:rsid w:val="000C53D7"/>
    <w:rsid w:val="000C58C1"/>
    <w:rsid w:val="000C5F65"/>
    <w:rsid w:val="000C6DDB"/>
    <w:rsid w:val="000C6E52"/>
    <w:rsid w:val="000C6E5C"/>
    <w:rsid w:val="000C7102"/>
    <w:rsid w:val="000C78FE"/>
    <w:rsid w:val="000C7B21"/>
    <w:rsid w:val="000C7CD3"/>
    <w:rsid w:val="000D034D"/>
    <w:rsid w:val="000D0B07"/>
    <w:rsid w:val="000D1EE5"/>
    <w:rsid w:val="000D306A"/>
    <w:rsid w:val="000D38A0"/>
    <w:rsid w:val="000D3CE6"/>
    <w:rsid w:val="000D3DA7"/>
    <w:rsid w:val="000D46CF"/>
    <w:rsid w:val="000D4D2E"/>
    <w:rsid w:val="000D52CE"/>
    <w:rsid w:val="000D587F"/>
    <w:rsid w:val="000D5A61"/>
    <w:rsid w:val="000D5F6F"/>
    <w:rsid w:val="000D6645"/>
    <w:rsid w:val="000D774C"/>
    <w:rsid w:val="000D7C2A"/>
    <w:rsid w:val="000E05C4"/>
    <w:rsid w:val="000E163D"/>
    <w:rsid w:val="000E16A4"/>
    <w:rsid w:val="000E2955"/>
    <w:rsid w:val="000E2D6B"/>
    <w:rsid w:val="000E2F51"/>
    <w:rsid w:val="000E304E"/>
    <w:rsid w:val="000E3BDB"/>
    <w:rsid w:val="000E3FD7"/>
    <w:rsid w:val="000E40D7"/>
    <w:rsid w:val="000E4622"/>
    <w:rsid w:val="000E53B9"/>
    <w:rsid w:val="000E5554"/>
    <w:rsid w:val="000E5557"/>
    <w:rsid w:val="000E65AA"/>
    <w:rsid w:val="000E74B5"/>
    <w:rsid w:val="000E7F57"/>
    <w:rsid w:val="000F029E"/>
    <w:rsid w:val="000F0504"/>
    <w:rsid w:val="000F0A96"/>
    <w:rsid w:val="000F122B"/>
    <w:rsid w:val="000F159D"/>
    <w:rsid w:val="000F3504"/>
    <w:rsid w:val="000F3DCD"/>
    <w:rsid w:val="000F3E52"/>
    <w:rsid w:val="000F4EA8"/>
    <w:rsid w:val="000F591D"/>
    <w:rsid w:val="000F5F4B"/>
    <w:rsid w:val="000F749A"/>
    <w:rsid w:val="000F792F"/>
    <w:rsid w:val="000F7A56"/>
    <w:rsid w:val="000F7BE2"/>
    <w:rsid w:val="000F7EFC"/>
    <w:rsid w:val="0010040E"/>
    <w:rsid w:val="00100D94"/>
    <w:rsid w:val="00100E46"/>
    <w:rsid w:val="00101111"/>
    <w:rsid w:val="0010115C"/>
    <w:rsid w:val="001011D4"/>
    <w:rsid w:val="00101380"/>
    <w:rsid w:val="001028E5"/>
    <w:rsid w:val="00103FA7"/>
    <w:rsid w:val="001047DA"/>
    <w:rsid w:val="00104D09"/>
    <w:rsid w:val="00105095"/>
    <w:rsid w:val="00106177"/>
    <w:rsid w:val="00106F9A"/>
    <w:rsid w:val="001077DF"/>
    <w:rsid w:val="0010785D"/>
    <w:rsid w:val="00107C6F"/>
    <w:rsid w:val="001103C4"/>
    <w:rsid w:val="00110494"/>
    <w:rsid w:val="00110A3B"/>
    <w:rsid w:val="00110F29"/>
    <w:rsid w:val="00111434"/>
    <w:rsid w:val="00111458"/>
    <w:rsid w:val="00111E53"/>
    <w:rsid w:val="00111EB1"/>
    <w:rsid w:val="00112A35"/>
    <w:rsid w:val="0011438F"/>
    <w:rsid w:val="001156CA"/>
    <w:rsid w:val="00115BE7"/>
    <w:rsid w:val="00115E0D"/>
    <w:rsid w:val="00116826"/>
    <w:rsid w:val="00116C03"/>
    <w:rsid w:val="00116C76"/>
    <w:rsid w:val="001170A1"/>
    <w:rsid w:val="001170AA"/>
    <w:rsid w:val="001178E3"/>
    <w:rsid w:val="00120479"/>
    <w:rsid w:val="001207F7"/>
    <w:rsid w:val="001210B9"/>
    <w:rsid w:val="0012115A"/>
    <w:rsid w:val="00121447"/>
    <w:rsid w:val="00121B2E"/>
    <w:rsid w:val="00122F1F"/>
    <w:rsid w:val="00122FD1"/>
    <w:rsid w:val="0012341F"/>
    <w:rsid w:val="00123FF9"/>
    <w:rsid w:val="00124802"/>
    <w:rsid w:val="00125C5A"/>
    <w:rsid w:val="001262F7"/>
    <w:rsid w:val="001266A0"/>
    <w:rsid w:val="001268C1"/>
    <w:rsid w:val="00127347"/>
    <w:rsid w:val="001277B2"/>
    <w:rsid w:val="00127C0E"/>
    <w:rsid w:val="001302F2"/>
    <w:rsid w:val="00130B67"/>
    <w:rsid w:val="00130E89"/>
    <w:rsid w:val="001316A2"/>
    <w:rsid w:val="00131D3A"/>
    <w:rsid w:val="00132254"/>
    <w:rsid w:val="00132D0A"/>
    <w:rsid w:val="001340AD"/>
    <w:rsid w:val="00134594"/>
    <w:rsid w:val="00134F7B"/>
    <w:rsid w:val="00135273"/>
    <w:rsid w:val="00135865"/>
    <w:rsid w:val="00135F67"/>
    <w:rsid w:val="00137084"/>
    <w:rsid w:val="001371EA"/>
    <w:rsid w:val="00137929"/>
    <w:rsid w:val="001416CD"/>
    <w:rsid w:val="00141786"/>
    <w:rsid w:val="00141FEA"/>
    <w:rsid w:val="001424B1"/>
    <w:rsid w:val="00143032"/>
    <w:rsid w:val="001432B9"/>
    <w:rsid w:val="001433B6"/>
    <w:rsid w:val="001440C2"/>
    <w:rsid w:val="00144FC6"/>
    <w:rsid w:val="001453A0"/>
    <w:rsid w:val="00145973"/>
    <w:rsid w:val="00145F04"/>
    <w:rsid w:val="001460B3"/>
    <w:rsid w:val="0014689D"/>
    <w:rsid w:val="00147857"/>
    <w:rsid w:val="00147EAD"/>
    <w:rsid w:val="00150438"/>
    <w:rsid w:val="001506AE"/>
    <w:rsid w:val="0015078B"/>
    <w:rsid w:val="00150B58"/>
    <w:rsid w:val="001513B3"/>
    <w:rsid w:val="00151D29"/>
    <w:rsid w:val="0015224A"/>
    <w:rsid w:val="00152D49"/>
    <w:rsid w:val="0015567D"/>
    <w:rsid w:val="001564B6"/>
    <w:rsid w:val="001567D3"/>
    <w:rsid w:val="00156990"/>
    <w:rsid w:val="00157070"/>
    <w:rsid w:val="0015744B"/>
    <w:rsid w:val="00157828"/>
    <w:rsid w:val="00157DD1"/>
    <w:rsid w:val="00160266"/>
    <w:rsid w:val="00160C07"/>
    <w:rsid w:val="00161386"/>
    <w:rsid w:val="001627F2"/>
    <w:rsid w:val="00163E44"/>
    <w:rsid w:val="001641F2"/>
    <w:rsid w:val="00164302"/>
    <w:rsid w:val="00164630"/>
    <w:rsid w:val="00165035"/>
    <w:rsid w:val="001650C3"/>
    <w:rsid w:val="00165939"/>
    <w:rsid w:val="00165CE5"/>
    <w:rsid w:val="00165DAD"/>
    <w:rsid w:val="00166060"/>
    <w:rsid w:val="00166493"/>
    <w:rsid w:val="00170161"/>
    <w:rsid w:val="00170538"/>
    <w:rsid w:val="0017168F"/>
    <w:rsid w:val="00171DDE"/>
    <w:rsid w:val="00171E98"/>
    <w:rsid w:val="0017350C"/>
    <w:rsid w:val="001739B2"/>
    <w:rsid w:val="00173D26"/>
    <w:rsid w:val="0017415D"/>
    <w:rsid w:val="001747A5"/>
    <w:rsid w:val="00174DCF"/>
    <w:rsid w:val="0017701D"/>
    <w:rsid w:val="0018075E"/>
    <w:rsid w:val="0018184D"/>
    <w:rsid w:val="00181978"/>
    <w:rsid w:val="0018220D"/>
    <w:rsid w:val="00182EA9"/>
    <w:rsid w:val="00183C16"/>
    <w:rsid w:val="00183C81"/>
    <w:rsid w:val="001849CF"/>
    <w:rsid w:val="001849D6"/>
    <w:rsid w:val="00184A22"/>
    <w:rsid w:val="00185387"/>
    <w:rsid w:val="00185FC0"/>
    <w:rsid w:val="0018660C"/>
    <w:rsid w:val="00186939"/>
    <w:rsid w:val="00186F58"/>
    <w:rsid w:val="00191392"/>
    <w:rsid w:val="0019205C"/>
    <w:rsid w:val="00192337"/>
    <w:rsid w:val="001927FF"/>
    <w:rsid w:val="001933EB"/>
    <w:rsid w:val="001936D6"/>
    <w:rsid w:val="00193755"/>
    <w:rsid w:val="00195707"/>
    <w:rsid w:val="001960B0"/>
    <w:rsid w:val="00196B87"/>
    <w:rsid w:val="0019717C"/>
    <w:rsid w:val="00197281"/>
    <w:rsid w:val="00197326"/>
    <w:rsid w:val="00197E5E"/>
    <w:rsid w:val="001A07DA"/>
    <w:rsid w:val="001A0A0C"/>
    <w:rsid w:val="001A2891"/>
    <w:rsid w:val="001A2D4A"/>
    <w:rsid w:val="001A2F41"/>
    <w:rsid w:val="001A3D6F"/>
    <w:rsid w:val="001A5A7D"/>
    <w:rsid w:val="001A5AE4"/>
    <w:rsid w:val="001A6139"/>
    <w:rsid w:val="001A650A"/>
    <w:rsid w:val="001A65BA"/>
    <w:rsid w:val="001A6661"/>
    <w:rsid w:val="001A6A94"/>
    <w:rsid w:val="001A6F03"/>
    <w:rsid w:val="001A7099"/>
    <w:rsid w:val="001A764E"/>
    <w:rsid w:val="001B192D"/>
    <w:rsid w:val="001B1E15"/>
    <w:rsid w:val="001B2030"/>
    <w:rsid w:val="001B318C"/>
    <w:rsid w:val="001B37DF"/>
    <w:rsid w:val="001B3F8D"/>
    <w:rsid w:val="001B3FB8"/>
    <w:rsid w:val="001B4839"/>
    <w:rsid w:val="001B4E65"/>
    <w:rsid w:val="001B582E"/>
    <w:rsid w:val="001B5A56"/>
    <w:rsid w:val="001B5BD7"/>
    <w:rsid w:val="001B5D91"/>
    <w:rsid w:val="001B6F87"/>
    <w:rsid w:val="001B7505"/>
    <w:rsid w:val="001C090C"/>
    <w:rsid w:val="001C0B13"/>
    <w:rsid w:val="001C0CE5"/>
    <w:rsid w:val="001C1432"/>
    <w:rsid w:val="001C1D72"/>
    <w:rsid w:val="001C2049"/>
    <w:rsid w:val="001C3668"/>
    <w:rsid w:val="001C410D"/>
    <w:rsid w:val="001C64F8"/>
    <w:rsid w:val="001C7BF8"/>
    <w:rsid w:val="001D002C"/>
    <w:rsid w:val="001D08C1"/>
    <w:rsid w:val="001D0BBE"/>
    <w:rsid w:val="001D3501"/>
    <w:rsid w:val="001D3638"/>
    <w:rsid w:val="001D37E1"/>
    <w:rsid w:val="001D3E04"/>
    <w:rsid w:val="001D62FB"/>
    <w:rsid w:val="001D64DD"/>
    <w:rsid w:val="001D7167"/>
    <w:rsid w:val="001D7F28"/>
    <w:rsid w:val="001E1CE4"/>
    <w:rsid w:val="001E2753"/>
    <w:rsid w:val="001E2AF8"/>
    <w:rsid w:val="001E2B7D"/>
    <w:rsid w:val="001E2D96"/>
    <w:rsid w:val="001E36B7"/>
    <w:rsid w:val="001E3784"/>
    <w:rsid w:val="001E3DA0"/>
    <w:rsid w:val="001E3F48"/>
    <w:rsid w:val="001E3FE4"/>
    <w:rsid w:val="001E4071"/>
    <w:rsid w:val="001E6B11"/>
    <w:rsid w:val="001E7683"/>
    <w:rsid w:val="001E7AF2"/>
    <w:rsid w:val="001F0823"/>
    <w:rsid w:val="001F0B04"/>
    <w:rsid w:val="001F0CC4"/>
    <w:rsid w:val="001F1FDD"/>
    <w:rsid w:val="001F20B3"/>
    <w:rsid w:val="001F2CF7"/>
    <w:rsid w:val="001F34C9"/>
    <w:rsid w:val="001F35E2"/>
    <w:rsid w:val="001F486F"/>
    <w:rsid w:val="001F52DF"/>
    <w:rsid w:val="001F6766"/>
    <w:rsid w:val="001F7252"/>
    <w:rsid w:val="00200900"/>
    <w:rsid w:val="00200DD5"/>
    <w:rsid w:val="00201BB4"/>
    <w:rsid w:val="00202F48"/>
    <w:rsid w:val="00203277"/>
    <w:rsid w:val="0020332B"/>
    <w:rsid w:val="00203DFA"/>
    <w:rsid w:val="00204347"/>
    <w:rsid w:val="00205473"/>
    <w:rsid w:val="00205618"/>
    <w:rsid w:val="00206361"/>
    <w:rsid w:val="0020665E"/>
    <w:rsid w:val="00206CCC"/>
    <w:rsid w:val="0020730F"/>
    <w:rsid w:val="0020793B"/>
    <w:rsid w:val="0020799F"/>
    <w:rsid w:val="002104AD"/>
    <w:rsid w:val="002107AB"/>
    <w:rsid w:val="00211ABE"/>
    <w:rsid w:val="00211DD3"/>
    <w:rsid w:val="0021238D"/>
    <w:rsid w:val="00212682"/>
    <w:rsid w:val="00213D72"/>
    <w:rsid w:val="00214A30"/>
    <w:rsid w:val="0021623B"/>
    <w:rsid w:val="002166E7"/>
    <w:rsid w:val="00216F5B"/>
    <w:rsid w:val="002220E8"/>
    <w:rsid w:val="00222263"/>
    <w:rsid w:val="00223FA7"/>
    <w:rsid w:val="00225226"/>
    <w:rsid w:val="00226651"/>
    <w:rsid w:val="002279C1"/>
    <w:rsid w:val="002303FE"/>
    <w:rsid w:val="00230DA2"/>
    <w:rsid w:val="00230DB7"/>
    <w:rsid w:val="00230DF0"/>
    <w:rsid w:val="00231785"/>
    <w:rsid w:val="00231B22"/>
    <w:rsid w:val="00231E71"/>
    <w:rsid w:val="002329A1"/>
    <w:rsid w:val="00233242"/>
    <w:rsid w:val="002335DE"/>
    <w:rsid w:val="0023388E"/>
    <w:rsid w:val="002338F4"/>
    <w:rsid w:val="002341AA"/>
    <w:rsid w:val="00234F44"/>
    <w:rsid w:val="002356A9"/>
    <w:rsid w:val="00235E75"/>
    <w:rsid w:val="00236024"/>
    <w:rsid w:val="002374E1"/>
    <w:rsid w:val="0023781B"/>
    <w:rsid w:val="00240578"/>
    <w:rsid w:val="002417E7"/>
    <w:rsid w:val="00241A10"/>
    <w:rsid w:val="00242220"/>
    <w:rsid w:val="00243650"/>
    <w:rsid w:val="00245629"/>
    <w:rsid w:val="00246E96"/>
    <w:rsid w:val="002470F7"/>
    <w:rsid w:val="0024762D"/>
    <w:rsid w:val="00252192"/>
    <w:rsid w:val="00252548"/>
    <w:rsid w:val="0025271B"/>
    <w:rsid w:val="00252C7B"/>
    <w:rsid w:val="00253435"/>
    <w:rsid w:val="00253A52"/>
    <w:rsid w:val="00254C38"/>
    <w:rsid w:val="00257179"/>
    <w:rsid w:val="00257458"/>
    <w:rsid w:val="0025797C"/>
    <w:rsid w:val="00257B10"/>
    <w:rsid w:val="00260E9F"/>
    <w:rsid w:val="00260EB4"/>
    <w:rsid w:val="00261923"/>
    <w:rsid w:val="0026246C"/>
    <w:rsid w:val="00262F43"/>
    <w:rsid w:val="00262F52"/>
    <w:rsid w:val="0026326A"/>
    <w:rsid w:val="002637ED"/>
    <w:rsid w:val="002640BF"/>
    <w:rsid w:val="00264140"/>
    <w:rsid w:val="00264332"/>
    <w:rsid w:val="00264B0A"/>
    <w:rsid w:val="00264E2E"/>
    <w:rsid w:val="00265137"/>
    <w:rsid w:val="00265448"/>
    <w:rsid w:val="00266183"/>
    <w:rsid w:val="00266456"/>
    <w:rsid w:val="00266635"/>
    <w:rsid w:val="00266883"/>
    <w:rsid w:val="00266A0F"/>
    <w:rsid w:val="002679E5"/>
    <w:rsid w:val="00270AFF"/>
    <w:rsid w:val="00270E3E"/>
    <w:rsid w:val="0027149E"/>
    <w:rsid w:val="00271809"/>
    <w:rsid w:val="0027186F"/>
    <w:rsid w:val="00271A2F"/>
    <w:rsid w:val="00272492"/>
    <w:rsid w:val="0027580D"/>
    <w:rsid w:val="00275D44"/>
    <w:rsid w:val="00276989"/>
    <w:rsid w:val="00276F93"/>
    <w:rsid w:val="00280144"/>
    <w:rsid w:val="0028087E"/>
    <w:rsid w:val="00280BD8"/>
    <w:rsid w:val="0028269A"/>
    <w:rsid w:val="0028370B"/>
    <w:rsid w:val="0028469E"/>
    <w:rsid w:val="0028583B"/>
    <w:rsid w:val="002858F3"/>
    <w:rsid w:val="002859F4"/>
    <w:rsid w:val="00285AA1"/>
    <w:rsid w:val="00286F9E"/>
    <w:rsid w:val="002873E7"/>
    <w:rsid w:val="00287588"/>
    <w:rsid w:val="00287614"/>
    <w:rsid w:val="00290347"/>
    <w:rsid w:val="00290354"/>
    <w:rsid w:val="00290DE1"/>
    <w:rsid w:val="00291096"/>
    <w:rsid w:val="002924B2"/>
    <w:rsid w:val="0029255F"/>
    <w:rsid w:val="002934DB"/>
    <w:rsid w:val="00293682"/>
    <w:rsid w:val="00293A94"/>
    <w:rsid w:val="00294B2B"/>
    <w:rsid w:val="00296BDA"/>
    <w:rsid w:val="002A07BD"/>
    <w:rsid w:val="002A18A8"/>
    <w:rsid w:val="002A1E49"/>
    <w:rsid w:val="002A3919"/>
    <w:rsid w:val="002A3FAE"/>
    <w:rsid w:val="002A413C"/>
    <w:rsid w:val="002A43A2"/>
    <w:rsid w:val="002A62B2"/>
    <w:rsid w:val="002A6666"/>
    <w:rsid w:val="002A6C93"/>
    <w:rsid w:val="002A7326"/>
    <w:rsid w:val="002A75B2"/>
    <w:rsid w:val="002A7C9D"/>
    <w:rsid w:val="002A7F3C"/>
    <w:rsid w:val="002B04E0"/>
    <w:rsid w:val="002B12B1"/>
    <w:rsid w:val="002B1CDB"/>
    <w:rsid w:val="002B3226"/>
    <w:rsid w:val="002B3529"/>
    <w:rsid w:val="002B43A0"/>
    <w:rsid w:val="002B4625"/>
    <w:rsid w:val="002B5EAE"/>
    <w:rsid w:val="002B6176"/>
    <w:rsid w:val="002B6306"/>
    <w:rsid w:val="002B6DE5"/>
    <w:rsid w:val="002B73EA"/>
    <w:rsid w:val="002B7CB0"/>
    <w:rsid w:val="002C00CC"/>
    <w:rsid w:val="002C1510"/>
    <w:rsid w:val="002C1B13"/>
    <w:rsid w:val="002C1EC5"/>
    <w:rsid w:val="002C27D0"/>
    <w:rsid w:val="002C2D73"/>
    <w:rsid w:val="002C3AB3"/>
    <w:rsid w:val="002C3DC4"/>
    <w:rsid w:val="002C482C"/>
    <w:rsid w:val="002C4CD7"/>
    <w:rsid w:val="002C5472"/>
    <w:rsid w:val="002C61B1"/>
    <w:rsid w:val="002C66B0"/>
    <w:rsid w:val="002C681B"/>
    <w:rsid w:val="002C6857"/>
    <w:rsid w:val="002C69CC"/>
    <w:rsid w:val="002C700F"/>
    <w:rsid w:val="002D12C1"/>
    <w:rsid w:val="002D14CF"/>
    <w:rsid w:val="002D15E5"/>
    <w:rsid w:val="002D16C8"/>
    <w:rsid w:val="002D2492"/>
    <w:rsid w:val="002D2B2C"/>
    <w:rsid w:val="002D440C"/>
    <w:rsid w:val="002D6195"/>
    <w:rsid w:val="002D62FC"/>
    <w:rsid w:val="002D6714"/>
    <w:rsid w:val="002D6CC6"/>
    <w:rsid w:val="002D6EDB"/>
    <w:rsid w:val="002D6FD5"/>
    <w:rsid w:val="002E0044"/>
    <w:rsid w:val="002E0F14"/>
    <w:rsid w:val="002E1881"/>
    <w:rsid w:val="002E2250"/>
    <w:rsid w:val="002E2530"/>
    <w:rsid w:val="002E3650"/>
    <w:rsid w:val="002E3D9E"/>
    <w:rsid w:val="002E3F19"/>
    <w:rsid w:val="002E4857"/>
    <w:rsid w:val="002E4C8C"/>
    <w:rsid w:val="002E4F47"/>
    <w:rsid w:val="002E5074"/>
    <w:rsid w:val="002E53B5"/>
    <w:rsid w:val="002E61B9"/>
    <w:rsid w:val="002E648A"/>
    <w:rsid w:val="002E6689"/>
    <w:rsid w:val="002E698B"/>
    <w:rsid w:val="002E7028"/>
    <w:rsid w:val="002E762E"/>
    <w:rsid w:val="002E76EF"/>
    <w:rsid w:val="002E7BB7"/>
    <w:rsid w:val="002F0DBB"/>
    <w:rsid w:val="002F30AA"/>
    <w:rsid w:val="002F34BB"/>
    <w:rsid w:val="002F4924"/>
    <w:rsid w:val="002F54AC"/>
    <w:rsid w:val="002F7D93"/>
    <w:rsid w:val="0030035D"/>
    <w:rsid w:val="003006A9"/>
    <w:rsid w:val="00300992"/>
    <w:rsid w:val="003017E0"/>
    <w:rsid w:val="003024C9"/>
    <w:rsid w:val="0030264F"/>
    <w:rsid w:val="00302F9A"/>
    <w:rsid w:val="00303255"/>
    <w:rsid w:val="0030429B"/>
    <w:rsid w:val="00304706"/>
    <w:rsid w:val="00304996"/>
    <w:rsid w:val="003051B1"/>
    <w:rsid w:val="003055B7"/>
    <w:rsid w:val="00306143"/>
    <w:rsid w:val="00306328"/>
    <w:rsid w:val="00306B26"/>
    <w:rsid w:val="003073B7"/>
    <w:rsid w:val="003102D6"/>
    <w:rsid w:val="00310979"/>
    <w:rsid w:val="00310B81"/>
    <w:rsid w:val="00311076"/>
    <w:rsid w:val="00312D62"/>
    <w:rsid w:val="00312FAF"/>
    <w:rsid w:val="00314011"/>
    <w:rsid w:val="00314853"/>
    <w:rsid w:val="00314B73"/>
    <w:rsid w:val="00314E06"/>
    <w:rsid w:val="003157B4"/>
    <w:rsid w:val="00316414"/>
    <w:rsid w:val="003164E5"/>
    <w:rsid w:val="00316BBF"/>
    <w:rsid w:val="00316C7E"/>
    <w:rsid w:val="00316E99"/>
    <w:rsid w:val="00317B31"/>
    <w:rsid w:val="00317D18"/>
    <w:rsid w:val="0032108B"/>
    <w:rsid w:val="00321C0B"/>
    <w:rsid w:val="00321DA6"/>
    <w:rsid w:val="00323897"/>
    <w:rsid w:val="003249E8"/>
    <w:rsid w:val="00325A49"/>
    <w:rsid w:val="003263A6"/>
    <w:rsid w:val="003277FC"/>
    <w:rsid w:val="00330669"/>
    <w:rsid w:val="00331AA8"/>
    <w:rsid w:val="00334C4A"/>
    <w:rsid w:val="0033514A"/>
    <w:rsid w:val="00335BF4"/>
    <w:rsid w:val="00337C55"/>
    <w:rsid w:val="00340AD1"/>
    <w:rsid w:val="00341172"/>
    <w:rsid w:val="003430D3"/>
    <w:rsid w:val="003439B1"/>
    <w:rsid w:val="003444D1"/>
    <w:rsid w:val="003452B3"/>
    <w:rsid w:val="00345553"/>
    <w:rsid w:val="003457C6"/>
    <w:rsid w:val="00347456"/>
    <w:rsid w:val="0034792D"/>
    <w:rsid w:val="00351BA0"/>
    <w:rsid w:val="003521A2"/>
    <w:rsid w:val="00352D9C"/>
    <w:rsid w:val="00352ED1"/>
    <w:rsid w:val="0035355E"/>
    <w:rsid w:val="00353E3E"/>
    <w:rsid w:val="003542E7"/>
    <w:rsid w:val="00354444"/>
    <w:rsid w:val="00354548"/>
    <w:rsid w:val="00354C0C"/>
    <w:rsid w:val="00355846"/>
    <w:rsid w:val="00355DF9"/>
    <w:rsid w:val="00356036"/>
    <w:rsid w:val="003560DE"/>
    <w:rsid w:val="003575D2"/>
    <w:rsid w:val="003576B6"/>
    <w:rsid w:val="00357D05"/>
    <w:rsid w:val="00362824"/>
    <w:rsid w:val="0036367D"/>
    <w:rsid w:val="00364106"/>
    <w:rsid w:val="0036504D"/>
    <w:rsid w:val="003655EF"/>
    <w:rsid w:val="00365EAF"/>
    <w:rsid w:val="00367210"/>
    <w:rsid w:val="003702D1"/>
    <w:rsid w:val="003707DB"/>
    <w:rsid w:val="00372B34"/>
    <w:rsid w:val="00373337"/>
    <w:rsid w:val="00373858"/>
    <w:rsid w:val="003739BA"/>
    <w:rsid w:val="00373C9F"/>
    <w:rsid w:val="00374040"/>
    <w:rsid w:val="003742F9"/>
    <w:rsid w:val="00374CD0"/>
    <w:rsid w:val="00374FF5"/>
    <w:rsid w:val="00375319"/>
    <w:rsid w:val="00375D8E"/>
    <w:rsid w:val="00375F7D"/>
    <w:rsid w:val="00377678"/>
    <w:rsid w:val="003778BC"/>
    <w:rsid w:val="00381939"/>
    <w:rsid w:val="003824D5"/>
    <w:rsid w:val="003831CC"/>
    <w:rsid w:val="00383379"/>
    <w:rsid w:val="00384FE7"/>
    <w:rsid w:val="00385BF3"/>
    <w:rsid w:val="00386B11"/>
    <w:rsid w:val="00387159"/>
    <w:rsid w:val="003916F2"/>
    <w:rsid w:val="003928DB"/>
    <w:rsid w:val="00392A61"/>
    <w:rsid w:val="00392DC4"/>
    <w:rsid w:val="00393D97"/>
    <w:rsid w:val="003944CD"/>
    <w:rsid w:val="003953BB"/>
    <w:rsid w:val="003959B8"/>
    <w:rsid w:val="00395B8F"/>
    <w:rsid w:val="00396971"/>
    <w:rsid w:val="00396994"/>
    <w:rsid w:val="00396EB8"/>
    <w:rsid w:val="003974B5"/>
    <w:rsid w:val="00397F3F"/>
    <w:rsid w:val="00397F52"/>
    <w:rsid w:val="003A0015"/>
    <w:rsid w:val="003A0437"/>
    <w:rsid w:val="003A04BE"/>
    <w:rsid w:val="003A2A01"/>
    <w:rsid w:val="003A2E9B"/>
    <w:rsid w:val="003A302C"/>
    <w:rsid w:val="003A360E"/>
    <w:rsid w:val="003A4673"/>
    <w:rsid w:val="003A47B2"/>
    <w:rsid w:val="003A55AD"/>
    <w:rsid w:val="003A6F6F"/>
    <w:rsid w:val="003A73AB"/>
    <w:rsid w:val="003A7C18"/>
    <w:rsid w:val="003B0A62"/>
    <w:rsid w:val="003B1AA1"/>
    <w:rsid w:val="003B2129"/>
    <w:rsid w:val="003B2710"/>
    <w:rsid w:val="003B34A9"/>
    <w:rsid w:val="003B37CC"/>
    <w:rsid w:val="003B3B1B"/>
    <w:rsid w:val="003B40E2"/>
    <w:rsid w:val="003B5262"/>
    <w:rsid w:val="003B5DEE"/>
    <w:rsid w:val="003B6B67"/>
    <w:rsid w:val="003B7F6D"/>
    <w:rsid w:val="003C0CAE"/>
    <w:rsid w:val="003C18EE"/>
    <w:rsid w:val="003C1ADF"/>
    <w:rsid w:val="003C3B0B"/>
    <w:rsid w:val="003C52BB"/>
    <w:rsid w:val="003C65E8"/>
    <w:rsid w:val="003C793D"/>
    <w:rsid w:val="003C7D31"/>
    <w:rsid w:val="003D0883"/>
    <w:rsid w:val="003D242E"/>
    <w:rsid w:val="003D291F"/>
    <w:rsid w:val="003D3F86"/>
    <w:rsid w:val="003D4837"/>
    <w:rsid w:val="003D491D"/>
    <w:rsid w:val="003D4CA2"/>
    <w:rsid w:val="003D4CF6"/>
    <w:rsid w:val="003D4E81"/>
    <w:rsid w:val="003D4F74"/>
    <w:rsid w:val="003D4FFE"/>
    <w:rsid w:val="003D5487"/>
    <w:rsid w:val="003D5F92"/>
    <w:rsid w:val="003D659A"/>
    <w:rsid w:val="003D66F8"/>
    <w:rsid w:val="003D737B"/>
    <w:rsid w:val="003D7BD2"/>
    <w:rsid w:val="003E0396"/>
    <w:rsid w:val="003E0B1A"/>
    <w:rsid w:val="003E12E6"/>
    <w:rsid w:val="003E14B3"/>
    <w:rsid w:val="003E19ED"/>
    <w:rsid w:val="003E1E55"/>
    <w:rsid w:val="003E218E"/>
    <w:rsid w:val="003E3118"/>
    <w:rsid w:val="003E3B3D"/>
    <w:rsid w:val="003E3C04"/>
    <w:rsid w:val="003E41A3"/>
    <w:rsid w:val="003E61F0"/>
    <w:rsid w:val="003E66A3"/>
    <w:rsid w:val="003E6F1A"/>
    <w:rsid w:val="003E7410"/>
    <w:rsid w:val="003F019E"/>
    <w:rsid w:val="003F0706"/>
    <w:rsid w:val="003F0B8C"/>
    <w:rsid w:val="003F0F31"/>
    <w:rsid w:val="003F1208"/>
    <w:rsid w:val="003F1B33"/>
    <w:rsid w:val="003F1F52"/>
    <w:rsid w:val="003F5432"/>
    <w:rsid w:val="003F5D31"/>
    <w:rsid w:val="003F6033"/>
    <w:rsid w:val="003F676D"/>
    <w:rsid w:val="003F67C9"/>
    <w:rsid w:val="003F6F37"/>
    <w:rsid w:val="003F75A8"/>
    <w:rsid w:val="003F7AEC"/>
    <w:rsid w:val="00400565"/>
    <w:rsid w:val="00400679"/>
    <w:rsid w:val="004006F4"/>
    <w:rsid w:val="00400856"/>
    <w:rsid w:val="00400A58"/>
    <w:rsid w:val="00401CE9"/>
    <w:rsid w:val="00402A32"/>
    <w:rsid w:val="00403026"/>
    <w:rsid w:val="00403AD3"/>
    <w:rsid w:val="00404493"/>
    <w:rsid w:val="00405D8E"/>
    <w:rsid w:val="004063A3"/>
    <w:rsid w:val="00407464"/>
    <w:rsid w:val="004100A9"/>
    <w:rsid w:val="00410AD4"/>
    <w:rsid w:val="00411441"/>
    <w:rsid w:val="004115F8"/>
    <w:rsid w:val="004119BE"/>
    <w:rsid w:val="00412A0D"/>
    <w:rsid w:val="004138AC"/>
    <w:rsid w:val="00413A6F"/>
    <w:rsid w:val="00413CD6"/>
    <w:rsid w:val="00414DAC"/>
    <w:rsid w:val="004152A5"/>
    <w:rsid w:val="00415FDE"/>
    <w:rsid w:val="004177D1"/>
    <w:rsid w:val="00420D45"/>
    <w:rsid w:val="00421227"/>
    <w:rsid w:val="00421F14"/>
    <w:rsid w:val="00422207"/>
    <w:rsid w:val="00423FE1"/>
    <w:rsid w:val="004243A2"/>
    <w:rsid w:val="00424F74"/>
    <w:rsid w:val="0042549D"/>
    <w:rsid w:val="00426CB5"/>
    <w:rsid w:val="004271BE"/>
    <w:rsid w:val="00427BA2"/>
    <w:rsid w:val="00430AE0"/>
    <w:rsid w:val="004318F7"/>
    <w:rsid w:val="00431A0C"/>
    <w:rsid w:val="00431B42"/>
    <w:rsid w:val="00431E12"/>
    <w:rsid w:val="00432932"/>
    <w:rsid w:val="00432CCF"/>
    <w:rsid w:val="00432F31"/>
    <w:rsid w:val="00433383"/>
    <w:rsid w:val="004337C9"/>
    <w:rsid w:val="00435453"/>
    <w:rsid w:val="00435FA4"/>
    <w:rsid w:val="00436885"/>
    <w:rsid w:val="00436957"/>
    <w:rsid w:val="00437A79"/>
    <w:rsid w:val="00437F42"/>
    <w:rsid w:val="00440AA2"/>
    <w:rsid w:val="00441BEE"/>
    <w:rsid w:val="00441CB1"/>
    <w:rsid w:val="00444D09"/>
    <w:rsid w:val="00445B45"/>
    <w:rsid w:val="00445B76"/>
    <w:rsid w:val="00446FC6"/>
    <w:rsid w:val="00447129"/>
    <w:rsid w:val="00447289"/>
    <w:rsid w:val="00451009"/>
    <w:rsid w:val="0045239C"/>
    <w:rsid w:val="00452F92"/>
    <w:rsid w:val="00453C7C"/>
    <w:rsid w:val="00453DC3"/>
    <w:rsid w:val="004548BD"/>
    <w:rsid w:val="004548E0"/>
    <w:rsid w:val="00454B5B"/>
    <w:rsid w:val="004551C5"/>
    <w:rsid w:val="004552C8"/>
    <w:rsid w:val="004555CD"/>
    <w:rsid w:val="00455630"/>
    <w:rsid w:val="00455E8B"/>
    <w:rsid w:val="00456F81"/>
    <w:rsid w:val="00457003"/>
    <w:rsid w:val="0046057C"/>
    <w:rsid w:val="00460BAE"/>
    <w:rsid w:val="00461690"/>
    <w:rsid w:val="004624BC"/>
    <w:rsid w:val="00462624"/>
    <w:rsid w:val="0046284C"/>
    <w:rsid w:val="004646F1"/>
    <w:rsid w:val="0046477B"/>
    <w:rsid w:val="0046543E"/>
    <w:rsid w:val="004667AF"/>
    <w:rsid w:val="00466992"/>
    <w:rsid w:val="004669DE"/>
    <w:rsid w:val="004679DF"/>
    <w:rsid w:val="00470D47"/>
    <w:rsid w:val="00470E96"/>
    <w:rsid w:val="004710F9"/>
    <w:rsid w:val="00471369"/>
    <w:rsid w:val="00471374"/>
    <w:rsid w:val="004713B5"/>
    <w:rsid w:val="004714F9"/>
    <w:rsid w:val="0047207A"/>
    <w:rsid w:val="00472128"/>
    <w:rsid w:val="00472A1A"/>
    <w:rsid w:val="00472BCC"/>
    <w:rsid w:val="00473B2B"/>
    <w:rsid w:val="0047488F"/>
    <w:rsid w:val="00475651"/>
    <w:rsid w:val="004769B3"/>
    <w:rsid w:val="0047745A"/>
    <w:rsid w:val="0047794B"/>
    <w:rsid w:val="004779B0"/>
    <w:rsid w:val="00480F98"/>
    <w:rsid w:val="0048109A"/>
    <w:rsid w:val="004814AE"/>
    <w:rsid w:val="00481689"/>
    <w:rsid w:val="00481C3E"/>
    <w:rsid w:val="00482BEC"/>
    <w:rsid w:val="00483327"/>
    <w:rsid w:val="00484560"/>
    <w:rsid w:val="0048472D"/>
    <w:rsid w:val="00484755"/>
    <w:rsid w:val="004849CA"/>
    <w:rsid w:val="00484AB0"/>
    <w:rsid w:val="00484F37"/>
    <w:rsid w:val="004853B1"/>
    <w:rsid w:val="00487092"/>
    <w:rsid w:val="004875FD"/>
    <w:rsid w:val="004879E7"/>
    <w:rsid w:val="00490362"/>
    <w:rsid w:val="004909AD"/>
    <w:rsid w:val="00491114"/>
    <w:rsid w:val="004912E2"/>
    <w:rsid w:val="00491701"/>
    <w:rsid w:val="00492A91"/>
    <w:rsid w:val="00495793"/>
    <w:rsid w:val="00496951"/>
    <w:rsid w:val="004A01DC"/>
    <w:rsid w:val="004A2600"/>
    <w:rsid w:val="004A2604"/>
    <w:rsid w:val="004A3645"/>
    <w:rsid w:val="004A4D73"/>
    <w:rsid w:val="004A4EB2"/>
    <w:rsid w:val="004A550B"/>
    <w:rsid w:val="004A5D92"/>
    <w:rsid w:val="004A67D9"/>
    <w:rsid w:val="004A711F"/>
    <w:rsid w:val="004A7DEE"/>
    <w:rsid w:val="004A7E36"/>
    <w:rsid w:val="004B0A17"/>
    <w:rsid w:val="004B12B1"/>
    <w:rsid w:val="004B137A"/>
    <w:rsid w:val="004B1507"/>
    <w:rsid w:val="004B27C0"/>
    <w:rsid w:val="004B2C5F"/>
    <w:rsid w:val="004B3B8B"/>
    <w:rsid w:val="004B4497"/>
    <w:rsid w:val="004B49BF"/>
    <w:rsid w:val="004B4C31"/>
    <w:rsid w:val="004B4E8A"/>
    <w:rsid w:val="004B5A6D"/>
    <w:rsid w:val="004B6104"/>
    <w:rsid w:val="004B63FA"/>
    <w:rsid w:val="004B66BB"/>
    <w:rsid w:val="004B7E8E"/>
    <w:rsid w:val="004C15D1"/>
    <w:rsid w:val="004C1D24"/>
    <w:rsid w:val="004C1E2B"/>
    <w:rsid w:val="004C266A"/>
    <w:rsid w:val="004C2F4E"/>
    <w:rsid w:val="004C3A44"/>
    <w:rsid w:val="004C3EFB"/>
    <w:rsid w:val="004C49A5"/>
    <w:rsid w:val="004C4B76"/>
    <w:rsid w:val="004C52CE"/>
    <w:rsid w:val="004C5631"/>
    <w:rsid w:val="004C6036"/>
    <w:rsid w:val="004C6387"/>
    <w:rsid w:val="004C6571"/>
    <w:rsid w:val="004C69CE"/>
    <w:rsid w:val="004C6AEA"/>
    <w:rsid w:val="004C793A"/>
    <w:rsid w:val="004D0508"/>
    <w:rsid w:val="004D07A2"/>
    <w:rsid w:val="004D1FF5"/>
    <w:rsid w:val="004D201E"/>
    <w:rsid w:val="004D24FC"/>
    <w:rsid w:val="004D2617"/>
    <w:rsid w:val="004D31D5"/>
    <w:rsid w:val="004D3544"/>
    <w:rsid w:val="004D39D4"/>
    <w:rsid w:val="004D550F"/>
    <w:rsid w:val="004D6415"/>
    <w:rsid w:val="004D65BF"/>
    <w:rsid w:val="004D6FE2"/>
    <w:rsid w:val="004D7CB6"/>
    <w:rsid w:val="004D7FD1"/>
    <w:rsid w:val="004E0A0E"/>
    <w:rsid w:val="004E1E7B"/>
    <w:rsid w:val="004E262D"/>
    <w:rsid w:val="004E461B"/>
    <w:rsid w:val="004E5343"/>
    <w:rsid w:val="004E6145"/>
    <w:rsid w:val="004E6610"/>
    <w:rsid w:val="004E6883"/>
    <w:rsid w:val="004F1AC5"/>
    <w:rsid w:val="004F1D3E"/>
    <w:rsid w:val="004F2155"/>
    <w:rsid w:val="004F2AF5"/>
    <w:rsid w:val="004F33BA"/>
    <w:rsid w:val="004F3824"/>
    <w:rsid w:val="004F3BFC"/>
    <w:rsid w:val="004F3D74"/>
    <w:rsid w:val="004F475C"/>
    <w:rsid w:val="004F4B08"/>
    <w:rsid w:val="004F4D31"/>
    <w:rsid w:val="004F63BC"/>
    <w:rsid w:val="004F7127"/>
    <w:rsid w:val="00500664"/>
    <w:rsid w:val="00500F50"/>
    <w:rsid w:val="00500FC3"/>
    <w:rsid w:val="0050259F"/>
    <w:rsid w:val="005025E8"/>
    <w:rsid w:val="00502777"/>
    <w:rsid w:val="00502DE9"/>
    <w:rsid w:val="00503704"/>
    <w:rsid w:val="0050399B"/>
    <w:rsid w:val="00504227"/>
    <w:rsid w:val="00504467"/>
    <w:rsid w:val="0050497E"/>
    <w:rsid w:val="00505823"/>
    <w:rsid w:val="005075CB"/>
    <w:rsid w:val="00507E5E"/>
    <w:rsid w:val="005105EA"/>
    <w:rsid w:val="005114DE"/>
    <w:rsid w:val="00511B3C"/>
    <w:rsid w:val="00513441"/>
    <w:rsid w:val="00513500"/>
    <w:rsid w:val="00514F02"/>
    <w:rsid w:val="00515A17"/>
    <w:rsid w:val="00516515"/>
    <w:rsid w:val="0051677C"/>
    <w:rsid w:val="0051677E"/>
    <w:rsid w:val="00516C8A"/>
    <w:rsid w:val="00516F12"/>
    <w:rsid w:val="00517101"/>
    <w:rsid w:val="0052007C"/>
    <w:rsid w:val="00520CF3"/>
    <w:rsid w:val="0052277E"/>
    <w:rsid w:val="00522AB7"/>
    <w:rsid w:val="00523486"/>
    <w:rsid w:val="0052383E"/>
    <w:rsid w:val="0052389F"/>
    <w:rsid w:val="00523B81"/>
    <w:rsid w:val="00523B8C"/>
    <w:rsid w:val="00527A9E"/>
    <w:rsid w:val="0053105D"/>
    <w:rsid w:val="005310AF"/>
    <w:rsid w:val="00531B16"/>
    <w:rsid w:val="00531E44"/>
    <w:rsid w:val="00532BB8"/>
    <w:rsid w:val="00532BE0"/>
    <w:rsid w:val="00535375"/>
    <w:rsid w:val="00535AE6"/>
    <w:rsid w:val="00535D5E"/>
    <w:rsid w:val="00535D79"/>
    <w:rsid w:val="0053632C"/>
    <w:rsid w:val="00536348"/>
    <w:rsid w:val="00537145"/>
    <w:rsid w:val="0053742D"/>
    <w:rsid w:val="00537691"/>
    <w:rsid w:val="00537718"/>
    <w:rsid w:val="0053791F"/>
    <w:rsid w:val="00540507"/>
    <w:rsid w:val="00540FA2"/>
    <w:rsid w:val="00540FBC"/>
    <w:rsid w:val="00541EFA"/>
    <w:rsid w:val="005421E4"/>
    <w:rsid w:val="00543001"/>
    <w:rsid w:val="00543577"/>
    <w:rsid w:val="00543C85"/>
    <w:rsid w:val="005440AB"/>
    <w:rsid w:val="00544775"/>
    <w:rsid w:val="00544818"/>
    <w:rsid w:val="00545409"/>
    <w:rsid w:val="0054598D"/>
    <w:rsid w:val="005463F2"/>
    <w:rsid w:val="0054725B"/>
    <w:rsid w:val="005479C1"/>
    <w:rsid w:val="005479D5"/>
    <w:rsid w:val="005501CC"/>
    <w:rsid w:val="00552C01"/>
    <w:rsid w:val="005541D4"/>
    <w:rsid w:val="005555AB"/>
    <w:rsid w:val="00555A00"/>
    <w:rsid w:val="00556EB3"/>
    <w:rsid w:val="00557465"/>
    <w:rsid w:val="005574EE"/>
    <w:rsid w:val="00561554"/>
    <w:rsid w:val="00561E95"/>
    <w:rsid w:val="00562909"/>
    <w:rsid w:val="00562BEE"/>
    <w:rsid w:val="005631E0"/>
    <w:rsid w:val="00563214"/>
    <w:rsid w:val="005648B4"/>
    <w:rsid w:val="005650D8"/>
    <w:rsid w:val="0056534B"/>
    <w:rsid w:val="005667CB"/>
    <w:rsid w:val="0056689E"/>
    <w:rsid w:val="00566A96"/>
    <w:rsid w:val="005677D9"/>
    <w:rsid w:val="005708B0"/>
    <w:rsid w:val="005726EF"/>
    <w:rsid w:val="00572716"/>
    <w:rsid w:val="005737B1"/>
    <w:rsid w:val="005737CD"/>
    <w:rsid w:val="0057449A"/>
    <w:rsid w:val="00574DBB"/>
    <w:rsid w:val="0057629B"/>
    <w:rsid w:val="00576E69"/>
    <w:rsid w:val="0057739B"/>
    <w:rsid w:val="00577FEC"/>
    <w:rsid w:val="0058030A"/>
    <w:rsid w:val="005819B6"/>
    <w:rsid w:val="00583958"/>
    <w:rsid w:val="00586530"/>
    <w:rsid w:val="00586804"/>
    <w:rsid w:val="005925A0"/>
    <w:rsid w:val="0059405D"/>
    <w:rsid w:val="005944AD"/>
    <w:rsid w:val="00594C31"/>
    <w:rsid w:val="00594E1D"/>
    <w:rsid w:val="005952E1"/>
    <w:rsid w:val="0059751C"/>
    <w:rsid w:val="005A054C"/>
    <w:rsid w:val="005A32B5"/>
    <w:rsid w:val="005A3DCE"/>
    <w:rsid w:val="005A3ED7"/>
    <w:rsid w:val="005A4A7E"/>
    <w:rsid w:val="005A5423"/>
    <w:rsid w:val="005A551C"/>
    <w:rsid w:val="005A5F68"/>
    <w:rsid w:val="005A6107"/>
    <w:rsid w:val="005A61BA"/>
    <w:rsid w:val="005A6B8D"/>
    <w:rsid w:val="005A6D43"/>
    <w:rsid w:val="005B124D"/>
    <w:rsid w:val="005B2009"/>
    <w:rsid w:val="005B2B36"/>
    <w:rsid w:val="005B37F4"/>
    <w:rsid w:val="005B3B5E"/>
    <w:rsid w:val="005B4262"/>
    <w:rsid w:val="005B4C95"/>
    <w:rsid w:val="005B6057"/>
    <w:rsid w:val="005B6A02"/>
    <w:rsid w:val="005B754F"/>
    <w:rsid w:val="005C0618"/>
    <w:rsid w:val="005C0750"/>
    <w:rsid w:val="005C1101"/>
    <w:rsid w:val="005C1364"/>
    <w:rsid w:val="005C196B"/>
    <w:rsid w:val="005C1A9C"/>
    <w:rsid w:val="005C1B10"/>
    <w:rsid w:val="005C1D0D"/>
    <w:rsid w:val="005C23A0"/>
    <w:rsid w:val="005C2665"/>
    <w:rsid w:val="005C2ABE"/>
    <w:rsid w:val="005C354F"/>
    <w:rsid w:val="005C3C36"/>
    <w:rsid w:val="005C44A0"/>
    <w:rsid w:val="005C4538"/>
    <w:rsid w:val="005C49EF"/>
    <w:rsid w:val="005C509E"/>
    <w:rsid w:val="005C5C9F"/>
    <w:rsid w:val="005C5D6A"/>
    <w:rsid w:val="005C62C9"/>
    <w:rsid w:val="005C6722"/>
    <w:rsid w:val="005C6A70"/>
    <w:rsid w:val="005C7372"/>
    <w:rsid w:val="005C7D5B"/>
    <w:rsid w:val="005D0877"/>
    <w:rsid w:val="005D08A0"/>
    <w:rsid w:val="005D0E6F"/>
    <w:rsid w:val="005D132D"/>
    <w:rsid w:val="005D1C92"/>
    <w:rsid w:val="005D1ECD"/>
    <w:rsid w:val="005D2C1A"/>
    <w:rsid w:val="005D4A86"/>
    <w:rsid w:val="005D540F"/>
    <w:rsid w:val="005D72E1"/>
    <w:rsid w:val="005D7987"/>
    <w:rsid w:val="005D79AF"/>
    <w:rsid w:val="005E0485"/>
    <w:rsid w:val="005E091A"/>
    <w:rsid w:val="005E1771"/>
    <w:rsid w:val="005E1BE1"/>
    <w:rsid w:val="005E292F"/>
    <w:rsid w:val="005E44F0"/>
    <w:rsid w:val="005E50AF"/>
    <w:rsid w:val="005E5834"/>
    <w:rsid w:val="005E71A4"/>
    <w:rsid w:val="005E752B"/>
    <w:rsid w:val="005E7FA5"/>
    <w:rsid w:val="005F013A"/>
    <w:rsid w:val="005F1688"/>
    <w:rsid w:val="005F1DDC"/>
    <w:rsid w:val="005F1E75"/>
    <w:rsid w:val="005F2495"/>
    <w:rsid w:val="005F2FAE"/>
    <w:rsid w:val="005F35B7"/>
    <w:rsid w:val="005F385D"/>
    <w:rsid w:val="005F415C"/>
    <w:rsid w:val="005F44B0"/>
    <w:rsid w:val="005F4D09"/>
    <w:rsid w:val="005F52B7"/>
    <w:rsid w:val="005F5E43"/>
    <w:rsid w:val="005F6774"/>
    <w:rsid w:val="005F6C1C"/>
    <w:rsid w:val="005F70DA"/>
    <w:rsid w:val="005F7421"/>
    <w:rsid w:val="005F7827"/>
    <w:rsid w:val="005F7A8F"/>
    <w:rsid w:val="00601238"/>
    <w:rsid w:val="0060144F"/>
    <w:rsid w:val="0060232E"/>
    <w:rsid w:val="006028D5"/>
    <w:rsid w:val="00602D72"/>
    <w:rsid w:val="00603F9C"/>
    <w:rsid w:val="00605DFF"/>
    <w:rsid w:val="0060617C"/>
    <w:rsid w:val="00606BB1"/>
    <w:rsid w:val="006074E6"/>
    <w:rsid w:val="006078EE"/>
    <w:rsid w:val="0061007D"/>
    <w:rsid w:val="00610152"/>
    <w:rsid w:val="00611177"/>
    <w:rsid w:val="006117C7"/>
    <w:rsid w:val="006118BD"/>
    <w:rsid w:val="00614F71"/>
    <w:rsid w:val="0061572D"/>
    <w:rsid w:val="006159F8"/>
    <w:rsid w:val="00615B08"/>
    <w:rsid w:val="00615FBC"/>
    <w:rsid w:val="00616E5F"/>
    <w:rsid w:val="00617BAA"/>
    <w:rsid w:val="006208B6"/>
    <w:rsid w:val="00620AAD"/>
    <w:rsid w:val="00620DEA"/>
    <w:rsid w:val="00621116"/>
    <w:rsid w:val="0062152F"/>
    <w:rsid w:val="00621710"/>
    <w:rsid w:val="00622A47"/>
    <w:rsid w:val="00622D51"/>
    <w:rsid w:val="006233D3"/>
    <w:rsid w:val="006237F9"/>
    <w:rsid w:val="00623A08"/>
    <w:rsid w:val="006246A5"/>
    <w:rsid w:val="00625502"/>
    <w:rsid w:val="00625766"/>
    <w:rsid w:val="00625CA4"/>
    <w:rsid w:val="00625DDE"/>
    <w:rsid w:val="0062720A"/>
    <w:rsid w:val="0062773C"/>
    <w:rsid w:val="00627CA6"/>
    <w:rsid w:val="00627DF1"/>
    <w:rsid w:val="0063023E"/>
    <w:rsid w:val="006306E7"/>
    <w:rsid w:val="00630DF8"/>
    <w:rsid w:val="00632161"/>
    <w:rsid w:val="00633165"/>
    <w:rsid w:val="00633B61"/>
    <w:rsid w:val="00635551"/>
    <w:rsid w:val="006355CD"/>
    <w:rsid w:val="0063585F"/>
    <w:rsid w:val="0063590E"/>
    <w:rsid w:val="00635A5D"/>
    <w:rsid w:val="00636446"/>
    <w:rsid w:val="0064125F"/>
    <w:rsid w:val="00641313"/>
    <w:rsid w:val="0064272E"/>
    <w:rsid w:val="006438AD"/>
    <w:rsid w:val="0064414F"/>
    <w:rsid w:val="00647205"/>
    <w:rsid w:val="00650B14"/>
    <w:rsid w:val="00650D6D"/>
    <w:rsid w:val="006518EF"/>
    <w:rsid w:val="00652951"/>
    <w:rsid w:val="00653308"/>
    <w:rsid w:val="00653423"/>
    <w:rsid w:val="00655B22"/>
    <w:rsid w:val="00660210"/>
    <w:rsid w:val="00661425"/>
    <w:rsid w:val="006615AB"/>
    <w:rsid w:val="00662796"/>
    <w:rsid w:val="0066392E"/>
    <w:rsid w:val="006649D8"/>
    <w:rsid w:val="00664B1B"/>
    <w:rsid w:val="00664E9A"/>
    <w:rsid w:val="00665CB2"/>
    <w:rsid w:val="00670AB3"/>
    <w:rsid w:val="00671073"/>
    <w:rsid w:val="00671A65"/>
    <w:rsid w:val="0067245A"/>
    <w:rsid w:val="0067482D"/>
    <w:rsid w:val="00675838"/>
    <w:rsid w:val="00675B5F"/>
    <w:rsid w:val="00676752"/>
    <w:rsid w:val="00676BB8"/>
    <w:rsid w:val="006770AB"/>
    <w:rsid w:val="00680F7F"/>
    <w:rsid w:val="00681027"/>
    <w:rsid w:val="006814FA"/>
    <w:rsid w:val="006832CF"/>
    <w:rsid w:val="006833F3"/>
    <w:rsid w:val="00684EDC"/>
    <w:rsid w:val="006855A0"/>
    <w:rsid w:val="00685E58"/>
    <w:rsid w:val="00686332"/>
    <w:rsid w:val="00687615"/>
    <w:rsid w:val="006879DD"/>
    <w:rsid w:val="00687E1A"/>
    <w:rsid w:val="00687F49"/>
    <w:rsid w:val="00690A01"/>
    <w:rsid w:val="00691939"/>
    <w:rsid w:val="00693B42"/>
    <w:rsid w:val="00693C2B"/>
    <w:rsid w:val="00695190"/>
    <w:rsid w:val="00696B5D"/>
    <w:rsid w:val="00697FE4"/>
    <w:rsid w:val="006A1FF9"/>
    <w:rsid w:val="006A283F"/>
    <w:rsid w:val="006A40FD"/>
    <w:rsid w:val="006A4BBB"/>
    <w:rsid w:val="006A4C12"/>
    <w:rsid w:val="006A4DD2"/>
    <w:rsid w:val="006A726C"/>
    <w:rsid w:val="006A7847"/>
    <w:rsid w:val="006A7BBC"/>
    <w:rsid w:val="006B01C7"/>
    <w:rsid w:val="006B0913"/>
    <w:rsid w:val="006B0A5D"/>
    <w:rsid w:val="006B0DC9"/>
    <w:rsid w:val="006B242E"/>
    <w:rsid w:val="006B257C"/>
    <w:rsid w:val="006B2D31"/>
    <w:rsid w:val="006B3D7A"/>
    <w:rsid w:val="006B4948"/>
    <w:rsid w:val="006B510E"/>
    <w:rsid w:val="006B58A2"/>
    <w:rsid w:val="006B6E97"/>
    <w:rsid w:val="006B7660"/>
    <w:rsid w:val="006C018F"/>
    <w:rsid w:val="006C068D"/>
    <w:rsid w:val="006C1302"/>
    <w:rsid w:val="006C14B4"/>
    <w:rsid w:val="006C1B5A"/>
    <w:rsid w:val="006C1E7F"/>
    <w:rsid w:val="006C397D"/>
    <w:rsid w:val="006C3F03"/>
    <w:rsid w:val="006C4217"/>
    <w:rsid w:val="006C42EB"/>
    <w:rsid w:val="006C4493"/>
    <w:rsid w:val="006C4AC2"/>
    <w:rsid w:val="006C4F0A"/>
    <w:rsid w:val="006C5B4A"/>
    <w:rsid w:val="006C6388"/>
    <w:rsid w:val="006C6EE5"/>
    <w:rsid w:val="006C72D0"/>
    <w:rsid w:val="006C7545"/>
    <w:rsid w:val="006C784D"/>
    <w:rsid w:val="006C79B7"/>
    <w:rsid w:val="006D0C89"/>
    <w:rsid w:val="006D340B"/>
    <w:rsid w:val="006D3929"/>
    <w:rsid w:val="006D4AF2"/>
    <w:rsid w:val="006D4F4F"/>
    <w:rsid w:val="006D5B3B"/>
    <w:rsid w:val="006D5D00"/>
    <w:rsid w:val="006D5DE9"/>
    <w:rsid w:val="006D61FF"/>
    <w:rsid w:val="006D6377"/>
    <w:rsid w:val="006D66FD"/>
    <w:rsid w:val="006D7BC7"/>
    <w:rsid w:val="006D7D3E"/>
    <w:rsid w:val="006E000C"/>
    <w:rsid w:val="006E0519"/>
    <w:rsid w:val="006E0672"/>
    <w:rsid w:val="006E0694"/>
    <w:rsid w:val="006E101C"/>
    <w:rsid w:val="006E182F"/>
    <w:rsid w:val="006E246F"/>
    <w:rsid w:val="006E3021"/>
    <w:rsid w:val="006E3339"/>
    <w:rsid w:val="006E3FC6"/>
    <w:rsid w:val="006E408D"/>
    <w:rsid w:val="006E4356"/>
    <w:rsid w:val="006E4593"/>
    <w:rsid w:val="006E51DF"/>
    <w:rsid w:val="006E530F"/>
    <w:rsid w:val="006E57A8"/>
    <w:rsid w:val="006E6206"/>
    <w:rsid w:val="006E6701"/>
    <w:rsid w:val="006E6924"/>
    <w:rsid w:val="006E72B4"/>
    <w:rsid w:val="006E74BB"/>
    <w:rsid w:val="006F0E05"/>
    <w:rsid w:val="006F0E2D"/>
    <w:rsid w:val="006F144E"/>
    <w:rsid w:val="006F1832"/>
    <w:rsid w:val="006F3240"/>
    <w:rsid w:val="006F36F6"/>
    <w:rsid w:val="006F46C2"/>
    <w:rsid w:val="006F4729"/>
    <w:rsid w:val="006F4841"/>
    <w:rsid w:val="006F4FD2"/>
    <w:rsid w:val="006F6262"/>
    <w:rsid w:val="006F6374"/>
    <w:rsid w:val="006F6479"/>
    <w:rsid w:val="006F6BF8"/>
    <w:rsid w:val="006F75C2"/>
    <w:rsid w:val="006F7B15"/>
    <w:rsid w:val="0070046B"/>
    <w:rsid w:val="0070223F"/>
    <w:rsid w:val="007033DD"/>
    <w:rsid w:val="00704022"/>
    <w:rsid w:val="007043F5"/>
    <w:rsid w:val="00704860"/>
    <w:rsid w:val="0070503E"/>
    <w:rsid w:val="00705541"/>
    <w:rsid w:val="007059B3"/>
    <w:rsid w:val="00705F30"/>
    <w:rsid w:val="007065FC"/>
    <w:rsid w:val="0070734C"/>
    <w:rsid w:val="0070739D"/>
    <w:rsid w:val="0071085B"/>
    <w:rsid w:val="00710EE1"/>
    <w:rsid w:val="007131DE"/>
    <w:rsid w:val="00713889"/>
    <w:rsid w:val="00713BDD"/>
    <w:rsid w:val="00713EBB"/>
    <w:rsid w:val="007145B8"/>
    <w:rsid w:val="00714715"/>
    <w:rsid w:val="007147B9"/>
    <w:rsid w:val="00714CF9"/>
    <w:rsid w:val="0071529B"/>
    <w:rsid w:val="00715379"/>
    <w:rsid w:val="00715E10"/>
    <w:rsid w:val="0071745C"/>
    <w:rsid w:val="00717A66"/>
    <w:rsid w:val="00717B12"/>
    <w:rsid w:val="00717B53"/>
    <w:rsid w:val="007200A1"/>
    <w:rsid w:val="00720323"/>
    <w:rsid w:val="00720855"/>
    <w:rsid w:val="00720879"/>
    <w:rsid w:val="0072113F"/>
    <w:rsid w:val="007211FB"/>
    <w:rsid w:val="0072256B"/>
    <w:rsid w:val="00722A81"/>
    <w:rsid w:val="0072321D"/>
    <w:rsid w:val="007239CC"/>
    <w:rsid w:val="0072481B"/>
    <w:rsid w:val="007249D5"/>
    <w:rsid w:val="007256B8"/>
    <w:rsid w:val="00725DE6"/>
    <w:rsid w:val="007269CE"/>
    <w:rsid w:val="00726D2E"/>
    <w:rsid w:val="00730726"/>
    <w:rsid w:val="00730BC2"/>
    <w:rsid w:val="00730FFF"/>
    <w:rsid w:val="007315E1"/>
    <w:rsid w:val="0073237D"/>
    <w:rsid w:val="007326F2"/>
    <w:rsid w:val="0073349D"/>
    <w:rsid w:val="00734AAF"/>
    <w:rsid w:val="00734CBD"/>
    <w:rsid w:val="00734E8B"/>
    <w:rsid w:val="0073551D"/>
    <w:rsid w:val="00735657"/>
    <w:rsid w:val="0073695E"/>
    <w:rsid w:val="007400E1"/>
    <w:rsid w:val="00740489"/>
    <w:rsid w:val="00740C37"/>
    <w:rsid w:val="00741B93"/>
    <w:rsid w:val="00744858"/>
    <w:rsid w:val="007459E8"/>
    <w:rsid w:val="00746E32"/>
    <w:rsid w:val="00747205"/>
    <w:rsid w:val="00750662"/>
    <w:rsid w:val="00751516"/>
    <w:rsid w:val="00751FC0"/>
    <w:rsid w:val="0075241F"/>
    <w:rsid w:val="007533F4"/>
    <w:rsid w:val="0075380D"/>
    <w:rsid w:val="00753C93"/>
    <w:rsid w:val="00753F56"/>
    <w:rsid w:val="00754324"/>
    <w:rsid w:val="00754355"/>
    <w:rsid w:val="0075555D"/>
    <w:rsid w:val="007555DC"/>
    <w:rsid w:val="00755C2B"/>
    <w:rsid w:val="00756D9D"/>
    <w:rsid w:val="00757E3A"/>
    <w:rsid w:val="00760481"/>
    <w:rsid w:val="007616E5"/>
    <w:rsid w:val="007620E3"/>
    <w:rsid w:val="00763CC6"/>
    <w:rsid w:val="007645F6"/>
    <w:rsid w:val="00764C33"/>
    <w:rsid w:val="0076544D"/>
    <w:rsid w:val="00765711"/>
    <w:rsid w:val="00766037"/>
    <w:rsid w:val="00766207"/>
    <w:rsid w:val="00766909"/>
    <w:rsid w:val="00767919"/>
    <w:rsid w:val="007709A8"/>
    <w:rsid w:val="007709AE"/>
    <w:rsid w:val="00772058"/>
    <w:rsid w:val="00772BCB"/>
    <w:rsid w:val="00772DC6"/>
    <w:rsid w:val="007732D2"/>
    <w:rsid w:val="0077353C"/>
    <w:rsid w:val="0077373C"/>
    <w:rsid w:val="0077380A"/>
    <w:rsid w:val="0077438B"/>
    <w:rsid w:val="00774ED4"/>
    <w:rsid w:val="0077597D"/>
    <w:rsid w:val="007768F0"/>
    <w:rsid w:val="0077770C"/>
    <w:rsid w:val="00777F86"/>
    <w:rsid w:val="00782B6A"/>
    <w:rsid w:val="00782BC9"/>
    <w:rsid w:val="00783CD4"/>
    <w:rsid w:val="00783D32"/>
    <w:rsid w:val="0078426B"/>
    <w:rsid w:val="0078467F"/>
    <w:rsid w:val="00786DA2"/>
    <w:rsid w:val="00786F48"/>
    <w:rsid w:val="00787717"/>
    <w:rsid w:val="00787C63"/>
    <w:rsid w:val="00787E4A"/>
    <w:rsid w:val="00791C2E"/>
    <w:rsid w:val="00792233"/>
    <w:rsid w:val="00795C18"/>
    <w:rsid w:val="00795FD5"/>
    <w:rsid w:val="00796682"/>
    <w:rsid w:val="007969C0"/>
    <w:rsid w:val="00797240"/>
    <w:rsid w:val="00797C07"/>
    <w:rsid w:val="007A0FFD"/>
    <w:rsid w:val="007A14CC"/>
    <w:rsid w:val="007A323E"/>
    <w:rsid w:val="007A345E"/>
    <w:rsid w:val="007A34C3"/>
    <w:rsid w:val="007A3786"/>
    <w:rsid w:val="007A3F61"/>
    <w:rsid w:val="007A4507"/>
    <w:rsid w:val="007A4912"/>
    <w:rsid w:val="007A4B92"/>
    <w:rsid w:val="007A4D51"/>
    <w:rsid w:val="007A4F81"/>
    <w:rsid w:val="007A66A8"/>
    <w:rsid w:val="007A6BC1"/>
    <w:rsid w:val="007A72D5"/>
    <w:rsid w:val="007A77D8"/>
    <w:rsid w:val="007B0096"/>
    <w:rsid w:val="007B025E"/>
    <w:rsid w:val="007B0262"/>
    <w:rsid w:val="007B213B"/>
    <w:rsid w:val="007B2233"/>
    <w:rsid w:val="007B2426"/>
    <w:rsid w:val="007B2966"/>
    <w:rsid w:val="007B2998"/>
    <w:rsid w:val="007B5C68"/>
    <w:rsid w:val="007B5DA4"/>
    <w:rsid w:val="007B65E0"/>
    <w:rsid w:val="007B6E7A"/>
    <w:rsid w:val="007C013A"/>
    <w:rsid w:val="007C05AB"/>
    <w:rsid w:val="007C0AFC"/>
    <w:rsid w:val="007C1287"/>
    <w:rsid w:val="007C13B3"/>
    <w:rsid w:val="007C2725"/>
    <w:rsid w:val="007C50AB"/>
    <w:rsid w:val="007C5264"/>
    <w:rsid w:val="007C58A6"/>
    <w:rsid w:val="007C61BE"/>
    <w:rsid w:val="007C6513"/>
    <w:rsid w:val="007C77AD"/>
    <w:rsid w:val="007C7AEE"/>
    <w:rsid w:val="007D0DB1"/>
    <w:rsid w:val="007D1623"/>
    <w:rsid w:val="007D24C1"/>
    <w:rsid w:val="007D2957"/>
    <w:rsid w:val="007D2DB6"/>
    <w:rsid w:val="007D368B"/>
    <w:rsid w:val="007D3D29"/>
    <w:rsid w:val="007D4073"/>
    <w:rsid w:val="007D526F"/>
    <w:rsid w:val="007D57D5"/>
    <w:rsid w:val="007D6016"/>
    <w:rsid w:val="007D6682"/>
    <w:rsid w:val="007D6B48"/>
    <w:rsid w:val="007E06E0"/>
    <w:rsid w:val="007E169B"/>
    <w:rsid w:val="007E19FF"/>
    <w:rsid w:val="007E1B47"/>
    <w:rsid w:val="007E1F76"/>
    <w:rsid w:val="007E236F"/>
    <w:rsid w:val="007E46AA"/>
    <w:rsid w:val="007E55F5"/>
    <w:rsid w:val="007E7C50"/>
    <w:rsid w:val="007E7DB7"/>
    <w:rsid w:val="007F105D"/>
    <w:rsid w:val="007F113B"/>
    <w:rsid w:val="007F1A1C"/>
    <w:rsid w:val="007F2D0E"/>
    <w:rsid w:val="007F3400"/>
    <w:rsid w:val="007F3DC9"/>
    <w:rsid w:val="007F3EE6"/>
    <w:rsid w:val="007F4C89"/>
    <w:rsid w:val="007F4FF9"/>
    <w:rsid w:val="007F6D10"/>
    <w:rsid w:val="007F78E9"/>
    <w:rsid w:val="008006B6"/>
    <w:rsid w:val="00800928"/>
    <w:rsid w:val="00800F1A"/>
    <w:rsid w:val="008011B3"/>
    <w:rsid w:val="0080209A"/>
    <w:rsid w:val="00802157"/>
    <w:rsid w:val="008024F9"/>
    <w:rsid w:val="00802586"/>
    <w:rsid w:val="00802E0E"/>
    <w:rsid w:val="008048B0"/>
    <w:rsid w:val="0080539A"/>
    <w:rsid w:val="00805F59"/>
    <w:rsid w:val="00806272"/>
    <w:rsid w:val="00806A77"/>
    <w:rsid w:val="00806B1D"/>
    <w:rsid w:val="00807F37"/>
    <w:rsid w:val="00810C93"/>
    <w:rsid w:val="00810D0E"/>
    <w:rsid w:val="00810ED7"/>
    <w:rsid w:val="0081144C"/>
    <w:rsid w:val="00811A7F"/>
    <w:rsid w:val="0081317A"/>
    <w:rsid w:val="00813336"/>
    <w:rsid w:val="00813558"/>
    <w:rsid w:val="008135B0"/>
    <w:rsid w:val="00813BAF"/>
    <w:rsid w:val="008147AE"/>
    <w:rsid w:val="00815774"/>
    <w:rsid w:val="00815874"/>
    <w:rsid w:val="00815D7F"/>
    <w:rsid w:val="0081615C"/>
    <w:rsid w:val="00816BA0"/>
    <w:rsid w:val="00816C0F"/>
    <w:rsid w:val="00817B51"/>
    <w:rsid w:val="00820B43"/>
    <w:rsid w:val="00820C64"/>
    <w:rsid w:val="008216DD"/>
    <w:rsid w:val="00821FBC"/>
    <w:rsid w:val="00823948"/>
    <w:rsid w:val="00824777"/>
    <w:rsid w:val="008258FF"/>
    <w:rsid w:val="00826227"/>
    <w:rsid w:val="00826272"/>
    <w:rsid w:val="008265A1"/>
    <w:rsid w:val="00827880"/>
    <w:rsid w:val="008305BE"/>
    <w:rsid w:val="008316E5"/>
    <w:rsid w:val="00831FBD"/>
    <w:rsid w:val="00833274"/>
    <w:rsid w:val="00833EAE"/>
    <w:rsid w:val="00833F0A"/>
    <w:rsid w:val="008348DD"/>
    <w:rsid w:val="0083623C"/>
    <w:rsid w:val="00837327"/>
    <w:rsid w:val="0083755D"/>
    <w:rsid w:val="00837F07"/>
    <w:rsid w:val="008415AE"/>
    <w:rsid w:val="00841694"/>
    <w:rsid w:val="008419D7"/>
    <w:rsid w:val="00841BD8"/>
    <w:rsid w:val="00842218"/>
    <w:rsid w:val="00842544"/>
    <w:rsid w:val="00842908"/>
    <w:rsid w:val="00842B20"/>
    <w:rsid w:val="00842D9B"/>
    <w:rsid w:val="00843B51"/>
    <w:rsid w:val="00843D3E"/>
    <w:rsid w:val="00844781"/>
    <w:rsid w:val="00845717"/>
    <w:rsid w:val="00845B75"/>
    <w:rsid w:val="008461EB"/>
    <w:rsid w:val="008475F2"/>
    <w:rsid w:val="00847BCE"/>
    <w:rsid w:val="00847DEC"/>
    <w:rsid w:val="008500B0"/>
    <w:rsid w:val="00851602"/>
    <w:rsid w:val="00851C85"/>
    <w:rsid w:val="00851DA4"/>
    <w:rsid w:val="008520AC"/>
    <w:rsid w:val="00852FD8"/>
    <w:rsid w:val="008532A3"/>
    <w:rsid w:val="00853686"/>
    <w:rsid w:val="008536BD"/>
    <w:rsid w:val="00853901"/>
    <w:rsid w:val="0085482A"/>
    <w:rsid w:val="008559BD"/>
    <w:rsid w:val="00856222"/>
    <w:rsid w:val="00856463"/>
    <w:rsid w:val="0085652F"/>
    <w:rsid w:val="008566FC"/>
    <w:rsid w:val="00857025"/>
    <w:rsid w:val="008578EF"/>
    <w:rsid w:val="008605AC"/>
    <w:rsid w:val="008613E7"/>
    <w:rsid w:val="00861FF5"/>
    <w:rsid w:val="00862E04"/>
    <w:rsid w:val="00862F6C"/>
    <w:rsid w:val="00862FFC"/>
    <w:rsid w:val="008649F4"/>
    <w:rsid w:val="00864ABF"/>
    <w:rsid w:val="00865300"/>
    <w:rsid w:val="00866011"/>
    <w:rsid w:val="008670F8"/>
    <w:rsid w:val="00870200"/>
    <w:rsid w:val="00870B98"/>
    <w:rsid w:val="00872EED"/>
    <w:rsid w:val="00872F2D"/>
    <w:rsid w:val="008731FB"/>
    <w:rsid w:val="00873202"/>
    <w:rsid w:val="008734E0"/>
    <w:rsid w:val="00874970"/>
    <w:rsid w:val="00874CBD"/>
    <w:rsid w:val="008765B4"/>
    <w:rsid w:val="00876F3D"/>
    <w:rsid w:val="00877932"/>
    <w:rsid w:val="00877D0F"/>
    <w:rsid w:val="00877EFD"/>
    <w:rsid w:val="008806EA"/>
    <w:rsid w:val="00880746"/>
    <w:rsid w:val="008816C9"/>
    <w:rsid w:val="00882046"/>
    <w:rsid w:val="008825AA"/>
    <w:rsid w:val="00882BE7"/>
    <w:rsid w:val="00883344"/>
    <w:rsid w:val="00883764"/>
    <w:rsid w:val="008839D8"/>
    <w:rsid w:val="00883B62"/>
    <w:rsid w:val="00883ED0"/>
    <w:rsid w:val="008854F4"/>
    <w:rsid w:val="0088570B"/>
    <w:rsid w:val="00885967"/>
    <w:rsid w:val="00885AC0"/>
    <w:rsid w:val="00886019"/>
    <w:rsid w:val="00886BC3"/>
    <w:rsid w:val="00890043"/>
    <w:rsid w:val="008904D1"/>
    <w:rsid w:val="00890BAA"/>
    <w:rsid w:val="00891636"/>
    <w:rsid w:val="00891FF3"/>
    <w:rsid w:val="0089283B"/>
    <w:rsid w:val="00892FD2"/>
    <w:rsid w:val="00894776"/>
    <w:rsid w:val="00894884"/>
    <w:rsid w:val="00894942"/>
    <w:rsid w:val="00895876"/>
    <w:rsid w:val="00896388"/>
    <w:rsid w:val="00896943"/>
    <w:rsid w:val="00897012"/>
    <w:rsid w:val="008973C5"/>
    <w:rsid w:val="0089791D"/>
    <w:rsid w:val="00897CB1"/>
    <w:rsid w:val="008A056E"/>
    <w:rsid w:val="008A17C6"/>
    <w:rsid w:val="008A1853"/>
    <w:rsid w:val="008A203A"/>
    <w:rsid w:val="008A2975"/>
    <w:rsid w:val="008A3595"/>
    <w:rsid w:val="008A3972"/>
    <w:rsid w:val="008A3AB8"/>
    <w:rsid w:val="008A3AD9"/>
    <w:rsid w:val="008A44FA"/>
    <w:rsid w:val="008A4B33"/>
    <w:rsid w:val="008A4C61"/>
    <w:rsid w:val="008A57D5"/>
    <w:rsid w:val="008A5D72"/>
    <w:rsid w:val="008A6D6E"/>
    <w:rsid w:val="008A70E5"/>
    <w:rsid w:val="008A7F01"/>
    <w:rsid w:val="008B0BFD"/>
    <w:rsid w:val="008B0F9E"/>
    <w:rsid w:val="008B121A"/>
    <w:rsid w:val="008B13C8"/>
    <w:rsid w:val="008B1A43"/>
    <w:rsid w:val="008B2B34"/>
    <w:rsid w:val="008B2FC2"/>
    <w:rsid w:val="008B3BA1"/>
    <w:rsid w:val="008B3C6F"/>
    <w:rsid w:val="008B45B2"/>
    <w:rsid w:val="008B46DB"/>
    <w:rsid w:val="008B49B1"/>
    <w:rsid w:val="008B6D87"/>
    <w:rsid w:val="008B7461"/>
    <w:rsid w:val="008B7950"/>
    <w:rsid w:val="008B7B5B"/>
    <w:rsid w:val="008C00E6"/>
    <w:rsid w:val="008C06AE"/>
    <w:rsid w:val="008C1335"/>
    <w:rsid w:val="008C2C38"/>
    <w:rsid w:val="008C385D"/>
    <w:rsid w:val="008C3F16"/>
    <w:rsid w:val="008C473A"/>
    <w:rsid w:val="008C549C"/>
    <w:rsid w:val="008C6466"/>
    <w:rsid w:val="008C7307"/>
    <w:rsid w:val="008C7444"/>
    <w:rsid w:val="008C7520"/>
    <w:rsid w:val="008C7DBD"/>
    <w:rsid w:val="008D0110"/>
    <w:rsid w:val="008D030C"/>
    <w:rsid w:val="008D07E1"/>
    <w:rsid w:val="008D0E73"/>
    <w:rsid w:val="008D112F"/>
    <w:rsid w:val="008D2534"/>
    <w:rsid w:val="008D3109"/>
    <w:rsid w:val="008D39A8"/>
    <w:rsid w:val="008D3B32"/>
    <w:rsid w:val="008D3D05"/>
    <w:rsid w:val="008D458A"/>
    <w:rsid w:val="008D562B"/>
    <w:rsid w:val="008E08C6"/>
    <w:rsid w:val="008E1292"/>
    <w:rsid w:val="008E1643"/>
    <w:rsid w:val="008E165A"/>
    <w:rsid w:val="008E2093"/>
    <w:rsid w:val="008E3AA8"/>
    <w:rsid w:val="008E4148"/>
    <w:rsid w:val="008E5424"/>
    <w:rsid w:val="008E5605"/>
    <w:rsid w:val="008E5D62"/>
    <w:rsid w:val="008E6E57"/>
    <w:rsid w:val="008F0C70"/>
    <w:rsid w:val="008F13C5"/>
    <w:rsid w:val="008F1A0D"/>
    <w:rsid w:val="008F2545"/>
    <w:rsid w:val="008F2777"/>
    <w:rsid w:val="008F3245"/>
    <w:rsid w:val="008F49AE"/>
    <w:rsid w:val="008F4CF2"/>
    <w:rsid w:val="008F4E71"/>
    <w:rsid w:val="008F4EE3"/>
    <w:rsid w:val="008F51E9"/>
    <w:rsid w:val="008F55A8"/>
    <w:rsid w:val="008F56A7"/>
    <w:rsid w:val="008F57F6"/>
    <w:rsid w:val="008F5EC1"/>
    <w:rsid w:val="008F6F2A"/>
    <w:rsid w:val="00900B65"/>
    <w:rsid w:val="009023E0"/>
    <w:rsid w:val="0090386D"/>
    <w:rsid w:val="00903F9F"/>
    <w:rsid w:val="0090466D"/>
    <w:rsid w:val="00905742"/>
    <w:rsid w:val="00906086"/>
    <w:rsid w:val="00906C5D"/>
    <w:rsid w:val="00906EAB"/>
    <w:rsid w:val="009073F2"/>
    <w:rsid w:val="00910B29"/>
    <w:rsid w:val="00911169"/>
    <w:rsid w:val="00911581"/>
    <w:rsid w:val="0091194A"/>
    <w:rsid w:val="00912443"/>
    <w:rsid w:val="009133B1"/>
    <w:rsid w:val="00913871"/>
    <w:rsid w:val="00913A11"/>
    <w:rsid w:val="00914620"/>
    <w:rsid w:val="00915073"/>
    <w:rsid w:val="00915C2D"/>
    <w:rsid w:val="00916240"/>
    <w:rsid w:val="0091701F"/>
    <w:rsid w:val="00922260"/>
    <w:rsid w:val="0092278E"/>
    <w:rsid w:val="00923904"/>
    <w:rsid w:val="00923F3B"/>
    <w:rsid w:val="009243DB"/>
    <w:rsid w:val="00924C13"/>
    <w:rsid w:val="00924CA0"/>
    <w:rsid w:val="00925E75"/>
    <w:rsid w:val="0092608B"/>
    <w:rsid w:val="009263F2"/>
    <w:rsid w:val="0092662F"/>
    <w:rsid w:val="0092691D"/>
    <w:rsid w:val="00927870"/>
    <w:rsid w:val="00927B17"/>
    <w:rsid w:val="00927B27"/>
    <w:rsid w:val="0093022F"/>
    <w:rsid w:val="009304BC"/>
    <w:rsid w:val="009305F6"/>
    <w:rsid w:val="00931116"/>
    <w:rsid w:val="00931B88"/>
    <w:rsid w:val="00931F30"/>
    <w:rsid w:val="009327A1"/>
    <w:rsid w:val="00933AA8"/>
    <w:rsid w:val="00933BF5"/>
    <w:rsid w:val="00934A01"/>
    <w:rsid w:val="009358EE"/>
    <w:rsid w:val="00935C04"/>
    <w:rsid w:val="00936053"/>
    <w:rsid w:val="0093662C"/>
    <w:rsid w:val="0093675D"/>
    <w:rsid w:val="00936AD5"/>
    <w:rsid w:val="00936AE9"/>
    <w:rsid w:val="00936FB9"/>
    <w:rsid w:val="00937ADD"/>
    <w:rsid w:val="00940652"/>
    <w:rsid w:val="00940AF6"/>
    <w:rsid w:val="00941238"/>
    <w:rsid w:val="0094210B"/>
    <w:rsid w:val="00942541"/>
    <w:rsid w:val="0094269E"/>
    <w:rsid w:val="009437B9"/>
    <w:rsid w:val="00943F59"/>
    <w:rsid w:val="00944216"/>
    <w:rsid w:val="009444C9"/>
    <w:rsid w:val="0094464C"/>
    <w:rsid w:val="00944751"/>
    <w:rsid w:val="0094675B"/>
    <w:rsid w:val="00946C9B"/>
    <w:rsid w:val="00947359"/>
    <w:rsid w:val="00950F98"/>
    <w:rsid w:val="00951C1C"/>
    <w:rsid w:val="00952305"/>
    <w:rsid w:val="00952918"/>
    <w:rsid w:val="00952D63"/>
    <w:rsid w:val="009548FF"/>
    <w:rsid w:val="00955AA9"/>
    <w:rsid w:val="00955BBA"/>
    <w:rsid w:val="00955C2F"/>
    <w:rsid w:val="00955DE6"/>
    <w:rsid w:val="00956C28"/>
    <w:rsid w:val="00956CBB"/>
    <w:rsid w:val="00957342"/>
    <w:rsid w:val="00957FC2"/>
    <w:rsid w:val="00960856"/>
    <w:rsid w:val="00960911"/>
    <w:rsid w:val="00960D3B"/>
    <w:rsid w:val="009631A2"/>
    <w:rsid w:val="00963E97"/>
    <w:rsid w:val="00964D87"/>
    <w:rsid w:val="00965516"/>
    <w:rsid w:val="009658DF"/>
    <w:rsid w:val="00965C98"/>
    <w:rsid w:val="00970F36"/>
    <w:rsid w:val="0097256D"/>
    <w:rsid w:val="009742F2"/>
    <w:rsid w:val="009744F6"/>
    <w:rsid w:val="009745F5"/>
    <w:rsid w:val="00974E64"/>
    <w:rsid w:val="0097526F"/>
    <w:rsid w:val="009768DE"/>
    <w:rsid w:val="00976921"/>
    <w:rsid w:val="009771D3"/>
    <w:rsid w:val="009777FA"/>
    <w:rsid w:val="00977B36"/>
    <w:rsid w:val="00977EE9"/>
    <w:rsid w:val="009808FD"/>
    <w:rsid w:val="0098093E"/>
    <w:rsid w:val="00980C6B"/>
    <w:rsid w:val="00981237"/>
    <w:rsid w:val="009812BF"/>
    <w:rsid w:val="00981844"/>
    <w:rsid w:val="00981DDE"/>
    <w:rsid w:val="00981F77"/>
    <w:rsid w:val="00983CF0"/>
    <w:rsid w:val="00984820"/>
    <w:rsid w:val="00985843"/>
    <w:rsid w:val="00986E48"/>
    <w:rsid w:val="009875F3"/>
    <w:rsid w:val="009878E3"/>
    <w:rsid w:val="009911D7"/>
    <w:rsid w:val="00991D6E"/>
    <w:rsid w:val="00991D83"/>
    <w:rsid w:val="00992296"/>
    <w:rsid w:val="00992944"/>
    <w:rsid w:val="00992AF2"/>
    <w:rsid w:val="00994D39"/>
    <w:rsid w:val="009956CC"/>
    <w:rsid w:val="0099642A"/>
    <w:rsid w:val="009965E0"/>
    <w:rsid w:val="00996CE9"/>
    <w:rsid w:val="009A1F87"/>
    <w:rsid w:val="009A2984"/>
    <w:rsid w:val="009A4760"/>
    <w:rsid w:val="009A4926"/>
    <w:rsid w:val="009A4ED3"/>
    <w:rsid w:val="009A58CF"/>
    <w:rsid w:val="009A60CE"/>
    <w:rsid w:val="009A7926"/>
    <w:rsid w:val="009A7C78"/>
    <w:rsid w:val="009A7DE1"/>
    <w:rsid w:val="009A7EA0"/>
    <w:rsid w:val="009A7EE5"/>
    <w:rsid w:val="009B073E"/>
    <w:rsid w:val="009B0F61"/>
    <w:rsid w:val="009B13A0"/>
    <w:rsid w:val="009B1C88"/>
    <w:rsid w:val="009B1EDB"/>
    <w:rsid w:val="009B1F39"/>
    <w:rsid w:val="009B305B"/>
    <w:rsid w:val="009B49B1"/>
    <w:rsid w:val="009B54D3"/>
    <w:rsid w:val="009B57B0"/>
    <w:rsid w:val="009B586E"/>
    <w:rsid w:val="009B5EA3"/>
    <w:rsid w:val="009B5ED3"/>
    <w:rsid w:val="009B6003"/>
    <w:rsid w:val="009B6962"/>
    <w:rsid w:val="009C0086"/>
    <w:rsid w:val="009C01E5"/>
    <w:rsid w:val="009C0FBA"/>
    <w:rsid w:val="009C1170"/>
    <w:rsid w:val="009C178A"/>
    <w:rsid w:val="009C18B5"/>
    <w:rsid w:val="009C1B20"/>
    <w:rsid w:val="009C2074"/>
    <w:rsid w:val="009C323D"/>
    <w:rsid w:val="009C3320"/>
    <w:rsid w:val="009C3C75"/>
    <w:rsid w:val="009C4F05"/>
    <w:rsid w:val="009C5BC6"/>
    <w:rsid w:val="009C750B"/>
    <w:rsid w:val="009C7E66"/>
    <w:rsid w:val="009D2808"/>
    <w:rsid w:val="009D39D2"/>
    <w:rsid w:val="009D41D9"/>
    <w:rsid w:val="009D462E"/>
    <w:rsid w:val="009D4760"/>
    <w:rsid w:val="009D505F"/>
    <w:rsid w:val="009D54C5"/>
    <w:rsid w:val="009D5509"/>
    <w:rsid w:val="009D5B74"/>
    <w:rsid w:val="009D6109"/>
    <w:rsid w:val="009D6ADB"/>
    <w:rsid w:val="009D7BDD"/>
    <w:rsid w:val="009E0B15"/>
    <w:rsid w:val="009E250B"/>
    <w:rsid w:val="009E319D"/>
    <w:rsid w:val="009E407D"/>
    <w:rsid w:val="009E4348"/>
    <w:rsid w:val="009E457B"/>
    <w:rsid w:val="009E45AF"/>
    <w:rsid w:val="009E4724"/>
    <w:rsid w:val="009E4EA6"/>
    <w:rsid w:val="009E4F31"/>
    <w:rsid w:val="009E556E"/>
    <w:rsid w:val="009E5907"/>
    <w:rsid w:val="009E5F08"/>
    <w:rsid w:val="009E6A6A"/>
    <w:rsid w:val="009E6FBF"/>
    <w:rsid w:val="009F0697"/>
    <w:rsid w:val="009F0A5C"/>
    <w:rsid w:val="009F169C"/>
    <w:rsid w:val="009F18AA"/>
    <w:rsid w:val="009F1C68"/>
    <w:rsid w:val="009F1F19"/>
    <w:rsid w:val="009F259C"/>
    <w:rsid w:val="009F2686"/>
    <w:rsid w:val="009F373C"/>
    <w:rsid w:val="009F4282"/>
    <w:rsid w:val="009F4EF6"/>
    <w:rsid w:val="009F511B"/>
    <w:rsid w:val="009F5192"/>
    <w:rsid w:val="009F5F4A"/>
    <w:rsid w:val="009F7813"/>
    <w:rsid w:val="00A0032A"/>
    <w:rsid w:val="00A005A3"/>
    <w:rsid w:val="00A018E3"/>
    <w:rsid w:val="00A031A7"/>
    <w:rsid w:val="00A04255"/>
    <w:rsid w:val="00A0464C"/>
    <w:rsid w:val="00A0496A"/>
    <w:rsid w:val="00A05C2C"/>
    <w:rsid w:val="00A06F4F"/>
    <w:rsid w:val="00A07223"/>
    <w:rsid w:val="00A07862"/>
    <w:rsid w:val="00A1076C"/>
    <w:rsid w:val="00A10FE0"/>
    <w:rsid w:val="00A117B9"/>
    <w:rsid w:val="00A11C6E"/>
    <w:rsid w:val="00A14137"/>
    <w:rsid w:val="00A155FB"/>
    <w:rsid w:val="00A15E45"/>
    <w:rsid w:val="00A17693"/>
    <w:rsid w:val="00A17B74"/>
    <w:rsid w:val="00A2032D"/>
    <w:rsid w:val="00A209C1"/>
    <w:rsid w:val="00A20AA7"/>
    <w:rsid w:val="00A219FB"/>
    <w:rsid w:val="00A224E5"/>
    <w:rsid w:val="00A2379F"/>
    <w:rsid w:val="00A24FBD"/>
    <w:rsid w:val="00A25750"/>
    <w:rsid w:val="00A26537"/>
    <w:rsid w:val="00A2667E"/>
    <w:rsid w:val="00A2676D"/>
    <w:rsid w:val="00A26BD6"/>
    <w:rsid w:val="00A30AF7"/>
    <w:rsid w:val="00A30B45"/>
    <w:rsid w:val="00A30D5F"/>
    <w:rsid w:val="00A30FB9"/>
    <w:rsid w:val="00A318E5"/>
    <w:rsid w:val="00A31B0C"/>
    <w:rsid w:val="00A31C56"/>
    <w:rsid w:val="00A3248A"/>
    <w:rsid w:val="00A3309E"/>
    <w:rsid w:val="00A340F3"/>
    <w:rsid w:val="00A349BE"/>
    <w:rsid w:val="00A35476"/>
    <w:rsid w:val="00A3653D"/>
    <w:rsid w:val="00A36721"/>
    <w:rsid w:val="00A36A22"/>
    <w:rsid w:val="00A37B06"/>
    <w:rsid w:val="00A37B64"/>
    <w:rsid w:val="00A4187A"/>
    <w:rsid w:val="00A41E85"/>
    <w:rsid w:val="00A41EE4"/>
    <w:rsid w:val="00A42843"/>
    <w:rsid w:val="00A42D2F"/>
    <w:rsid w:val="00A43AE1"/>
    <w:rsid w:val="00A442D2"/>
    <w:rsid w:val="00A44624"/>
    <w:rsid w:val="00A450C7"/>
    <w:rsid w:val="00A454DE"/>
    <w:rsid w:val="00A46786"/>
    <w:rsid w:val="00A46F59"/>
    <w:rsid w:val="00A47E3C"/>
    <w:rsid w:val="00A506A1"/>
    <w:rsid w:val="00A50D49"/>
    <w:rsid w:val="00A50D69"/>
    <w:rsid w:val="00A51092"/>
    <w:rsid w:val="00A52370"/>
    <w:rsid w:val="00A52FA1"/>
    <w:rsid w:val="00A54BB0"/>
    <w:rsid w:val="00A5534B"/>
    <w:rsid w:val="00A55826"/>
    <w:rsid w:val="00A55B94"/>
    <w:rsid w:val="00A560BB"/>
    <w:rsid w:val="00A56238"/>
    <w:rsid w:val="00A57A80"/>
    <w:rsid w:val="00A63701"/>
    <w:rsid w:val="00A63DCF"/>
    <w:rsid w:val="00A654E1"/>
    <w:rsid w:val="00A658D0"/>
    <w:rsid w:val="00A65A52"/>
    <w:rsid w:val="00A65CF5"/>
    <w:rsid w:val="00A65DE9"/>
    <w:rsid w:val="00A66796"/>
    <w:rsid w:val="00A6680A"/>
    <w:rsid w:val="00A66FA1"/>
    <w:rsid w:val="00A67054"/>
    <w:rsid w:val="00A67994"/>
    <w:rsid w:val="00A701D3"/>
    <w:rsid w:val="00A726F6"/>
    <w:rsid w:val="00A73AB8"/>
    <w:rsid w:val="00A7400E"/>
    <w:rsid w:val="00A745E4"/>
    <w:rsid w:val="00A74998"/>
    <w:rsid w:val="00A74F6B"/>
    <w:rsid w:val="00A758BD"/>
    <w:rsid w:val="00A7598F"/>
    <w:rsid w:val="00A761C7"/>
    <w:rsid w:val="00A76D72"/>
    <w:rsid w:val="00A7706B"/>
    <w:rsid w:val="00A77266"/>
    <w:rsid w:val="00A7790E"/>
    <w:rsid w:val="00A77FE1"/>
    <w:rsid w:val="00A80C3B"/>
    <w:rsid w:val="00A810C5"/>
    <w:rsid w:val="00A81AB1"/>
    <w:rsid w:val="00A81C7A"/>
    <w:rsid w:val="00A821D3"/>
    <w:rsid w:val="00A82BAC"/>
    <w:rsid w:val="00A82C24"/>
    <w:rsid w:val="00A82E7D"/>
    <w:rsid w:val="00A82F22"/>
    <w:rsid w:val="00A82F77"/>
    <w:rsid w:val="00A83963"/>
    <w:rsid w:val="00A839FA"/>
    <w:rsid w:val="00A83EB6"/>
    <w:rsid w:val="00A8478F"/>
    <w:rsid w:val="00A85974"/>
    <w:rsid w:val="00A86392"/>
    <w:rsid w:val="00A87C08"/>
    <w:rsid w:val="00A90486"/>
    <w:rsid w:val="00A906B8"/>
    <w:rsid w:val="00A906CD"/>
    <w:rsid w:val="00A918FA"/>
    <w:rsid w:val="00A9311E"/>
    <w:rsid w:val="00A93DFC"/>
    <w:rsid w:val="00A943E0"/>
    <w:rsid w:val="00A94685"/>
    <w:rsid w:val="00A94B96"/>
    <w:rsid w:val="00A95675"/>
    <w:rsid w:val="00A95DB1"/>
    <w:rsid w:val="00A95EC2"/>
    <w:rsid w:val="00A96BA4"/>
    <w:rsid w:val="00A96C5F"/>
    <w:rsid w:val="00A971A4"/>
    <w:rsid w:val="00A97D31"/>
    <w:rsid w:val="00AA1194"/>
    <w:rsid w:val="00AA2A0E"/>
    <w:rsid w:val="00AA2D5E"/>
    <w:rsid w:val="00AA3A35"/>
    <w:rsid w:val="00AA3E7C"/>
    <w:rsid w:val="00AA43C9"/>
    <w:rsid w:val="00AA491E"/>
    <w:rsid w:val="00AA59A7"/>
    <w:rsid w:val="00AA5E72"/>
    <w:rsid w:val="00AA60E0"/>
    <w:rsid w:val="00AB0154"/>
    <w:rsid w:val="00AB0379"/>
    <w:rsid w:val="00AB0542"/>
    <w:rsid w:val="00AB0F46"/>
    <w:rsid w:val="00AB1260"/>
    <w:rsid w:val="00AB19A9"/>
    <w:rsid w:val="00AB19B8"/>
    <w:rsid w:val="00AB3A39"/>
    <w:rsid w:val="00AB3C63"/>
    <w:rsid w:val="00AB3D19"/>
    <w:rsid w:val="00AB4150"/>
    <w:rsid w:val="00AB4698"/>
    <w:rsid w:val="00AB4FAC"/>
    <w:rsid w:val="00AB56A4"/>
    <w:rsid w:val="00AB57E6"/>
    <w:rsid w:val="00AB60D1"/>
    <w:rsid w:val="00AB61B5"/>
    <w:rsid w:val="00AB61D6"/>
    <w:rsid w:val="00AB6B98"/>
    <w:rsid w:val="00AB6BCC"/>
    <w:rsid w:val="00AB70EB"/>
    <w:rsid w:val="00AB76FC"/>
    <w:rsid w:val="00AB776F"/>
    <w:rsid w:val="00AB7D52"/>
    <w:rsid w:val="00AC0D8D"/>
    <w:rsid w:val="00AC0F64"/>
    <w:rsid w:val="00AC1B3F"/>
    <w:rsid w:val="00AC2CF8"/>
    <w:rsid w:val="00AC2DFA"/>
    <w:rsid w:val="00AC4995"/>
    <w:rsid w:val="00AC704B"/>
    <w:rsid w:val="00AC71AF"/>
    <w:rsid w:val="00AC74B2"/>
    <w:rsid w:val="00AD04D9"/>
    <w:rsid w:val="00AD1ACA"/>
    <w:rsid w:val="00AD2C6F"/>
    <w:rsid w:val="00AD303A"/>
    <w:rsid w:val="00AD330F"/>
    <w:rsid w:val="00AD356B"/>
    <w:rsid w:val="00AD4296"/>
    <w:rsid w:val="00AD4497"/>
    <w:rsid w:val="00AD51D4"/>
    <w:rsid w:val="00AD53F5"/>
    <w:rsid w:val="00AD5A21"/>
    <w:rsid w:val="00AD6137"/>
    <w:rsid w:val="00AD66E5"/>
    <w:rsid w:val="00AD67EE"/>
    <w:rsid w:val="00AD6D2F"/>
    <w:rsid w:val="00AD7350"/>
    <w:rsid w:val="00AD7546"/>
    <w:rsid w:val="00AD7BCE"/>
    <w:rsid w:val="00AD7E72"/>
    <w:rsid w:val="00AD7E88"/>
    <w:rsid w:val="00AE01C8"/>
    <w:rsid w:val="00AE1861"/>
    <w:rsid w:val="00AE1D1D"/>
    <w:rsid w:val="00AE1EDE"/>
    <w:rsid w:val="00AE2A80"/>
    <w:rsid w:val="00AE465F"/>
    <w:rsid w:val="00AE481C"/>
    <w:rsid w:val="00AE4D8D"/>
    <w:rsid w:val="00AE50BB"/>
    <w:rsid w:val="00AE50D1"/>
    <w:rsid w:val="00AE5A42"/>
    <w:rsid w:val="00AE7179"/>
    <w:rsid w:val="00AE7860"/>
    <w:rsid w:val="00AF01AE"/>
    <w:rsid w:val="00AF0D78"/>
    <w:rsid w:val="00AF0E33"/>
    <w:rsid w:val="00AF19FD"/>
    <w:rsid w:val="00AF1D51"/>
    <w:rsid w:val="00AF1F2A"/>
    <w:rsid w:val="00AF236F"/>
    <w:rsid w:val="00AF2602"/>
    <w:rsid w:val="00AF2604"/>
    <w:rsid w:val="00AF26DE"/>
    <w:rsid w:val="00AF466F"/>
    <w:rsid w:val="00AF58CA"/>
    <w:rsid w:val="00AF593A"/>
    <w:rsid w:val="00AF62B2"/>
    <w:rsid w:val="00AF6DDB"/>
    <w:rsid w:val="00AF7A5F"/>
    <w:rsid w:val="00B00ED3"/>
    <w:rsid w:val="00B01083"/>
    <w:rsid w:val="00B01474"/>
    <w:rsid w:val="00B024C4"/>
    <w:rsid w:val="00B02B9C"/>
    <w:rsid w:val="00B03235"/>
    <w:rsid w:val="00B0324E"/>
    <w:rsid w:val="00B0468E"/>
    <w:rsid w:val="00B04E0E"/>
    <w:rsid w:val="00B0520A"/>
    <w:rsid w:val="00B053B0"/>
    <w:rsid w:val="00B05FFE"/>
    <w:rsid w:val="00B0604B"/>
    <w:rsid w:val="00B06164"/>
    <w:rsid w:val="00B06544"/>
    <w:rsid w:val="00B07465"/>
    <w:rsid w:val="00B11C84"/>
    <w:rsid w:val="00B11F50"/>
    <w:rsid w:val="00B12B9D"/>
    <w:rsid w:val="00B13457"/>
    <w:rsid w:val="00B13720"/>
    <w:rsid w:val="00B139F9"/>
    <w:rsid w:val="00B15916"/>
    <w:rsid w:val="00B15A9D"/>
    <w:rsid w:val="00B16C13"/>
    <w:rsid w:val="00B17038"/>
    <w:rsid w:val="00B17EEB"/>
    <w:rsid w:val="00B20711"/>
    <w:rsid w:val="00B207F2"/>
    <w:rsid w:val="00B21543"/>
    <w:rsid w:val="00B21974"/>
    <w:rsid w:val="00B22B0F"/>
    <w:rsid w:val="00B23A6B"/>
    <w:rsid w:val="00B23F6D"/>
    <w:rsid w:val="00B2742A"/>
    <w:rsid w:val="00B306CD"/>
    <w:rsid w:val="00B31B52"/>
    <w:rsid w:val="00B33ED1"/>
    <w:rsid w:val="00B34011"/>
    <w:rsid w:val="00B343C4"/>
    <w:rsid w:val="00B349D7"/>
    <w:rsid w:val="00B352FB"/>
    <w:rsid w:val="00B3542E"/>
    <w:rsid w:val="00B35A17"/>
    <w:rsid w:val="00B35B26"/>
    <w:rsid w:val="00B3616F"/>
    <w:rsid w:val="00B36DED"/>
    <w:rsid w:val="00B376B0"/>
    <w:rsid w:val="00B37C03"/>
    <w:rsid w:val="00B37CF8"/>
    <w:rsid w:val="00B410A8"/>
    <w:rsid w:val="00B410D9"/>
    <w:rsid w:val="00B4151C"/>
    <w:rsid w:val="00B418AE"/>
    <w:rsid w:val="00B41C0C"/>
    <w:rsid w:val="00B41C2B"/>
    <w:rsid w:val="00B428E6"/>
    <w:rsid w:val="00B42EAD"/>
    <w:rsid w:val="00B4319E"/>
    <w:rsid w:val="00B4391A"/>
    <w:rsid w:val="00B43D6E"/>
    <w:rsid w:val="00B4448F"/>
    <w:rsid w:val="00B44E2B"/>
    <w:rsid w:val="00B4553A"/>
    <w:rsid w:val="00B47518"/>
    <w:rsid w:val="00B5080B"/>
    <w:rsid w:val="00B51320"/>
    <w:rsid w:val="00B51902"/>
    <w:rsid w:val="00B51B75"/>
    <w:rsid w:val="00B51F35"/>
    <w:rsid w:val="00B527DC"/>
    <w:rsid w:val="00B5403E"/>
    <w:rsid w:val="00B545A0"/>
    <w:rsid w:val="00B55297"/>
    <w:rsid w:val="00B5563B"/>
    <w:rsid w:val="00B56B78"/>
    <w:rsid w:val="00B608B6"/>
    <w:rsid w:val="00B60E92"/>
    <w:rsid w:val="00B6171C"/>
    <w:rsid w:val="00B61C93"/>
    <w:rsid w:val="00B61CBB"/>
    <w:rsid w:val="00B6249B"/>
    <w:rsid w:val="00B625D4"/>
    <w:rsid w:val="00B62F8D"/>
    <w:rsid w:val="00B63B00"/>
    <w:rsid w:val="00B63B6B"/>
    <w:rsid w:val="00B64150"/>
    <w:rsid w:val="00B6468A"/>
    <w:rsid w:val="00B646B4"/>
    <w:rsid w:val="00B64F29"/>
    <w:rsid w:val="00B66692"/>
    <w:rsid w:val="00B674A2"/>
    <w:rsid w:val="00B67BF5"/>
    <w:rsid w:val="00B67E62"/>
    <w:rsid w:val="00B67F80"/>
    <w:rsid w:val="00B701E3"/>
    <w:rsid w:val="00B7028A"/>
    <w:rsid w:val="00B70FE6"/>
    <w:rsid w:val="00B717E4"/>
    <w:rsid w:val="00B71872"/>
    <w:rsid w:val="00B71E9B"/>
    <w:rsid w:val="00B72319"/>
    <w:rsid w:val="00B72661"/>
    <w:rsid w:val="00B72CB4"/>
    <w:rsid w:val="00B73AA8"/>
    <w:rsid w:val="00B747CE"/>
    <w:rsid w:val="00B75231"/>
    <w:rsid w:val="00B76179"/>
    <w:rsid w:val="00B768C3"/>
    <w:rsid w:val="00B76F89"/>
    <w:rsid w:val="00B77054"/>
    <w:rsid w:val="00B77512"/>
    <w:rsid w:val="00B802AF"/>
    <w:rsid w:val="00B8044D"/>
    <w:rsid w:val="00B80705"/>
    <w:rsid w:val="00B80CAE"/>
    <w:rsid w:val="00B81936"/>
    <w:rsid w:val="00B825AD"/>
    <w:rsid w:val="00B83B4E"/>
    <w:rsid w:val="00B83BE6"/>
    <w:rsid w:val="00B84C3E"/>
    <w:rsid w:val="00B85DAE"/>
    <w:rsid w:val="00B865EB"/>
    <w:rsid w:val="00B900E2"/>
    <w:rsid w:val="00B90F8B"/>
    <w:rsid w:val="00B9155D"/>
    <w:rsid w:val="00B915F0"/>
    <w:rsid w:val="00B91C64"/>
    <w:rsid w:val="00B93359"/>
    <w:rsid w:val="00B93EA2"/>
    <w:rsid w:val="00B948EB"/>
    <w:rsid w:val="00B94942"/>
    <w:rsid w:val="00B96839"/>
    <w:rsid w:val="00B96CD8"/>
    <w:rsid w:val="00B96E53"/>
    <w:rsid w:val="00B9789A"/>
    <w:rsid w:val="00BA01F3"/>
    <w:rsid w:val="00BA1ACD"/>
    <w:rsid w:val="00BA2BD5"/>
    <w:rsid w:val="00BA34FD"/>
    <w:rsid w:val="00BA4596"/>
    <w:rsid w:val="00BA4F54"/>
    <w:rsid w:val="00BA50B3"/>
    <w:rsid w:val="00BA5BDD"/>
    <w:rsid w:val="00BA5CF9"/>
    <w:rsid w:val="00BA6180"/>
    <w:rsid w:val="00BA6861"/>
    <w:rsid w:val="00BA6D9B"/>
    <w:rsid w:val="00BB24D1"/>
    <w:rsid w:val="00BB26F6"/>
    <w:rsid w:val="00BB27E0"/>
    <w:rsid w:val="00BB33C7"/>
    <w:rsid w:val="00BB3802"/>
    <w:rsid w:val="00BB3932"/>
    <w:rsid w:val="00BB3AAA"/>
    <w:rsid w:val="00BB4069"/>
    <w:rsid w:val="00BB5503"/>
    <w:rsid w:val="00BB5E5C"/>
    <w:rsid w:val="00BB611B"/>
    <w:rsid w:val="00BB6873"/>
    <w:rsid w:val="00BB6C84"/>
    <w:rsid w:val="00BB6D62"/>
    <w:rsid w:val="00BB72AA"/>
    <w:rsid w:val="00BC0338"/>
    <w:rsid w:val="00BC2222"/>
    <w:rsid w:val="00BC2F4E"/>
    <w:rsid w:val="00BC3B49"/>
    <w:rsid w:val="00BC3BAC"/>
    <w:rsid w:val="00BC3E8B"/>
    <w:rsid w:val="00BC4F2A"/>
    <w:rsid w:val="00BC4F55"/>
    <w:rsid w:val="00BC6512"/>
    <w:rsid w:val="00BC7491"/>
    <w:rsid w:val="00BC7852"/>
    <w:rsid w:val="00BD028D"/>
    <w:rsid w:val="00BD037C"/>
    <w:rsid w:val="00BD0C8D"/>
    <w:rsid w:val="00BD10A5"/>
    <w:rsid w:val="00BD153F"/>
    <w:rsid w:val="00BD18BE"/>
    <w:rsid w:val="00BD213D"/>
    <w:rsid w:val="00BD2625"/>
    <w:rsid w:val="00BD2B4E"/>
    <w:rsid w:val="00BD3665"/>
    <w:rsid w:val="00BD4C93"/>
    <w:rsid w:val="00BD5719"/>
    <w:rsid w:val="00BD69E8"/>
    <w:rsid w:val="00BD6C4F"/>
    <w:rsid w:val="00BD73E2"/>
    <w:rsid w:val="00BD76E3"/>
    <w:rsid w:val="00BE0227"/>
    <w:rsid w:val="00BE1EF8"/>
    <w:rsid w:val="00BE2323"/>
    <w:rsid w:val="00BE2488"/>
    <w:rsid w:val="00BE281A"/>
    <w:rsid w:val="00BE458D"/>
    <w:rsid w:val="00BE4E66"/>
    <w:rsid w:val="00BE5039"/>
    <w:rsid w:val="00BE53FE"/>
    <w:rsid w:val="00BE6932"/>
    <w:rsid w:val="00BE7683"/>
    <w:rsid w:val="00BE778D"/>
    <w:rsid w:val="00BE7CD9"/>
    <w:rsid w:val="00BE7F92"/>
    <w:rsid w:val="00BF0247"/>
    <w:rsid w:val="00BF052F"/>
    <w:rsid w:val="00BF135F"/>
    <w:rsid w:val="00BF2037"/>
    <w:rsid w:val="00BF27B0"/>
    <w:rsid w:val="00BF3CD2"/>
    <w:rsid w:val="00BF3E1D"/>
    <w:rsid w:val="00BF3FCF"/>
    <w:rsid w:val="00BF4B0E"/>
    <w:rsid w:val="00BF4E04"/>
    <w:rsid w:val="00BF51BE"/>
    <w:rsid w:val="00BF66E7"/>
    <w:rsid w:val="00BF6F2D"/>
    <w:rsid w:val="00BF7C14"/>
    <w:rsid w:val="00C00143"/>
    <w:rsid w:val="00C00EB9"/>
    <w:rsid w:val="00C01AD0"/>
    <w:rsid w:val="00C01DF4"/>
    <w:rsid w:val="00C0356A"/>
    <w:rsid w:val="00C04D46"/>
    <w:rsid w:val="00C04E8B"/>
    <w:rsid w:val="00C051C9"/>
    <w:rsid w:val="00C062BC"/>
    <w:rsid w:val="00C07365"/>
    <w:rsid w:val="00C07D1B"/>
    <w:rsid w:val="00C10FCF"/>
    <w:rsid w:val="00C110F9"/>
    <w:rsid w:val="00C11182"/>
    <w:rsid w:val="00C1250A"/>
    <w:rsid w:val="00C12DCD"/>
    <w:rsid w:val="00C136B5"/>
    <w:rsid w:val="00C137A3"/>
    <w:rsid w:val="00C15183"/>
    <w:rsid w:val="00C15855"/>
    <w:rsid w:val="00C15867"/>
    <w:rsid w:val="00C1626C"/>
    <w:rsid w:val="00C16B94"/>
    <w:rsid w:val="00C17386"/>
    <w:rsid w:val="00C17DF1"/>
    <w:rsid w:val="00C17E45"/>
    <w:rsid w:val="00C17E61"/>
    <w:rsid w:val="00C2066C"/>
    <w:rsid w:val="00C21F9D"/>
    <w:rsid w:val="00C22255"/>
    <w:rsid w:val="00C22425"/>
    <w:rsid w:val="00C22735"/>
    <w:rsid w:val="00C23114"/>
    <w:rsid w:val="00C245E5"/>
    <w:rsid w:val="00C2460A"/>
    <w:rsid w:val="00C25C8A"/>
    <w:rsid w:val="00C25F76"/>
    <w:rsid w:val="00C269DA"/>
    <w:rsid w:val="00C30069"/>
    <w:rsid w:val="00C34813"/>
    <w:rsid w:val="00C35E13"/>
    <w:rsid w:val="00C40075"/>
    <w:rsid w:val="00C40996"/>
    <w:rsid w:val="00C40A6F"/>
    <w:rsid w:val="00C40C03"/>
    <w:rsid w:val="00C412C7"/>
    <w:rsid w:val="00C41B36"/>
    <w:rsid w:val="00C426EB"/>
    <w:rsid w:val="00C42A7B"/>
    <w:rsid w:val="00C4396D"/>
    <w:rsid w:val="00C44E1B"/>
    <w:rsid w:val="00C45968"/>
    <w:rsid w:val="00C45C82"/>
    <w:rsid w:val="00C45CD9"/>
    <w:rsid w:val="00C45DCA"/>
    <w:rsid w:val="00C45E36"/>
    <w:rsid w:val="00C4789E"/>
    <w:rsid w:val="00C50692"/>
    <w:rsid w:val="00C50B1A"/>
    <w:rsid w:val="00C50E7F"/>
    <w:rsid w:val="00C50FF7"/>
    <w:rsid w:val="00C51139"/>
    <w:rsid w:val="00C51321"/>
    <w:rsid w:val="00C51785"/>
    <w:rsid w:val="00C51DA9"/>
    <w:rsid w:val="00C52257"/>
    <w:rsid w:val="00C52F46"/>
    <w:rsid w:val="00C534E2"/>
    <w:rsid w:val="00C53727"/>
    <w:rsid w:val="00C5394A"/>
    <w:rsid w:val="00C552CA"/>
    <w:rsid w:val="00C55341"/>
    <w:rsid w:val="00C55592"/>
    <w:rsid w:val="00C55EDF"/>
    <w:rsid w:val="00C56293"/>
    <w:rsid w:val="00C564CD"/>
    <w:rsid w:val="00C56672"/>
    <w:rsid w:val="00C57096"/>
    <w:rsid w:val="00C5789C"/>
    <w:rsid w:val="00C57C20"/>
    <w:rsid w:val="00C60B52"/>
    <w:rsid w:val="00C613E5"/>
    <w:rsid w:val="00C61B8F"/>
    <w:rsid w:val="00C62089"/>
    <w:rsid w:val="00C67066"/>
    <w:rsid w:val="00C671D2"/>
    <w:rsid w:val="00C67372"/>
    <w:rsid w:val="00C674E4"/>
    <w:rsid w:val="00C71693"/>
    <w:rsid w:val="00C71811"/>
    <w:rsid w:val="00C71F43"/>
    <w:rsid w:val="00C722BD"/>
    <w:rsid w:val="00C7243C"/>
    <w:rsid w:val="00C73116"/>
    <w:rsid w:val="00C736A2"/>
    <w:rsid w:val="00C73891"/>
    <w:rsid w:val="00C73A96"/>
    <w:rsid w:val="00C73B03"/>
    <w:rsid w:val="00C73F5F"/>
    <w:rsid w:val="00C73F78"/>
    <w:rsid w:val="00C74409"/>
    <w:rsid w:val="00C75E91"/>
    <w:rsid w:val="00C7621B"/>
    <w:rsid w:val="00C763CA"/>
    <w:rsid w:val="00C76588"/>
    <w:rsid w:val="00C769FE"/>
    <w:rsid w:val="00C76F25"/>
    <w:rsid w:val="00C77500"/>
    <w:rsid w:val="00C777D0"/>
    <w:rsid w:val="00C77BD8"/>
    <w:rsid w:val="00C80210"/>
    <w:rsid w:val="00C80249"/>
    <w:rsid w:val="00C8059B"/>
    <w:rsid w:val="00C805A4"/>
    <w:rsid w:val="00C81D09"/>
    <w:rsid w:val="00C82476"/>
    <w:rsid w:val="00C82AFC"/>
    <w:rsid w:val="00C84898"/>
    <w:rsid w:val="00C85511"/>
    <w:rsid w:val="00C86956"/>
    <w:rsid w:val="00C86B84"/>
    <w:rsid w:val="00C87373"/>
    <w:rsid w:val="00C876A3"/>
    <w:rsid w:val="00C87990"/>
    <w:rsid w:val="00C91499"/>
    <w:rsid w:val="00C9225C"/>
    <w:rsid w:val="00C93B27"/>
    <w:rsid w:val="00C94429"/>
    <w:rsid w:val="00C9485D"/>
    <w:rsid w:val="00C94C66"/>
    <w:rsid w:val="00C95576"/>
    <w:rsid w:val="00C96269"/>
    <w:rsid w:val="00C96364"/>
    <w:rsid w:val="00C96E6E"/>
    <w:rsid w:val="00C97111"/>
    <w:rsid w:val="00CA11F2"/>
    <w:rsid w:val="00CA19D2"/>
    <w:rsid w:val="00CA2577"/>
    <w:rsid w:val="00CA3432"/>
    <w:rsid w:val="00CA3648"/>
    <w:rsid w:val="00CA3B39"/>
    <w:rsid w:val="00CA4B02"/>
    <w:rsid w:val="00CA4C66"/>
    <w:rsid w:val="00CA5475"/>
    <w:rsid w:val="00CA579C"/>
    <w:rsid w:val="00CA6BC0"/>
    <w:rsid w:val="00CA7375"/>
    <w:rsid w:val="00CA7450"/>
    <w:rsid w:val="00CA7753"/>
    <w:rsid w:val="00CA78BA"/>
    <w:rsid w:val="00CB0CA5"/>
    <w:rsid w:val="00CB18C8"/>
    <w:rsid w:val="00CB2CE8"/>
    <w:rsid w:val="00CB3776"/>
    <w:rsid w:val="00CB37DA"/>
    <w:rsid w:val="00CB3DA3"/>
    <w:rsid w:val="00CB4338"/>
    <w:rsid w:val="00CB4C79"/>
    <w:rsid w:val="00CB636A"/>
    <w:rsid w:val="00CB718D"/>
    <w:rsid w:val="00CB7CBA"/>
    <w:rsid w:val="00CC0C75"/>
    <w:rsid w:val="00CC1028"/>
    <w:rsid w:val="00CC1F3D"/>
    <w:rsid w:val="00CC218C"/>
    <w:rsid w:val="00CC2A1A"/>
    <w:rsid w:val="00CC312C"/>
    <w:rsid w:val="00CC34BD"/>
    <w:rsid w:val="00CC3849"/>
    <w:rsid w:val="00CC42A7"/>
    <w:rsid w:val="00CC45E8"/>
    <w:rsid w:val="00CC4BC0"/>
    <w:rsid w:val="00CC54CA"/>
    <w:rsid w:val="00CC592C"/>
    <w:rsid w:val="00CC616F"/>
    <w:rsid w:val="00CC6515"/>
    <w:rsid w:val="00CC72CF"/>
    <w:rsid w:val="00CC7E37"/>
    <w:rsid w:val="00CD07B3"/>
    <w:rsid w:val="00CD0CD2"/>
    <w:rsid w:val="00CD146A"/>
    <w:rsid w:val="00CD2142"/>
    <w:rsid w:val="00CD25EB"/>
    <w:rsid w:val="00CD3B4A"/>
    <w:rsid w:val="00CD41E7"/>
    <w:rsid w:val="00CD45DF"/>
    <w:rsid w:val="00CD552F"/>
    <w:rsid w:val="00CD5598"/>
    <w:rsid w:val="00CD6016"/>
    <w:rsid w:val="00CD7C8A"/>
    <w:rsid w:val="00CD7ED9"/>
    <w:rsid w:val="00CE07A2"/>
    <w:rsid w:val="00CE0E0B"/>
    <w:rsid w:val="00CE3718"/>
    <w:rsid w:val="00CE3A80"/>
    <w:rsid w:val="00CE3C93"/>
    <w:rsid w:val="00CE402D"/>
    <w:rsid w:val="00CE512A"/>
    <w:rsid w:val="00CE5815"/>
    <w:rsid w:val="00CF0C96"/>
    <w:rsid w:val="00CF1148"/>
    <w:rsid w:val="00CF1407"/>
    <w:rsid w:val="00CF1757"/>
    <w:rsid w:val="00CF1ADD"/>
    <w:rsid w:val="00CF1F7F"/>
    <w:rsid w:val="00CF26C5"/>
    <w:rsid w:val="00CF47F6"/>
    <w:rsid w:val="00CF5157"/>
    <w:rsid w:val="00CF77E8"/>
    <w:rsid w:val="00CF7AD4"/>
    <w:rsid w:val="00D00BA1"/>
    <w:rsid w:val="00D01508"/>
    <w:rsid w:val="00D02D16"/>
    <w:rsid w:val="00D02D52"/>
    <w:rsid w:val="00D04D5A"/>
    <w:rsid w:val="00D05437"/>
    <w:rsid w:val="00D058B3"/>
    <w:rsid w:val="00D059F4"/>
    <w:rsid w:val="00D05BF5"/>
    <w:rsid w:val="00D06089"/>
    <w:rsid w:val="00D074FD"/>
    <w:rsid w:val="00D0775F"/>
    <w:rsid w:val="00D0776D"/>
    <w:rsid w:val="00D10A64"/>
    <w:rsid w:val="00D111C2"/>
    <w:rsid w:val="00D11379"/>
    <w:rsid w:val="00D12001"/>
    <w:rsid w:val="00D125B8"/>
    <w:rsid w:val="00D12BBE"/>
    <w:rsid w:val="00D130E4"/>
    <w:rsid w:val="00D13114"/>
    <w:rsid w:val="00D13166"/>
    <w:rsid w:val="00D1336D"/>
    <w:rsid w:val="00D1338E"/>
    <w:rsid w:val="00D13CB9"/>
    <w:rsid w:val="00D13F59"/>
    <w:rsid w:val="00D1451E"/>
    <w:rsid w:val="00D14A73"/>
    <w:rsid w:val="00D15995"/>
    <w:rsid w:val="00D15C95"/>
    <w:rsid w:val="00D15D81"/>
    <w:rsid w:val="00D16008"/>
    <w:rsid w:val="00D161EB"/>
    <w:rsid w:val="00D166E9"/>
    <w:rsid w:val="00D17532"/>
    <w:rsid w:val="00D20489"/>
    <w:rsid w:val="00D213F6"/>
    <w:rsid w:val="00D23022"/>
    <w:rsid w:val="00D2389A"/>
    <w:rsid w:val="00D23AE7"/>
    <w:rsid w:val="00D25E31"/>
    <w:rsid w:val="00D27E09"/>
    <w:rsid w:val="00D301FE"/>
    <w:rsid w:val="00D303A7"/>
    <w:rsid w:val="00D30F08"/>
    <w:rsid w:val="00D30F2D"/>
    <w:rsid w:val="00D31529"/>
    <w:rsid w:val="00D342C5"/>
    <w:rsid w:val="00D34CE7"/>
    <w:rsid w:val="00D34F40"/>
    <w:rsid w:val="00D35311"/>
    <w:rsid w:val="00D355C9"/>
    <w:rsid w:val="00D3648A"/>
    <w:rsid w:val="00D36D00"/>
    <w:rsid w:val="00D37D3A"/>
    <w:rsid w:val="00D40354"/>
    <w:rsid w:val="00D40390"/>
    <w:rsid w:val="00D40F61"/>
    <w:rsid w:val="00D4103A"/>
    <w:rsid w:val="00D4122D"/>
    <w:rsid w:val="00D41474"/>
    <w:rsid w:val="00D41E3C"/>
    <w:rsid w:val="00D42073"/>
    <w:rsid w:val="00D42606"/>
    <w:rsid w:val="00D42B15"/>
    <w:rsid w:val="00D4417A"/>
    <w:rsid w:val="00D448E7"/>
    <w:rsid w:val="00D44B4C"/>
    <w:rsid w:val="00D44FFC"/>
    <w:rsid w:val="00D46195"/>
    <w:rsid w:val="00D46433"/>
    <w:rsid w:val="00D46468"/>
    <w:rsid w:val="00D4760B"/>
    <w:rsid w:val="00D47F8B"/>
    <w:rsid w:val="00D50057"/>
    <w:rsid w:val="00D503BE"/>
    <w:rsid w:val="00D509AA"/>
    <w:rsid w:val="00D50D1E"/>
    <w:rsid w:val="00D51A6A"/>
    <w:rsid w:val="00D52735"/>
    <w:rsid w:val="00D52823"/>
    <w:rsid w:val="00D52C1F"/>
    <w:rsid w:val="00D52EF9"/>
    <w:rsid w:val="00D53EFF"/>
    <w:rsid w:val="00D54675"/>
    <w:rsid w:val="00D56936"/>
    <w:rsid w:val="00D57B2A"/>
    <w:rsid w:val="00D605DA"/>
    <w:rsid w:val="00D61289"/>
    <w:rsid w:val="00D6178F"/>
    <w:rsid w:val="00D6394B"/>
    <w:rsid w:val="00D640F7"/>
    <w:rsid w:val="00D64FC0"/>
    <w:rsid w:val="00D6541C"/>
    <w:rsid w:val="00D65FC8"/>
    <w:rsid w:val="00D66A92"/>
    <w:rsid w:val="00D66B98"/>
    <w:rsid w:val="00D67865"/>
    <w:rsid w:val="00D7028C"/>
    <w:rsid w:val="00D717B1"/>
    <w:rsid w:val="00D72307"/>
    <w:rsid w:val="00D73125"/>
    <w:rsid w:val="00D73BB0"/>
    <w:rsid w:val="00D745F9"/>
    <w:rsid w:val="00D763DA"/>
    <w:rsid w:val="00D772E7"/>
    <w:rsid w:val="00D8116C"/>
    <w:rsid w:val="00D8129C"/>
    <w:rsid w:val="00D81489"/>
    <w:rsid w:val="00D83F17"/>
    <w:rsid w:val="00D843CA"/>
    <w:rsid w:val="00D84518"/>
    <w:rsid w:val="00D849AA"/>
    <w:rsid w:val="00D8505A"/>
    <w:rsid w:val="00D85AF5"/>
    <w:rsid w:val="00D85FE1"/>
    <w:rsid w:val="00D863DD"/>
    <w:rsid w:val="00D86D46"/>
    <w:rsid w:val="00D87BA9"/>
    <w:rsid w:val="00D87D00"/>
    <w:rsid w:val="00D87D29"/>
    <w:rsid w:val="00D87EB4"/>
    <w:rsid w:val="00D90635"/>
    <w:rsid w:val="00D91AA3"/>
    <w:rsid w:val="00D92480"/>
    <w:rsid w:val="00D92A24"/>
    <w:rsid w:val="00D93F3A"/>
    <w:rsid w:val="00D9416D"/>
    <w:rsid w:val="00D94232"/>
    <w:rsid w:val="00D96063"/>
    <w:rsid w:val="00D963AA"/>
    <w:rsid w:val="00D963F0"/>
    <w:rsid w:val="00D9668E"/>
    <w:rsid w:val="00D96AFB"/>
    <w:rsid w:val="00D96C3E"/>
    <w:rsid w:val="00D97C87"/>
    <w:rsid w:val="00D97E31"/>
    <w:rsid w:val="00DA040D"/>
    <w:rsid w:val="00DA0B6B"/>
    <w:rsid w:val="00DA0C49"/>
    <w:rsid w:val="00DA1B1B"/>
    <w:rsid w:val="00DA2700"/>
    <w:rsid w:val="00DA35BA"/>
    <w:rsid w:val="00DA3F77"/>
    <w:rsid w:val="00DA429C"/>
    <w:rsid w:val="00DA4925"/>
    <w:rsid w:val="00DA54B2"/>
    <w:rsid w:val="00DA54C8"/>
    <w:rsid w:val="00DA66D6"/>
    <w:rsid w:val="00DA6718"/>
    <w:rsid w:val="00DA7456"/>
    <w:rsid w:val="00DA7ED8"/>
    <w:rsid w:val="00DB0C5A"/>
    <w:rsid w:val="00DB10A8"/>
    <w:rsid w:val="00DB1BA7"/>
    <w:rsid w:val="00DB2907"/>
    <w:rsid w:val="00DB3B29"/>
    <w:rsid w:val="00DB5078"/>
    <w:rsid w:val="00DB5AA6"/>
    <w:rsid w:val="00DB5B54"/>
    <w:rsid w:val="00DB6480"/>
    <w:rsid w:val="00DB6EEB"/>
    <w:rsid w:val="00DB6FF6"/>
    <w:rsid w:val="00DB7D7F"/>
    <w:rsid w:val="00DC05FB"/>
    <w:rsid w:val="00DC196C"/>
    <w:rsid w:val="00DC19A7"/>
    <w:rsid w:val="00DC19F0"/>
    <w:rsid w:val="00DC2B72"/>
    <w:rsid w:val="00DC2E51"/>
    <w:rsid w:val="00DC310E"/>
    <w:rsid w:val="00DC3627"/>
    <w:rsid w:val="00DC3A48"/>
    <w:rsid w:val="00DC3C58"/>
    <w:rsid w:val="00DC3EED"/>
    <w:rsid w:val="00DC3FA3"/>
    <w:rsid w:val="00DC4948"/>
    <w:rsid w:val="00DC5726"/>
    <w:rsid w:val="00DC63FA"/>
    <w:rsid w:val="00DC647D"/>
    <w:rsid w:val="00DC7BBE"/>
    <w:rsid w:val="00DD0B26"/>
    <w:rsid w:val="00DD1471"/>
    <w:rsid w:val="00DD19E3"/>
    <w:rsid w:val="00DD1EA9"/>
    <w:rsid w:val="00DD2E16"/>
    <w:rsid w:val="00DD2F8A"/>
    <w:rsid w:val="00DD3D01"/>
    <w:rsid w:val="00DD48CF"/>
    <w:rsid w:val="00DD4F16"/>
    <w:rsid w:val="00DD5743"/>
    <w:rsid w:val="00DD5E2B"/>
    <w:rsid w:val="00DD5E70"/>
    <w:rsid w:val="00DD6F00"/>
    <w:rsid w:val="00DD78A7"/>
    <w:rsid w:val="00DD7BB8"/>
    <w:rsid w:val="00DE0196"/>
    <w:rsid w:val="00DE0437"/>
    <w:rsid w:val="00DE0597"/>
    <w:rsid w:val="00DE0852"/>
    <w:rsid w:val="00DE1388"/>
    <w:rsid w:val="00DE20C7"/>
    <w:rsid w:val="00DE2AF4"/>
    <w:rsid w:val="00DE2D63"/>
    <w:rsid w:val="00DE3144"/>
    <w:rsid w:val="00DE3645"/>
    <w:rsid w:val="00DE3B43"/>
    <w:rsid w:val="00DE5692"/>
    <w:rsid w:val="00DE6133"/>
    <w:rsid w:val="00DE61AF"/>
    <w:rsid w:val="00DE6373"/>
    <w:rsid w:val="00DE6CE2"/>
    <w:rsid w:val="00DE6F5A"/>
    <w:rsid w:val="00DE7178"/>
    <w:rsid w:val="00DF05E4"/>
    <w:rsid w:val="00DF0961"/>
    <w:rsid w:val="00DF0E10"/>
    <w:rsid w:val="00DF1441"/>
    <w:rsid w:val="00DF2029"/>
    <w:rsid w:val="00DF210C"/>
    <w:rsid w:val="00DF21D8"/>
    <w:rsid w:val="00DF354C"/>
    <w:rsid w:val="00DF524B"/>
    <w:rsid w:val="00DF6EC8"/>
    <w:rsid w:val="00DF6F43"/>
    <w:rsid w:val="00E00D62"/>
    <w:rsid w:val="00E0215E"/>
    <w:rsid w:val="00E021B9"/>
    <w:rsid w:val="00E027C8"/>
    <w:rsid w:val="00E02BBD"/>
    <w:rsid w:val="00E03927"/>
    <w:rsid w:val="00E0452D"/>
    <w:rsid w:val="00E047D6"/>
    <w:rsid w:val="00E05617"/>
    <w:rsid w:val="00E05A5F"/>
    <w:rsid w:val="00E05D81"/>
    <w:rsid w:val="00E078F5"/>
    <w:rsid w:val="00E07C6A"/>
    <w:rsid w:val="00E10948"/>
    <w:rsid w:val="00E10BE2"/>
    <w:rsid w:val="00E10CBA"/>
    <w:rsid w:val="00E10D06"/>
    <w:rsid w:val="00E10E82"/>
    <w:rsid w:val="00E117DC"/>
    <w:rsid w:val="00E1182F"/>
    <w:rsid w:val="00E1224D"/>
    <w:rsid w:val="00E128A7"/>
    <w:rsid w:val="00E12914"/>
    <w:rsid w:val="00E12DB8"/>
    <w:rsid w:val="00E1336F"/>
    <w:rsid w:val="00E13D56"/>
    <w:rsid w:val="00E13FAE"/>
    <w:rsid w:val="00E144B7"/>
    <w:rsid w:val="00E167E6"/>
    <w:rsid w:val="00E17D9B"/>
    <w:rsid w:val="00E20164"/>
    <w:rsid w:val="00E20D04"/>
    <w:rsid w:val="00E20F72"/>
    <w:rsid w:val="00E20FE6"/>
    <w:rsid w:val="00E21CD1"/>
    <w:rsid w:val="00E21F75"/>
    <w:rsid w:val="00E229A8"/>
    <w:rsid w:val="00E22A3C"/>
    <w:rsid w:val="00E23371"/>
    <w:rsid w:val="00E2477B"/>
    <w:rsid w:val="00E250B5"/>
    <w:rsid w:val="00E2588C"/>
    <w:rsid w:val="00E258CE"/>
    <w:rsid w:val="00E263EE"/>
    <w:rsid w:val="00E30013"/>
    <w:rsid w:val="00E30556"/>
    <w:rsid w:val="00E31448"/>
    <w:rsid w:val="00E31651"/>
    <w:rsid w:val="00E3347E"/>
    <w:rsid w:val="00E33782"/>
    <w:rsid w:val="00E3551A"/>
    <w:rsid w:val="00E3556F"/>
    <w:rsid w:val="00E36DA4"/>
    <w:rsid w:val="00E36E12"/>
    <w:rsid w:val="00E37630"/>
    <w:rsid w:val="00E40E44"/>
    <w:rsid w:val="00E415A6"/>
    <w:rsid w:val="00E419AC"/>
    <w:rsid w:val="00E42DC2"/>
    <w:rsid w:val="00E4368B"/>
    <w:rsid w:val="00E43BCE"/>
    <w:rsid w:val="00E45B1D"/>
    <w:rsid w:val="00E46280"/>
    <w:rsid w:val="00E462D9"/>
    <w:rsid w:val="00E466F5"/>
    <w:rsid w:val="00E46C0C"/>
    <w:rsid w:val="00E46E7A"/>
    <w:rsid w:val="00E47475"/>
    <w:rsid w:val="00E47E59"/>
    <w:rsid w:val="00E50F05"/>
    <w:rsid w:val="00E51122"/>
    <w:rsid w:val="00E52078"/>
    <w:rsid w:val="00E52262"/>
    <w:rsid w:val="00E52B28"/>
    <w:rsid w:val="00E53761"/>
    <w:rsid w:val="00E537C1"/>
    <w:rsid w:val="00E53F9C"/>
    <w:rsid w:val="00E54925"/>
    <w:rsid w:val="00E561EF"/>
    <w:rsid w:val="00E5642F"/>
    <w:rsid w:val="00E5661A"/>
    <w:rsid w:val="00E57A3C"/>
    <w:rsid w:val="00E61039"/>
    <w:rsid w:val="00E611A4"/>
    <w:rsid w:val="00E61D18"/>
    <w:rsid w:val="00E629DB"/>
    <w:rsid w:val="00E630A4"/>
    <w:rsid w:val="00E63C2B"/>
    <w:rsid w:val="00E6402D"/>
    <w:rsid w:val="00E64856"/>
    <w:rsid w:val="00E64877"/>
    <w:rsid w:val="00E64CD6"/>
    <w:rsid w:val="00E66123"/>
    <w:rsid w:val="00E66A13"/>
    <w:rsid w:val="00E67407"/>
    <w:rsid w:val="00E675A0"/>
    <w:rsid w:val="00E70606"/>
    <w:rsid w:val="00E70847"/>
    <w:rsid w:val="00E70C45"/>
    <w:rsid w:val="00E70CA8"/>
    <w:rsid w:val="00E70F3D"/>
    <w:rsid w:val="00E71E1A"/>
    <w:rsid w:val="00E722B1"/>
    <w:rsid w:val="00E722BC"/>
    <w:rsid w:val="00E728E8"/>
    <w:rsid w:val="00E730C5"/>
    <w:rsid w:val="00E73B4B"/>
    <w:rsid w:val="00E7414D"/>
    <w:rsid w:val="00E74212"/>
    <w:rsid w:val="00E74671"/>
    <w:rsid w:val="00E74E47"/>
    <w:rsid w:val="00E755BA"/>
    <w:rsid w:val="00E7578A"/>
    <w:rsid w:val="00E75B15"/>
    <w:rsid w:val="00E762F7"/>
    <w:rsid w:val="00E76933"/>
    <w:rsid w:val="00E769D9"/>
    <w:rsid w:val="00E76D86"/>
    <w:rsid w:val="00E779AC"/>
    <w:rsid w:val="00E77AF0"/>
    <w:rsid w:val="00E807BD"/>
    <w:rsid w:val="00E808CC"/>
    <w:rsid w:val="00E8090A"/>
    <w:rsid w:val="00E81199"/>
    <w:rsid w:val="00E8259A"/>
    <w:rsid w:val="00E836E5"/>
    <w:rsid w:val="00E83DE9"/>
    <w:rsid w:val="00E84A10"/>
    <w:rsid w:val="00E855C9"/>
    <w:rsid w:val="00E867E1"/>
    <w:rsid w:val="00E870F0"/>
    <w:rsid w:val="00E90672"/>
    <w:rsid w:val="00E914CC"/>
    <w:rsid w:val="00E916D6"/>
    <w:rsid w:val="00E916E4"/>
    <w:rsid w:val="00E91B13"/>
    <w:rsid w:val="00E93861"/>
    <w:rsid w:val="00E939B2"/>
    <w:rsid w:val="00E93A80"/>
    <w:rsid w:val="00E93D92"/>
    <w:rsid w:val="00E95ED8"/>
    <w:rsid w:val="00E95F6D"/>
    <w:rsid w:val="00E96038"/>
    <w:rsid w:val="00E960FC"/>
    <w:rsid w:val="00E96533"/>
    <w:rsid w:val="00E96D70"/>
    <w:rsid w:val="00E970B0"/>
    <w:rsid w:val="00E970DB"/>
    <w:rsid w:val="00EA086A"/>
    <w:rsid w:val="00EA13E9"/>
    <w:rsid w:val="00EA151E"/>
    <w:rsid w:val="00EA194E"/>
    <w:rsid w:val="00EA1983"/>
    <w:rsid w:val="00EA19B7"/>
    <w:rsid w:val="00EA19C4"/>
    <w:rsid w:val="00EA1E68"/>
    <w:rsid w:val="00EA25C5"/>
    <w:rsid w:val="00EA3088"/>
    <w:rsid w:val="00EA3163"/>
    <w:rsid w:val="00EA31B0"/>
    <w:rsid w:val="00EA375C"/>
    <w:rsid w:val="00EA460F"/>
    <w:rsid w:val="00EA4B62"/>
    <w:rsid w:val="00EA4E8D"/>
    <w:rsid w:val="00EA52BF"/>
    <w:rsid w:val="00EA5548"/>
    <w:rsid w:val="00EA5772"/>
    <w:rsid w:val="00EA6790"/>
    <w:rsid w:val="00EA7DE5"/>
    <w:rsid w:val="00EB06DB"/>
    <w:rsid w:val="00EB0C6B"/>
    <w:rsid w:val="00EB1CB4"/>
    <w:rsid w:val="00EB2A24"/>
    <w:rsid w:val="00EB3BA1"/>
    <w:rsid w:val="00EB4BFC"/>
    <w:rsid w:val="00EB54C0"/>
    <w:rsid w:val="00EB5719"/>
    <w:rsid w:val="00EB63F1"/>
    <w:rsid w:val="00EB6A2B"/>
    <w:rsid w:val="00EB6B21"/>
    <w:rsid w:val="00EB777F"/>
    <w:rsid w:val="00EB7D44"/>
    <w:rsid w:val="00EC064B"/>
    <w:rsid w:val="00EC0A4A"/>
    <w:rsid w:val="00EC0E2C"/>
    <w:rsid w:val="00EC1227"/>
    <w:rsid w:val="00EC3131"/>
    <w:rsid w:val="00EC3558"/>
    <w:rsid w:val="00EC5699"/>
    <w:rsid w:val="00EC6267"/>
    <w:rsid w:val="00EC6607"/>
    <w:rsid w:val="00EC6FE4"/>
    <w:rsid w:val="00EC72E4"/>
    <w:rsid w:val="00EC7DBF"/>
    <w:rsid w:val="00ED1381"/>
    <w:rsid w:val="00ED21A6"/>
    <w:rsid w:val="00ED264D"/>
    <w:rsid w:val="00ED2896"/>
    <w:rsid w:val="00ED296C"/>
    <w:rsid w:val="00ED2F6D"/>
    <w:rsid w:val="00ED3077"/>
    <w:rsid w:val="00ED31DD"/>
    <w:rsid w:val="00ED415A"/>
    <w:rsid w:val="00ED4296"/>
    <w:rsid w:val="00ED4D08"/>
    <w:rsid w:val="00ED54A3"/>
    <w:rsid w:val="00ED5ADE"/>
    <w:rsid w:val="00ED5B38"/>
    <w:rsid w:val="00ED6D9A"/>
    <w:rsid w:val="00ED70CF"/>
    <w:rsid w:val="00ED725C"/>
    <w:rsid w:val="00ED739F"/>
    <w:rsid w:val="00EE07D6"/>
    <w:rsid w:val="00EE11C1"/>
    <w:rsid w:val="00EE15D6"/>
    <w:rsid w:val="00EE1713"/>
    <w:rsid w:val="00EE2228"/>
    <w:rsid w:val="00EE229F"/>
    <w:rsid w:val="00EE2319"/>
    <w:rsid w:val="00EE250D"/>
    <w:rsid w:val="00EE25BC"/>
    <w:rsid w:val="00EE3041"/>
    <w:rsid w:val="00EE3B4D"/>
    <w:rsid w:val="00EE3DD2"/>
    <w:rsid w:val="00EE41FB"/>
    <w:rsid w:val="00EE7588"/>
    <w:rsid w:val="00EE7ACF"/>
    <w:rsid w:val="00EF0894"/>
    <w:rsid w:val="00EF0F70"/>
    <w:rsid w:val="00EF115E"/>
    <w:rsid w:val="00EF1321"/>
    <w:rsid w:val="00EF1F08"/>
    <w:rsid w:val="00EF24DA"/>
    <w:rsid w:val="00EF3178"/>
    <w:rsid w:val="00EF328E"/>
    <w:rsid w:val="00EF396B"/>
    <w:rsid w:val="00EF4C0A"/>
    <w:rsid w:val="00EF5791"/>
    <w:rsid w:val="00EF57C4"/>
    <w:rsid w:val="00EF5813"/>
    <w:rsid w:val="00EF7B97"/>
    <w:rsid w:val="00EF7E15"/>
    <w:rsid w:val="00EF7EF0"/>
    <w:rsid w:val="00F00B0D"/>
    <w:rsid w:val="00F00B9F"/>
    <w:rsid w:val="00F024FD"/>
    <w:rsid w:val="00F03785"/>
    <w:rsid w:val="00F038E6"/>
    <w:rsid w:val="00F052A7"/>
    <w:rsid w:val="00F0559A"/>
    <w:rsid w:val="00F067DD"/>
    <w:rsid w:val="00F070FE"/>
    <w:rsid w:val="00F07B3F"/>
    <w:rsid w:val="00F07F09"/>
    <w:rsid w:val="00F07FBE"/>
    <w:rsid w:val="00F10C35"/>
    <w:rsid w:val="00F10CD9"/>
    <w:rsid w:val="00F1151D"/>
    <w:rsid w:val="00F12303"/>
    <w:rsid w:val="00F135E0"/>
    <w:rsid w:val="00F13F8E"/>
    <w:rsid w:val="00F13F99"/>
    <w:rsid w:val="00F15588"/>
    <w:rsid w:val="00F15FC6"/>
    <w:rsid w:val="00F1621A"/>
    <w:rsid w:val="00F16787"/>
    <w:rsid w:val="00F16DF7"/>
    <w:rsid w:val="00F16EC6"/>
    <w:rsid w:val="00F17085"/>
    <w:rsid w:val="00F176BB"/>
    <w:rsid w:val="00F17B98"/>
    <w:rsid w:val="00F17CFC"/>
    <w:rsid w:val="00F20910"/>
    <w:rsid w:val="00F20EB0"/>
    <w:rsid w:val="00F211A6"/>
    <w:rsid w:val="00F226B9"/>
    <w:rsid w:val="00F22B1C"/>
    <w:rsid w:val="00F22BC8"/>
    <w:rsid w:val="00F237F5"/>
    <w:rsid w:val="00F24D55"/>
    <w:rsid w:val="00F255DB"/>
    <w:rsid w:val="00F2664B"/>
    <w:rsid w:val="00F26F7A"/>
    <w:rsid w:val="00F32428"/>
    <w:rsid w:val="00F32B34"/>
    <w:rsid w:val="00F339E6"/>
    <w:rsid w:val="00F35081"/>
    <w:rsid w:val="00F35148"/>
    <w:rsid w:val="00F35B99"/>
    <w:rsid w:val="00F35C86"/>
    <w:rsid w:val="00F36751"/>
    <w:rsid w:val="00F36D2E"/>
    <w:rsid w:val="00F3785B"/>
    <w:rsid w:val="00F40137"/>
    <w:rsid w:val="00F40318"/>
    <w:rsid w:val="00F40886"/>
    <w:rsid w:val="00F4095B"/>
    <w:rsid w:val="00F409E5"/>
    <w:rsid w:val="00F40D89"/>
    <w:rsid w:val="00F4163E"/>
    <w:rsid w:val="00F42379"/>
    <w:rsid w:val="00F42901"/>
    <w:rsid w:val="00F42E72"/>
    <w:rsid w:val="00F43124"/>
    <w:rsid w:val="00F435D4"/>
    <w:rsid w:val="00F43B7D"/>
    <w:rsid w:val="00F44136"/>
    <w:rsid w:val="00F45374"/>
    <w:rsid w:val="00F46880"/>
    <w:rsid w:val="00F46ABA"/>
    <w:rsid w:val="00F46B5F"/>
    <w:rsid w:val="00F4710C"/>
    <w:rsid w:val="00F50599"/>
    <w:rsid w:val="00F50E0A"/>
    <w:rsid w:val="00F510D3"/>
    <w:rsid w:val="00F51565"/>
    <w:rsid w:val="00F5273F"/>
    <w:rsid w:val="00F52A25"/>
    <w:rsid w:val="00F52A65"/>
    <w:rsid w:val="00F52DDD"/>
    <w:rsid w:val="00F5316A"/>
    <w:rsid w:val="00F532E0"/>
    <w:rsid w:val="00F53B75"/>
    <w:rsid w:val="00F541C4"/>
    <w:rsid w:val="00F54662"/>
    <w:rsid w:val="00F549C2"/>
    <w:rsid w:val="00F55123"/>
    <w:rsid w:val="00F55459"/>
    <w:rsid w:val="00F55FD4"/>
    <w:rsid w:val="00F573D9"/>
    <w:rsid w:val="00F57B14"/>
    <w:rsid w:val="00F57C43"/>
    <w:rsid w:val="00F6217A"/>
    <w:rsid w:val="00F63913"/>
    <w:rsid w:val="00F64832"/>
    <w:rsid w:val="00F653A7"/>
    <w:rsid w:val="00F65544"/>
    <w:rsid w:val="00F66067"/>
    <w:rsid w:val="00F66983"/>
    <w:rsid w:val="00F673A8"/>
    <w:rsid w:val="00F6775F"/>
    <w:rsid w:val="00F67AA0"/>
    <w:rsid w:val="00F67B33"/>
    <w:rsid w:val="00F67C92"/>
    <w:rsid w:val="00F70158"/>
    <w:rsid w:val="00F70FAF"/>
    <w:rsid w:val="00F72F7E"/>
    <w:rsid w:val="00F73F29"/>
    <w:rsid w:val="00F75E14"/>
    <w:rsid w:val="00F76F5C"/>
    <w:rsid w:val="00F77298"/>
    <w:rsid w:val="00F77C0A"/>
    <w:rsid w:val="00F800A4"/>
    <w:rsid w:val="00F8150A"/>
    <w:rsid w:val="00F81A34"/>
    <w:rsid w:val="00F81EA1"/>
    <w:rsid w:val="00F834E2"/>
    <w:rsid w:val="00F835FD"/>
    <w:rsid w:val="00F836BE"/>
    <w:rsid w:val="00F83B1E"/>
    <w:rsid w:val="00F84E59"/>
    <w:rsid w:val="00F85595"/>
    <w:rsid w:val="00F866E2"/>
    <w:rsid w:val="00F86CE1"/>
    <w:rsid w:val="00F86D39"/>
    <w:rsid w:val="00F90088"/>
    <w:rsid w:val="00F902B5"/>
    <w:rsid w:val="00F904C1"/>
    <w:rsid w:val="00F90E3D"/>
    <w:rsid w:val="00F9211A"/>
    <w:rsid w:val="00F92265"/>
    <w:rsid w:val="00F92D14"/>
    <w:rsid w:val="00F93721"/>
    <w:rsid w:val="00F945E0"/>
    <w:rsid w:val="00F94B4D"/>
    <w:rsid w:val="00F94E5C"/>
    <w:rsid w:val="00FA0511"/>
    <w:rsid w:val="00FA1907"/>
    <w:rsid w:val="00FA2663"/>
    <w:rsid w:val="00FA3D6E"/>
    <w:rsid w:val="00FA4840"/>
    <w:rsid w:val="00FA4F05"/>
    <w:rsid w:val="00FA5055"/>
    <w:rsid w:val="00FA5941"/>
    <w:rsid w:val="00FA6296"/>
    <w:rsid w:val="00FA695A"/>
    <w:rsid w:val="00FA7F21"/>
    <w:rsid w:val="00FB166E"/>
    <w:rsid w:val="00FB1D08"/>
    <w:rsid w:val="00FB2021"/>
    <w:rsid w:val="00FB24CE"/>
    <w:rsid w:val="00FB2E14"/>
    <w:rsid w:val="00FB2F2E"/>
    <w:rsid w:val="00FB3228"/>
    <w:rsid w:val="00FB3E24"/>
    <w:rsid w:val="00FB429B"/>
    <w:rsid w:val="00FB5316"/>
    <w:rsid w:val="00FB5F0D"/>
    <w:rsid w:val="00FB6856"/>
    <w:rsid w:val="00FB7162"/>
    <w:rsid w:val="00FC065C"/>
    <w:rsid w:val="00FC12D8"/>
    <w:rsid w:val="00FC1828"/>
    <w:rsid w:val="00FC3186"/>
    <w:rsid w:val="00FC321E"/>
    <w:rsid w:val="00FC3DB5"/>
    <w:rsid w:val="00FC4463"/>
    <w:rsid w:val="00FC47DB"/>
    <w:rsid w:val="00FC4DDE"/>
    <w:rsid w:val="00FC514F"/>
    <w:rsid w:val="00FC5498"/>
    <w:rsid w:val="00FC567C"/>
    <w:rsid w:val="00FD0DB4"/>
    <w:rsid w:val="00FD10BF"/>
    <w:rsid w:val="00FD2798"/>
    <w:rsid w:val="00FD2A6E"/>
    <w:rsid w:val="00FD30F1"/>
    <w:rsid w:val="00FD38E6"/>
    <w:rsid w:val="00FD3AA3"/>
    <w:rsid w:val="00FD3E4D"/>
    <w:rsid w:val="00FD3EA6"/>
    <w:rsid w:val="00FD4C0B"/>
    <w:rsid w:val="00FD6AE1"/>
    <w:rsid w:val="00FD7133"/>
    <w:rsid w:val="00FE017D"/>
    <w:rsid w:val="00FE12B5"/>
    <w:rsid w:val="00FE1498"/>
    <w:rsid w:val="00FE186A"/>
    <w:rsid w:val="00FE1967"/>
    <w:rsid w:val="00FE1F66"/>
    <w:rsid w:val="00FE2CE8"/>
    <w:rsid w:val="00FE4886"/>
    <w:rsid w:val="00FE4B26"/>
    <w:rsid w:val="00FE4FE0"/>
    <w:rsid w:val="00FE74B0"/>
    <w:rsid w:val="00FE79EE"/>
    <w:rsid w:val="00FF0ECC"/>
    <w:rsid w:val="00FF1272"/>
    <w:rsid w:val="00FF18AE"/>
    <w:rsid w:val="00FF1CA8"/>
    <w:rsid w:val="00FF3E77"/>
    <w:rsid w:val="00FF5673"/>
    <w:rsid w:val="00FF5C33"/>
    <w:rsid w:val="00FF5D04"/>
    <w:rsid w:val="00FF60F2"/>
    <w:rsid w:val="00FF6174"/>
    <w:rsid w:val="00FF6ABA"/>
    <w:rsid w:val="00FF7059"/>
    <w:rsid w:val="00FF775F"/>
    <w:rsid w:val="00FF7E9A"/>
  </w:rsids>
  <m:mathPr>
    <m:mathFont m:val="Cambria Math"/>
    <m:brkBin m:val="before"/>
    <m:brkBinSub m:val="--"/>
    <m:smallFrac m:val="0"/>
    <m:dispDef/>
    <m:lMargin m:val="480"/>
    <m:rMargin m:val="0"/>
    <m:defJc m:val="centerGroup"/>
    <m:wrapIndent m:val="1440"/>
    <m:intLim m:val="subSup"/>
    <m:naryLim m:val="undOvr"/>
  </m:mathPr>
  <w:attachedSchema w:val="urn:schemas:contact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1324D9"/>
  <w15:docId w15:val="{AF17D3C3-DE41-4358-8D0F-04E28D04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68F"/>
    <w:pPr>
      <w:spacing w:line="360" w:lineRule="auto"/>
      <w:ind w:firstLine="720"/>
      <w:jc w:val="both"/>
    </w:pPr>
    <w:rPr>
      <w:sz w:val="24"/>
    </w:rPr>
  </w:style>
  <w:style w:type="paragraph" w:styleId="Heading1">
    <w:name w:val="heading 1"/>
    <w:basedOn w:val="Normal"/>
    <w:next w:val="Normal"/>
    <w:link w:val="Heading1Char"/>
    <w:qFormat/>
    <w:rsid w:val="00DD1EA9"/>
    <w:pPr>
      <w:keepNext/>
      <w:numPr>
        <w:numId w:val="4"/>
      </w:numPr>
      <w:spacing w:before="240" w:after="120"/>
      <w:jc w:val="center"/>
      <w:outlineLvl w:val="0"/>
    </w:pPr>
    <w:rPr>
      <w:b/>
      <w:kern w:val="28"/>
      <w:szCs w:val="32"/>
      <w:u w:val="single"/>
    </w:rPr>
  </w:style>
  <w:style w:type="paragraph" w:styleId="Heading2">
    <w:name w:val="heading 2"/>
    <w:basedOn w:val="Normal"/>
    <w:next w:val="BodyText"/>
    <w:link w:val="Heading2Char"/>
    <w:qFormat/>
    <w:rsid w:val="004D65BF"/>
    <w:pPr>
      <w:keepNext/>
      <w:numPr>
        <w:ilvl w:val="1"/>
        <w:numId w:val="4"/>
      </w:numPr>
      <w:spacing w:before="480" w:after="240"/>
      <w:outlineLvl w:val="1"/>
    </w:pPr>
    <w:rPr>
      <w:rFonts w:cs="Arial"/>
      <w:b/>
      <w:bCs/>
      <w:iCs/>
      <w:szCs w:val="24"/>
    </w:rPr>
  </w:style>
  <w:style w:type="paragraph" w:styleId="Heading3">
    <w:name w:val="heading 3"/>
    <w:basedOn w:val="Normal"/>
    <w:next w:val="BodyText"/>
    <w:link w:val="Heading3Char"/>
    <w:qFormat/>
    <w:rsid w:val="0051677C"/>
    <w:pPr>
      <w:keepNext/>
      <w:numPr>
        <w:ilvl w:val="2"/>
        <w:numId w:val="4"/>
      </w:numPr>
      <w:spacing w:before="240" w:after="240"/>
      <w:outlineLvl w:val="2"/>
    </w:pPr>
    <w:rPr>
      <w:rFonts w:cs="Arial"/>
      <w:bCs/>
      <w:szCs w:val="24"/>
      <w:u w:val="single"/>
    </w:rPr>
  </w:style>
  <w:style w:type="paragraph" w:styleId="Heading4">
    <w:name w:val="heading 4"/>
    <w:basedOn w:val="Normal"/>
    <w:next w:val="BodyText"/>
    <w:link w:val="Heading4Char"/>
    <w:qFormat/>
    <w:locked/>
    <w:rsid w:val="00F92D14"/>
    <w:pPr>
      <w:keepNext/>
      <w:keepLines/>
      <w:numPr>
        <w:ilvl w:val="3"/>
        <w:numId w:val="4"/>
      </w:numPr>
      <w:spacing w:after="120"/>
      <w:outlineLvl w:val="3"/>
    </w:pPr>
    <w:rPr>
      <w:bCs/>
      <w:i/>
      <w:iCs/>
    </w:rPr>
  </w:style>
  <w:style w:type="paragraph" w:styleId="Heading5">
    <w:name w:val="heading 5"/>
    <w:basedOn w:val="Normal"/>
    <w:next w:val="Normal"/>
    <w:link w:val="Heading5Char"/>
    <w:qFormat/>
    <w:locked/>
    <w:rsid w:val="00F052A7"/>
    <w:pPr>
      <w:keepNext/>
      <w:keepLines/>
      <w:spacing w:before="200"/>
      <w:ind w:left="1008" w:hanging="1008"/>
      <w:outlineLvl w:val="4"/>
    </w:pPr>
    <w:rPr>
      <w:rFonts w:ascii="Cambria" w:hAnsi="Cambria"/>
      <w:color w:val="243F60"/>
    </w:rPr>
  </w:style>
  <w:style w:type="paragraph" w:styleId="Heading6">
    <w:name w:val="heading 6"/>
    <w:basedOn w:val="Normal"/>
    <w:next w:val="Normal"/>
    <w:link w:val="Heading6Char"/>
    <w:uiPriority w:val="99"/>
    <w:qFormat/>
    <w:locked/>
    <w:rsid w:val="00F052A7"/>
    <w:pPr>
      <w:keepNext/>
      <w:keepLines/>
      <w:spacing w:before="200"/>
      <w:ind w:left="1152" w:hanging="1152"/>
      <w:outlineLvl w:val="5"/>
    </w:pPr>
    <w:rPr>
      <w:rFonts w:ascii="Cambria" w:hAnsi="Cambria"/>
      <w:i/>
      <w:iCs/>
      <w:color w:val="243F60"/>
    </w:rPr>
  </w:style>
  <w:style w:type="paragraph" w:styleId="Heading7">
    <w:name w:val="heading 7"/>
    <w:basedOn w:val="Normal"/>
    <w:next w:val="Normal"/>
    <w:link w:val="Heading7Char"/>
    <w:uiPriority w:val="99"/>
    <w:qFormat/>
    <w:locked/>
    <w:rsid w:val="00F052A7"/>
    <w:pPr>
      <w:keepNext/>
      <w:keepLines/>
      <w:spacing w:before="200"/>
      <w:ind w:left="1296" w:hanging="1296"/>
      <w:outlineLvl w:val="6"/>
    </w:pPr>
    <w:rPr>
      <w:rFonts w:ascii="Cambria" w:hAnsi="Cambria"/>
      <w:i/>
      <w:iCs/>
      <w:color w:val="404040"/>
    </w:rPr>
  </w:style>
  <w:style w:type="paragraph" w:styleId="Heading8">
    <w:name w:val="heading 8"/>
    <w:basedOn w:val="Normal"/>
    <w:next w:val="Normal"/>
    <w:link w:val="Heading8Char"/>
    <w:uiPriority w:val="99"/>
    <w:qFormat/>
    <w:locked/>
    <w:rsid w:val="00F052A7"/>
    <w:pPr>
      <w:keepNext/>
      <w:keepLines/>
      <w:spacing w:before="200"/>
      <w:ind w:left="1440" w:hanging="1440"/>
      <w:outlineLvl w:val="7"/>
    </w:pPr>
    <w:rPr>
      <w:rFonts w:ascii="Cambria" w:hAnsi="Cambria"/>
      <w:color w:val="404040"/>
      <w:sz w:val="20"/>
    </w:rPr>
  </w:style>
  <w:style w:type="paragraph" w:styleId="Heading9">
    <w:name w:val="heading 9"/>
    <w:basedOn w:val="Normal"/>
    <w:next w:val="Normal"/>
    <w:link w:val="Heading9Char"/>
    <w:uiPriority w:val="99"/>
    <w:qFormat/>
    <w:locked/>
    <w:rsid w:val="00F052A7"/>
    <w:pPr>
      <w:keepNext/>
      <w:keepLine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D1EA9"/>
    <w:rPr>
      <w:b/>
      <w:kern w:val="28"/>
      <w:sz w:val="24"/>
      <w:szCs w:val="32"/>
      <w:u w:val="single"/>
    </w:rPr>
  </w:style>
  <w:style w:type="character" w:customStyle="1" w:styleId="Heading2Char">
    <w:name w:val="Heading 2 Char"/>
    <w:basedOn w:val="DefaultParagraphFont"/>
    <w:link w:val="Heading2"/>
    <w:locked/>
    <w:rsid w:val="004D65BF"/>
    <w:rPr>
      <w:rFonts w:cs="Arial"/>
      <w:b/>
      <w:bCs/>
      <w:iCs/>
      <w:sz w:val="24"/>
      <w:szCs w:val="24"/>
    </w:rPr>
  </w:style>
  <w:style w:type="character" w:customStyle="1" w:styleId="Heading3Char">
    <w:name w:val="Heading 3 Char"/>
    <w:basedOn w:val="DefaultParagraphFont"/>
    <w:link w:val="Heading3"/>
    <w:locked/>
    <w:rsid w:val="0051677C"/>
    <w:rPr>
      <w:rFonts w:cs="Arial"/>
      <w:bCs/>
      <w:sz w:val="24"/>
      <w:szCs w:val="24"/>
      <w:u w:val="single"/>
    </w:rPr>
  </w:style>
  <w:style w:type="character" w:customStyle="1" w:styleId="Heading4Char">
    <w:name w:val="Heading 4 Char"/>
    <w:basedOn w:val="DefaultParagraphFont"/>
    <w:link w:val="Heading4"/>
    <w:locked/>
    <w:rsid w:val="00F92D14"/>
    <w:rPr>
      <w:bCs/>
      <w:i/>
      <w:iCs/>
      <w:sz w:val="24"/>
      <w:szCs w:val="20"/>
    </w:rPr>
  </w:style>
  <w:style w:type="character" w:customStyle="1" w:styleId="Heading5Char">
    <w:name w:val="Heading 5 Char"/>
    <w:basedOn w:val="DefaultParagraphFont"/>
    <w:link w:val="Heading5"/>
    <w:uiPriority w:val="99"/>
    <w:locked/>
    <w:rsid w:val="00F052A7"/>
    <w:rPr>
      <w:rFonts w:ascii="Cambria" w:hAnsi="Cambria"/>
      <w:color w:val="243F60"/>
      <w:sz w:val="24"/>
      <w:szCs w:val="20"/>
    </w:rPr>
  </w:style>
  <w:style w:type="character" w:customStyle="1" w:styleId="Heading6Char">
    <w:name w:val="Heading 6 Char"/>
    <w:basedOn w:val="DefaultParagraphFont"/>
    <w:link w:val="Heading6"/>
    <w:uiPriority w:val="99"/>
    <w:locked/>
    <w:rsid w:val="00F052A7"/>
    <w:rPr>
      <w:rFonts w:ascii="Cambria" w:hAnsi="Cambria"/>
      <w:i/>
      <w:iCs/>
      <w:color w:val="243F60"/>
      <w:sz w:val="24"/>
      <w:szCs w:val="20"/>
    </w:rPr>
  </w:style>
  <w:style w:type="character" w:customStyle="1" w:styleId="Heading7Char">
    <w:name w:val="Heading 7 Char"/>
    <w:basedOn w:val="DefaultParagraphFont"/>
    <w:link w:val="Heading7"/>
    <w:uiPriority w:val="99"/>
    <w:locked/>
    <w:rsid w:val="00F052A7"/>
    <w:rPr>
      <w:rFonts w:ascii="Cambria" w:hAnsi="Cambria"/>
      <w:i/>
      <w:iCs/>
      <w:color w:val="404040"/>
      <w:sz w:val="24"/>
      <w:szCs w:val="20"/>
    </w:rPr>
  </w:style>
  <w:style w:type="character" w:customStyle="1" w:styleId="Heading8Char">
    <w:name w:val="Heading 8 Char"/>
    <w:basedOn w:val="DefaultParagraphFont"/>
    <w:link w:val="Heading8"/>
    <w:uiPriority w:val="99"/>
    <w:locked/>
    <w:rsid w:val="00F052A7"/>
    <w:rPr>
      <w:rFonts w:ascii="Cambria" w:hAnsi="Cambria"/>
      <w:color w:val="404040"/>
      <w:sz w:val="20"/>
      <w:szCs w:val="20"/>
    </w:rPr>
  </w:style>
  <w:style w:type="character" w:customStyle="1" w:styleId="Heading9Char">
    <w:name w:val="Heading 9 Char"/>
    <w:basedOn w:val="DefaultParagraphFont"/>
    <w:link w:val="Heading9"/>
    <w:uiPriority w:val="99"/>
    <w:locked/>
    <w:rsid w:val="00F052A7"/>
    <w:rPr>
      <w:rFonts w:ascii="Cambria" w:hAnsi="Cambria"/>
      <w:i/>
      <w:iCs/>
      <w:color w:val="404040"/>
      <w:sz w:val="20"/>
      <w:szCs w:val="20"/>
    </w:rPr>
  </w:style>
  <w:style w:type="character" w:styleId="Hyperlink">
    <w:name w:val="Hyperlink"/>
    <w:basedOn w:val="DefaultParagraphFont"/>
    <w:uiPriority w:val="99"/>
    <w:rsid w:val="00321DA6"/>
    <w:rPr>
      <w:rFonts w:cs="Times New Roman"/>
      <w:color w:val="0000FF"/>
      <w:u w:val="single"/>
    </w:rPr>
  </w:style>
  <w:style w:type="character" w:styleId="FollowedHyperlink">
    <w:name w:val="FollowedHyperlink"/>
    <w:basedOn w:val="DefaultParagraphFont"/>
    <w:uiPriority w:val="99"/>
    <w:rsid w:val="00321DA6"/>
    <w:rPr>
      <w:rFonts w:cs="Times New Roman"/>
      <w:color w:val="800080"/>
      <w:u w:val="single"/>
    </w:rPr>
  </w:style>
  <w:style w:type="paragraph" w:styleId="BodyText">
    <w:name w:val="Body Text"/>
    <w:basedOn w:val="Normal"/>
    <w:link w:val="BodyTextChar"/>
    <w:rsid w:val="00CC616F"/>
  </w:style>
  <w:style w:type="character" w:customStyle="1" w:styleId="BodyTextChar">
    <w:name w:val="Body Text Char"/>
    <w:basedOn w:val="DefaultParagraphFont"/>
    <w:link w:val="BodyText"/>
    <w:locked/>
    <w:rsid w:val="00CC616F"/>
    <w:rPr>
      <w:rFonts w:cs="Times New Roman"/>
      <w:sz w:val="20"/>
      <w:szCs w:val="20"/>
    </w:rPr>
  </w:style>
  <w:style w:type="paragraph" w:styleId="TOC1">
    <w:name w:val="toc 1"/>
    <w:basedOn w:val="Normal"/>
    <w:next w:val="Normal"/>
    <w:autoRedefine/>
    <w:uiPriority w:val="39"/>
    <w:rsid w:val="00C25F76"/>
    <w:pPr>
      <w:ind w:left="475" w:hanging="475"/>
    </w:pPr>
    <w:rPr>
      <w:szCs w:val="24"/>
    </w:rPr>
  </w:style>
  <w:style w:type="paragraph" w:styleId="TOC2">
    <w:name w:val="toc 2"/>
    <w:basedOn w:val="Normal"/>
    <w:next w:val="Normal"/>
    <w:autoRedefine/>
    <w:uiPriority w:val="39"/>
    <w:rsid w:val="00A117B9"/>
    <w:pPr>
      <w:tabs>
        <w:tab w:val="right" w:leader="dot" w:pos="9360"/>
      </w:tabs>
      <w:ind w:left="720" w:hanging="475"/>
    </w:pPr>
  </w:style>
  <w:style w:type="paragraph" w:styleId="TOC3">
    <w:name w:val="toc 3"/>
    <w:basedOn w:val="Normal"/>
    <w:next w:val="Normal"/>
    <w:autoRedefine/>
    <w:uiPriority w:val="39"/>
    <w:rsid w:val="00C25F76"/>
    <w:pPr>
      <w:ind w:left="1195" w:hanging="720"/>
    </w:pPr>
  </w:style>
  <w:style w:type="paragraph" w:styleId="CommentText">
    <w:name w:val="annotation text"/>
    <w:basedOn w:val="Normal"/>
    <w:link w:val="CommentTextChar"/>
    <w:rsid w:val="00321DA6"/>
    <w:rPr>
      <w:sz w:val="20"/>
    </w:rPr>
  </w:style>
  <w:style w:type="character" w:customStyle="1" w:styleId="CommentTextChar">
    <w:name w:val="Comment Text Char"/>
    <w:basedOn w:val="DefaultParagraphFont"/>
    <w:link w:val="CommentText"/>
    <w:locked/>
    <w:rsid w:val="00321DA6"/>
    <w:rPr>
      <w:rFonts w:cs="Times New Roman"/>
    </w:rPr>
  </w:style>
  <w:style w:type="paragraph" w:styleId="Header">
    <w:name w:val="header"/>
    <w:basedOn w:val="Normal"/>
    <w:link w:val="HeaderChar"/>
    <w:rsid w:val="00321DA6"/>
    <w:pPr>
      <w:tabs>
        <w:tab w:val="center" w:pos="4320"/>
        <w:tab w:val="right" w:pos="8640"/>
      </w:tabs>
    </w:pPr>
  </w:style>
  <w:style w:type="character" w:customStyle="1" w:styleId="HeaderChar">
    <w:name w:val="Header Char"/>
    <w:basedOn w:val="DefaultParagraphFont"/>
    <w:link w:val="Header"/>
    <w:uiPriority w:val="99"/>
    <w:locked/>
    <w:rsid w:val="00321DA6"/>
    <w:rPr>
      <w:rFonts w:cs="Times New Roman"/>
      <w:sz w:val="24"/>
    </w:rPr>
  </w:style>
  <w:style w:type="paragraph" w:styleId="Footer">
    <w:name w:val="footer"/>
    <w:basedOn w:val="Normal"/>
    <w:link w:val="FooterChar"/>
    <w:uiPriority w:val="99"/>
    <w:rsid w:val="00321DA6"/>
    <w:pPr>
      <w:tabs>
        <w:tab w:val="center" w:pos="4320"/>
        <w:tab w:val="right" w:pos="8640"/>
      </w:tabs>
    </w:pPr>
  </w:style>
  <w:style w:type="character" w:customStyle="1" w:styleId="FooterChar">
    <w:name w:val="Footer Char"/>
    <w:basedOn w:val="DefaultParagraphFont"/>
    <w:link w:val="Footer"/>
    <w:uiPriority w:val="99"/>
    <w:locked/>
    <w:rsid w:val="00321DA6"/>
    <w:rPr>
      <w:rFonts w:cs="Times New Roman"/>
      <w:sz w:val="24"/>
    </w:rPr>
  </w:style>
  <w:style w:type="paragraph" w:styleId="Caption">
    <w:name w:val="caption"/>
    <w:basedOn w:val="Normal"/>
    <w:next w:val="BodyText"/>
    <w:uiPriority w:val="99"/>
    <w:qFormat/>
    <w:rsid w:val="00E10BE2"/>
    <w:pPr>
      <w:spacing w:before="60" w:after="240" w:line="240" w:lineRule="auto"/>
      <w:jc w:val="center"/>
    </w:pPr>
    <w:rPr>
      <w:b/>
      <w:bCs/>
    </w:rPr>
  </w:style>
  <w:style w:type="paragraph" w:styleId="TableofFigures">
    <w:name w:val="table of figures"/>
    <w:basedOn w:val="Normal"/>
    <w:next w:val="Normal"/>
    <w:uiPriority w:val="99"/>
    <w:rsid w:val="0009749E"/>
    <w:pPr>
      <w:tabs>
        <w:tab w:val="left" w:pos="1224"/>
        <w:tab w:val="right" w:leader="dot" w:pos="9360"/>
      </w:tabs>
      <w:ind w:left="1440" w:hanging="1440"/>
    </w:pPr>
  </w:style>
  <w:style w:type="paragraph" w:styleId="ListBullet">
    <w:name w:val="List Bullet"/>
    <w:basedOn w:val="Normal"/>
    <w:autoRedefine/>
    <w:uiPriority w:val="99"/>
    <w:rsid w:val="00321DA6"/>
    <w:pPr>
      <w:tabs>
        <w:tab w:val="num" w:pos="360"/>
      </w:tabs>
      <w:ind w:left="1080" w:hanging="360"/>
    </w:pPr>
    <w:rPr>
      <w:szCs w:val="24"/>
    </w:rPr>
  </w:style>
  <w:style w:type="paragraph" w:styleId="ListBullet2">
    <w:name w:val="List Bullet 2"/>
    <w:basedOn w:val="Normal"/>
    <w:autoRedefine/>
    <w:uiPriority w:val="99"/>
    <w:rsid w:val="00321DA6"/>
    <w:pPr>
      <w:tabs>
        <w:tab w:val="num" w:pos="720"/>
      </w:tabs>
      <w:ind w:left="720" w:hanging="360"/>
    </w:pPr>
    <w:rPr>
      <w:szCs w:val="24"/>
    </w:rPr>
  </w:style>
  <w:style w:type="paragraph" w:styleId="CommentSubject">
    <w:name w:val="annotation subject"/>
    <w:basedOn w:val="CommentText"/>
    <w:next w:val="CommentText"/>
    <w:link w:val="CommentSubjectChar"/>
    <w:uiPriority w:val="99"/>
    <w:rsid w:val="00321DA6"/>
    <w:rPr>
      <w:b/>
      <w:bCs/>
    </w:rPr>
  </w:style>
  <w:style w:type="character" w:customStyle="1" w:styleId="CommentSubjectChar">
    <w:name w:val="Comment Subject Char"/>
    <w:basedOn w:val="CommentTextChar"/>
    <w:link w:val="CommentSubject"/>
    <w:uiPriority w:val="99"/>
    <w:locked/>
    <w:rsid w:val="00321DA6"/>
    <w:rPr>
      <w:rFonts w:cs="Times New Roman"/>
      <w:b/>
      <w:bCs/>
    </w:rPr>
  </w:style>
  <w:style w:type="paragraph" w:styleId="BalloonText">
    <w:name w:val="Balloon Text"/>
    <w:basedOn w:val="Normal"/>
    <w:link w:val="BalloonTextChar"/>
    <w:uiPriority w:val="99"/>
    <w:rsid w:val="00321DA6"/>
    <w:rPr>
      <w:rFonts w:ascii="Tahoma" w:hAnsi="Tahoma" w:cs="Tahoma"/>
      <w:sz w:val="16"/>
      <w:szCs w:val="16"/>
    </w:rPr>
  </w:style>
  <w:style w:type="character" w:customStyle="1" w:styleId="BalloonTextChar">
    <w:name w:val="Balloon Text Char"/>
    <w:basedOn w:val="DefaultParagraphFont"/>
    <w:link w:val="BalloonText"/>
    <w:uiPriority w:val="99"/>
    <w:locked/>
    <w:rsid w:val="00321DA6"/>
    <w:rPr>
      <w:rFonts w:ascii="Tahoma" w:hAnsi="Tahoma" w:cs="Tahoma"/>
      <w:sz w:val="16"/>
      <w:szCs w:val="16"/>
    </w:rPr>
  </w:style>
  <w:style w:type="paragraph" w:customStyle="1" w:styleId="LOF">
    <w:name w:val="LOF"/>
    <w:basedOn w:val="TOC1"/>
    <w:uiPriority w:val="99"/>
    <w:rsid w:val="00321DA6"/>
    <w:pPr>
      <w:tabs>
        <w:tab w:val="left" w:pos="576"/>
      </w:tabs>
      <w:ind w:left="576" w:hanging="576"/>
    </w:pPr>
    <w:rPr>
      <w:b/>
      <w:szCs w:val="20"/>
    </w:rPr>
  </w:style>
  <w:style w:type="paragraph" w:customStyle="1" w:styleId="StyleCaptionFirstline0">
    <w:name w:val="Style Caption + First line:  0&quot;"/>
    <w:basedOn w:val="Caption"/>
    <w:uiPriority w:val="99"/>
    <w:rsid w:val="00321DA6"/>
    <w:pPr>
      <w:spacing w:before="480" w:after="480"/>
    </w:pPr>
  </w:style>
  <w:style w:type="paragraph" w:customStyle="1" w:styleId="Figure">
    <w:name w:val="Figure"/>
    <w:basedOn w:val="Normal"/>
    <w:next w:val="Caption"/>
    <w:uiPriority w:val="99"/>
    <w:rsid w:val="00321DA6"/>
    <w:pPr>
      <w:keepNext/>
      <w:ind w:left="720"/>
    </w:pPr>
    <w:rPr>
      <w:szCs w:val="24"/>
    </w:rPr>
  </w:style>
  <w:style w:type="paragraph" w:customStyle="1" w:styleId="Numbered">
    <w:name w:val="Numbered"/>
    <w:basedOn w:val="Normal"/>
    <w:uiPriority w:val="99"/>
    <w:rsid w:val="00321DA6"/>
    <w:pPr>
      <w:tabs>
        <w:tab w:val="num" w:pos="720"/>
      </w:tabs>
      <w:ind w:left="720" w:hanging="360"/>
    </w:pPr>
    <w:rPr>
      <w:szCs w:val="24"/>
    </w:rPr>
  </w:style>
  <w:style w:type="paragraph" w:customStyle="1" w:styleId="ThesisTitle">
    <w:name w:val="ThesisTitle"/>
    <w:basedOn w:val="Normal"/>
    <w:uiPriority w:val="99"/>
    <w:rsid w:val="00321DA6"/>
    <w:pPr>
      <w:jc w:val="center"/>
    </w:pPr>
  </w:style>
  <w:style w:type="paragraph" w:customStyle="1" w:styleId="TitlePageNormal">
    <w:name w:val="TitlePageNormal"/>
    <w:basedOn w:val="Normal"/>
    <w:uiPriority w:val="99"/>
    <w:rsid w:val="00321DA6"/>
    <w:pPr>
      <w:jc w:val="center"/>
    </w:pPr>
  </w:style>
  <w:style w:type="paragraph" w:customStyle="1" w:styleId="SignaturePageTitle">
    <w:name w:val="SignaturePageTitle"/>
    <w:basedOn w:val="Normal"/>
    <w:uiPriority w:val="99"/>
    <w:rsid w:val="00321DA6"/>
    <w:pPr>
      <w:spacing w:line="240" w:lineRule="auto"/>
      <w:jc w:val="center"/>
    </w:pPr>
  </w:style>
  <w:style w:type="paragraph" w:customStyle="1" w:styleId="SignaturePageNormal">
    <w:name w:val="SignaturePageNormal"/>
    <w:basedOn w:val="Normal"/>
    <w:uiPriority w:val="99"/>
    <w:rsid w:val="00321DA6"/>
    <w:pPr>
      <w:spacing w:line="240" w:lineRule="auto"/>
    </w:pPr>
  </w:style>
  <w:style w:type="paragraph" w:customStyle="1" w:styleId="SignaturePageName">
    <w:name w:val="SignaturePageName"/>
    <w:basedOn w:val="SignaturePageNormal"/>
    <w:uiPriority w:val="99"/>
    <w:rsid w:val="00321DA6"/>
    <w:pPr>
      <w:jc w:val="center"/>
    </w:pPr>
  </w:style>
  <w:style w:type="paragraph" w:customStyle="1" w:styleId="CommitteeSignature">
    <w:name w:val="CommitteeSignature"/>
    <w:basedOn w:val="BodyText"/>
    <w:uiPriority w:val="99"/>
    <w:rsid w:val="00321DA6"/>
    <w:pPr>
      <w:spacing w:line="240" w:lineRule="auto"/>
      <w:ind w:firstLine="0"/>
    </w:pPr>
  </w:style>
  <w:style w:type="paragraph" w:customStyle="1" w:styleId="LineSpace">
    <w:name w:val="LineSpace"/>
    <w:basedOn w:val="Normal"/>
    <w:uiPriority w:val="99"/>
    <w:rsid w:val="00321DA6"/>
    <w:pPr>
      <w:spacing w:line="240" w:lineRule="auto"/>
    </w:pPr>
  </w:style>
  <w:style w:type="paragraph" w:customStyle="1" w:styleId="StyleLeft0Hanging05">
    <w:name w:val="Style Left:  0&quot; Hanging:  0.5&quot;"/>
    <w:basedOn w:val="Normal"/>
    <w:uiPriority w:val="99"/>
    <w:rsid w:val="00321DA6"/>
    <w:pPr>
      <w:spacing w:after="480" w:line="240" w:lineRule="auto"/>
      <w:ind w:left="720" w:hanging="720"/>
    </w:pPr>
  </w:style>
  <w:style w:type="paragraph" w:customStyle="1" w:styleId="ListTitle">
    <w:name w:val="ListTitle"/>
    <w:basedOn w:val="LineSpace"/>
    <w:uiPriority w:val="99"/>
    <w:rsid w:val="00321DA6"/>
  </w:style>
  <w:style w:type="paragraph" w:customStyle="1" w:styleId="ListTitle2">
    <w:name w:val="List Title2"/>
    <w:basedOn w:val="SignaturePageTitle"/>
    <w:next w:val="ListTitle"/>
    <w:uiPriority w:val="99"/>
    <w:rsid w:val="00321DA6"/>
    <w:pPr>
      <w:spacing w:before="1440"/>
    </w:pPr>
  </w:style>
  <w:style w:type="paragraph" w:customStyle="1" w:styleId="SignatureText">
    <w:name w:val="Signature Text"/>
    <w:basedOn w:val="BodyText"/>
    <w:uiPriority w:val="99"/>
    <w:rsid w:val="00321DA6"/>
    <w:pPr>
      <w:spacing w:line="240" w:lineRule="auto"/>
      <w:ind w:firstLine="0"/>
    </w:pPr>
  </w:style>
  <w:style w:type="paragraph" w:customStyle="1" w:styleId="ReferenceText">
    <w:name w:val="Reference Text"/>
    <w:basedOn w:val="StyleLeft0Hanging05"/>
    <w:uiPriority w:val="99"/>
    <w:rsid w:val="00321DA6"/>
    <w:pPr>
      <w:spacing w:line="360" w:lineRule="auto"/>
    </w:pPr>
  </w:style>
  <w:style w:type="paragraph" w:customStyle="1" w:styleId="EquationCaption">
    <w:name w:val="EquationCaption"/>
    <w:basedOn w:val="Caption"/>
    <w:uiPriority w:val="99"/>
    <w:rsid w:val="00321DA6"/>
    <w:pPr>
      <w:tabs>
        <w:tab w:val="right" w:leader="dot" w:pos="8640"/>
      </w:tabs>
    </w:pPr>
  </w:style>
  <w:style w:type="paragraph" w:customStyle="1" w:styleId="StyleStyleCaptionFirstline0CenteredBefore12pt">
    <w:name w:val="Style Style Caption + First line:  0&quot; + Centered Before:  12 pt"/>
    <w:basedOn w:val="StyleCaptionFirstline0"/>
    <w:uiPriority w:val="99"/>
    <w:rsid w:val="00321DA6"/>
    <w:pPr>
      <w:spacing w:before="240" w:after="720"/>
    </w:pPr>
  </w:style>
  <w:style w:type="paragraph" w:customStyle="1" w:styleId="StyleCaptionCentered">
    <w:name w:val="Style Caption + Centered"/>
    <w:basedOn w:val="Caption"/>
    <w:uiPriority w:val="99"/>
    <w:rsid w:val="00321DA6"/>
    <w:pPr>
      <w:spacing w:before="720"/>
    </w:pPr>
  </w:style>
  <w:style w:type="paragraph" w:customStyle="1" w:styleId="StyleCaptionCentered1">
    <w:name w:val="Style Caption + Centered1"/>
    <w:basedOn w:val="Caption"/>
    <w:uiPriority w:val="99"/>
    <w:rsid w:val="00321DA6"/>
    <w:pPr>
      <w:spacing w:before="720"/>
    </w:pPr>
  </w:style>
  <w:style w:type="paragraph" w:customStyle="1" w:styleId="StyleHeading2Before18pt">
    <w:name w:val="Style Heading 2 + Before:  18 pt"/>
    <w:basedOn w:val="Heading2"/>
    <w:uiPriority w:val="99"/>
    <w:rsid w:val="00321DA6"/>
    <w:rPr>
      <w:rFonts w:cs="Times New Roman"/>
      <w:iCs w:val="0"/>
      <w:szCs w:val="20"/>
    </w:rPr>
  </w:style>
  <w:style w:type="paragraph" w:customStyle="1" w:styleId="Style1">
    <w:name w:val="Style1"/>
    <w:basedOn w:val="ListTitle2"/>
    <w:uiPriority w:val="99"/>
    <w:rsid w:val="00321DA6"/>
  </w:style>
  <w:style w:type="paragraph" w:customStyle="1" w:styleId="listtitle3">
    <w:name w:val="list title 3"/>
    <w:basedOn w:val="ListTitle2"/>
    <w:uiPriority w:val="99"/>
    <w:rsid w:val="00321DA6"/>
  </w:style>
  <w:style w:type="paragraph" w:customStyle="1" w:styleId="Style2">
    <w:name w:val="Style2"/>
    <w:basedOn w:val="ListTitle2"/>
    <w:uiPriority w:val="99"/>
    <w:rsid w:val="00321DA6"/>
    <w:pPr>
      <w:jc w:val="left"/>
    </w:pPr>
  </w:style>
  <w:style w:type="paragraph" w:customStyle="1" w:styleId="Level1">
    <w:name w:val="Level 1"/>
    <w:uiPriority w:val="99"/>
    <w:rsid w:val="00321DA6"/>
    <w:pPr>
      <w:autoSpaceDE w:val="0"/>
      <w:autoSpaceDN w:val="0"/>
      <w:adjustRightInd w:val="0"/>
      <w:ind w:left="720"/>
    </w:pPr>
    <w:rPr>
      <w:sz w:val="24"/>
      <w:szCs w:val="24"/>
    </w:rPr>
  </w:style>
  <w:style w:type="character" w:styleId="CommentReference">
    <w:name w:val="annotation reference"/>
    <w:basedOn w:val="DefaultParagraphFont"/>
    <w:rsid w:val="00321DA6"/>
    <w:rPr>
      <w:rFonts w:cs="Times New Roman"/>
      <w:sz w:val="16"/>
      <w:szCs w:val="16"/>
    </w:rPr>
  </w:style>
  <w:style w:type="table" w:styleId="TableClassic1">
    <w:name w:val="Table Classic 1"/>
    <w:basedOn w:val="TableNormal"/>
    <w:uiPriority w:val="99"/>
    <w:rsid w:val="00321DA6"/>
    <w:pPr>
      <w:spacing w:line="480" w:lineRule="auto"/>
      <w:ind w:firstLine="7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uiPriority w:val="99"/>
    <w:rsid w:val="00E6740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67407"/>
    <w:pPr>
      <w:spacing w:after="200" w:line="276" w:lineRule="auto"/>
      <w:ind w:left="720"/>
      <w:contextualSpacing/>
    </w:pPr>
    <w:rPr>
      <w:rFonts w:ascii="Calibri" w:hAnsi="Calibri"/>
      <w:sz w:val="22"/>
      <w:szCs w:val="22"/>
    </w:rPr>
  </w:style>
  <w:style w:type="paragraph" w:styleId="NoSpacing">
    <w:name w:val="No Spacing"/>
    <w:link w:val="NoSpacingChar"/>
    <w:uiPriority w:val="1"/>
    <w:qFormat/>
    <w:rsid w:val="006B7660"/>
    <w:rPr>
      <w:sz w:val="24"/>
    </w:rPr>
  </w:style>
  <w:style w:type="character" w:styleId="PlaceholderText">
    <w:name w:val="Placeholder Text"/>
    <w:basedOn w:val="DefaultParagraphFont"/>
    <w:uiPriority w:val="99"/>
    <w:semiHidden/>
    <w:rsid w:val="004A4EB2"/>
    <w:rPr>
      <w:rFonts w:cs="Times New Roman"/>
      <w:color w:val="808080"/>
    </w:rPr>
  </w:style>
  <w:style w:type="paragraph" w:styleId="Revision">
    <w:name w:val="Revision"/>
    <w:hidden/>
    <w:uiPriority w:val="99"/>
    <w:semiHidden/>
    <w:rsid w:val="00323897"/>
    <w:rPr>
      <w:sz w:val="24"/>
    </w:rPr>
  </w:style>
  <w:style w:type="character" w:customStyle="1" w:styleId="NoSpacingChar">
    <w:name w:val="No Spacing Char"/>
    <w:basedOn w:val="DefaultParagraphFont"/>
    <w:link w:val="NoSpacing"/>
    <w:uiPriority w:val="99"/>
    <w:locked/>
    <w:rsid w:val="004B6104"/>
    <w:rPr>
      <w:sz w:val="24"/>
      <w:lang w:val="en-US" w:eastAsia="en-US" w:bidi="ar-SA"/>
    </w:rPr>
  </w:style>
  <w:style w:type="character" w:customStyle="1" w:styleId="apple-style-span">
    <w:name w:val="apple-style-span"/>
    <w:basedOn w:val="DefaultParagraphFont"/>
    <w:uiPriority w:val="99"/>
    <w:rsid w:val="00D44B4C"/>
    <w:rPr>
      <w:rFonts w:cs="Times New Roman"/>
    </w:rPr>
  </w:style>
  <w:style w:type="character" w:customStyle="1" w:styleId="apple-converted-space">
    <w:name w:val="apple-converted-space"/>
    <w:basedOn w:val="DefaultParagraphFont"/>
    <w:uiPriority w:val="99"/>
    <w:rsid w:val="00D44B4C"/>
    <w:rPr>
      <w:rFonts w:cs="Times New Roman"/>
    </w:rPr>
  </w:style>
  <w:style w:type="paragraph" w:styleId="NormalWeb">
    <w:name w:val="Normal (Web)"/>
    <w:basedOn w:val="Normal"/>
    <w:uiPriority w:val="99"/>
    <w:rsid w:val="00FB429B"/>
    <w:pPr>
      <w:spacing w:before="100" w:beforeAutospacing="1" w:after="100" w:afterAutospacing="1" w:line="240" w:lineRule="auto"/>
    </w:pPr>
    <w:rPr>
      <w:szCs w:val="24"/>
    </w:rPr>
  </w:style>
  <w:style w:type="numbering" w:customStyle="1" w:styleId="NoList1">
    <w:name w:val="No List1"/>
    <w:next w:val="NoList"/>
    <w:semiHidden/>
    <w:rsid w:val="00EB63F1"/>
  </w:style>
  <w:style w:type="paragraph" w:styleId="Title">
    <w:name w:val="Title"/>
    <w:basedOn w:val="Normal"/>
    <w:link w:val="TitleChar"/>
    <w:qFormat/>
    <w:rsid w:val="00EB63F1"/>
    <w:pPr>
      <w:jc w:val="center"/>
    </w:pPr>
    <w:rPr>
      <w:b/>
      <w:szCs w:val="24"/>
    </w:rPr>
  </w:style>
  <w:style w:type="character" w:customStyle="1" w:styleId="TitleChar">
    <w:name w:val="Title Char"/>
    <w:basedOn w:val="DefaultParagraphFont"/>
    <w:link w:val="Title"/>
    <w:rsid w:val="00EB63F1"/>
    <w:rPr>
      <w:b/>
      <w:sz w:val="24"/>
      <w:szCs w:val="24"/>
    </w:rPr>
  </w:style>
  <w:style w:type="paragraph" w:styleId="Subtitle">
    <w:name w:val="Subtitle"/>
    <w:basedOn w:val="Normal"/>
    <w:link w:val="SubtitleChar"/>
    <w:qFormat/>
    <w:rsid w:val="00EB63F1"/>
    <w:pPr>
      <w:jc w:val="center"/>
    </w:pPr>
    <w:rPr>
      <w:b/>
      <w:szCs w:val="24"/>
    </w:rPr>
  </w:style>
  <w:style w:type="character" w:customStyle="1" w:styleId="SubtitleChar">
    <w:name w:val="Subtitle Char"/>
    <w:basedOn w:val="DefaultParagraphFont"/>
    <w:link w:val="Subtitle"/>
    <w:rsid w:val="00EB63F1"/>
    <w:rPr>
      <w:b/>
      <w:sz w:val="24"/>
      <w:szCs w:val="24"/>
    </w:rPr>
  </w:style>
  <w:style w:type="character" w:styleId="PageNumber">
    <w:name w:val="page number"/>
    <w:basedOn w:val="DefaultParagraphFont"/>
    <w:locked/>
    <w:rsid w:val="00EB63F1"/>
  </w:style>
  <w:style w:type="paragraph" w:styleId="BodyTextIndent2">
    <w:name w:val="Body Text Indent 2"/>
    <w:basedOn w:val="Normal"/>
    <w:link w:val="BodyTextIndent2Char"/>
    <w:locked/>
    <w:rsid w:val="00EB63F1"/>
    <w:rPr>
      <w:szCs w:val="24"/>
    </w:rPr>
  </w:style>
  <w:style w:type="character" w:customStyle="1" w:styleId="BodyTextIndent2Char">
    <w:name w:val="Body Text Indent 2 Char"/>
    <w:basedOn w:val="DefaultParagraphFont"/>
    <w:link w:val="BodyTextIndent2"/>
    <w:rsid w:val="00EB63F1"/>
    <w:rPr>
      <w:sz w:val="24"/>
      <w:szCs w:val="24"/>
    </w:rPr>
  </w:style>
  <w:style w:type="paragraph" w:styleId="BodyText3">
    <w:name w:val="Body Text 3"/>
    <w:basedOn w:val="Normal"/>
    <w:link w:val="BodyText3Char"/>
    <w:locked/>
    <w:rsid w:val="00EB63F1"/>
    <w:pPr>
      <w:jc w:val="center"/>
    </w:pPr>
    <w:rPr>
      <w:b/>
      <w:bCs/>
      <w:szCs w:val="24"/>
    </w:rPr>
  </w:style>
  <w:style w:type="character" w:customStyle="1" w:styleId="BodyText3Char">
    <w:name w:val="Body Text 3 Char"/>
    <w:basedOn w:val="DefaultParagraphFont"/>
    <w:link w:val="BodyText3"/>
    <w:rsid w:val="00EB63F1"/>
    <w:rPr>
      <w:b/>
      <w:bCs/>
      <w:sz w:val="24"/>
      <w:szCs w:val="24"/>
    </w:rPr>
  </w:style>
  <w:style w:type="paragraph" w:styleId="BodyTextIndent">
    <w:name w:val="Body Text Indent"/>
    <w:basedOn w:val="Normal"/>
    <w:link w:val="BodyTextIndentChar"/>
    <w:locked/>
    <w:rsid w:val="00EB63F1"/>
    <w:pPr>
      <w:spacing w:line="240" w:lineRule="auto"/>
      <w:ind w:left="720" w:firstLine="58"/>
    </w:pPr>
    <w:rPr>
      <w:szCs w:val="24"/>
    </w:rPr>
  </w:style>
  <w:style w:type="character" w:customStyle="1" w:styleId="BodyTextIndentChar">
    <w:name w:val="Body Text Indent Char"/>
    <w:basedOn w:val="DefaultParagraphFont"/>
    <w:link w:val="BodyTextIndent"/>
    <w:rsid w:val="00EB63F1"/>
    <w:rPr>
      <w:sz w:val="24"/>
      <w:szCs w:val="24"/>
    </w:rPr>
  </w:style>
  <w:style w:type="character" w:styleId="LineNumber">
    <w:name w:val="line number"/>
    <w:basedOn w:val="DefaultParagraphFont"/>
    <w:locked/>
    <w:rsid w:val="00EB63F1"/>
  </w:style>
  <w:style w:type="paragraph" w:customStyle="1" w:styleId="UDOTSubsection">
    <w:name w:val="UDOT Subsection"/>
    <w:basedOn w:val="Normal"/>
    <w:link w:val="UDOTSubsectionChar"/>
    <w:qFormat/>
    <w:rsid w:val="00EB63F1"/>
    <w:rPr>
      <w:szCs w:val="24"/>
      <w:u w:val="single"/>
    </w:rPr>
  </w:style>
  <w:style w:type="paragraph" w:customStyle="1" w:styleId="NoUnderline-UDOTTitle">
    <w:name w:val="No Underline - UDOT Title"/>
    <w:basedOn w:val="Normal"/>
    <w:link w:val="NoUnderline-UDOTTitleChar"/>
    <w:qFormat/>
    <w:rsid w:val="00DD1EA9"/>
    <w:pPr>
      <w:spacing w:before="240" w:after="240"/>
      <w:jc w:val="center"/>
    </w:pPr>
    <w:rPr>
      <w:b/>
      <w:bCs/>
      <w:caps/>
      <w:szCs w:val="24"/>
    </w:rPr>
  </w:style>
  <w:style w:type="character" w:customStyle="1" w:styleId="UDOTSubsectionChar">
    <w:name w:val="UDOT Subsection Char"/>
    <w:link w:val="UDOTSubsection"/>
    <w:rsid w:val="00EB63F1"/>
    <w:rPr>
      <w:sz w:val="24"/>
      <w:szCs w:val="24"/>
      <w:u w:val="single"/>
    </w:rPr>
  </w:style>
  <w:style w:type="paragraph" w:customStyle="1" w:styleId="UDOTSectionTitle">
    <w:name w:val="UDOT Section Title"/>
    <w:basedOn w:val="Normal"/>
    <w:link w:val="UDOTSectionTitleChar"/>
    <w:qFormat/>
    <w:rsid w:val="00EB63F1"/>
    <w:rPr>
      <w:b/>
      <w:szCs w:val="24"/>
    </w:rPr>
  </w:style>
  <w:style w:type="character" w:customStyle="1" w:styleId="NoUnderline-UDOTTitleChar">
    <w:name w:val="No Underline - UDOT Title Char"/>
    <w:link w:val="NoUnderline-UDOTTitle"/>
    <w:rsid w:val="00DD1EA9"/>
    <w:rPr>
      <w:b/>
      <w:bCs/>
      <w:caps/>
      <w:sz w:val="24"/>
      <w:szCs w:val="24"/>
    </w:rPr>
  </w:style>
  <w:style w:type="character" w:customStyle="1" w:styleId="UDOTSectionTitleChar">
    <w:name w:val="UDOT Section Title Char"/>
    <w:link w:val="UDOTSectionTitle"/>
    <w:rsid w:val="00EB63F1"/>
    <w:rPr>
      <w:b/>
      <w:sz w:val="24"/>
      <w:szCs w:val="24"/>
    </w:rPr>
  </w:style>
  <w:style w:type="paragraph" w:styleId="BodyTextIndent3">
    <w:name w:val="Body Text Indent 3"/>
    <w:basedOn w:val="Normal"/>
    <w:link w:val="BodyTextIndent3Char"/>
    <w:locked/>
    <w:rsid w:val="00EB63F1"/>
    <w:pPr>
      <w:spacing w:after="120" w:line="240" w:lineRule="auto"/>
      <w:ind w:left="360"/>
    </w:pPr>
    <w:rPr>
      <w:rFonts w:eastAsia="MS Mincho"/>
      <w:sz w:val="16"/>
      <w:szCs w:val="16"/>
      <w:lang w:eastAsia="ja-JP"/>
    </w:rPr>
  </w:style>
  <w:style w:type="character" w:customStyle="1" w:styleId="BodyTextIndent3Char">
    <w:name w:val="Body Text Indent 3 Char"/>
    <w:basedOn w:val="DefaultParagraphFont"/>
    <w:link w:val="BodyTextIndent3"/>
    <w:rsid w:val="00EB63F1"/>
    <w:rPr>
      <w:rFonts w:eastAsia="MS Mincho"/>
      <w:sz w:val="16"/>
      <w:szCs w:val="16"/>
      <w:lang w:eastAsia="ja-JP"/>
    </w:rPr>
  </w:style>
  <w:style w:type="character" w:styleId="Strong">
    <w:name w:val="Strong"/>
    <w:basedOn w:val="DefaultParagraphFont"/>
    <w:qFormat/>
    <w:rsid w:val="00B17038"/>
    <w:rPr>
      <w:b/>
      <w:bCs/>
    </w:rPr>
  </w:style>
  <w:style w:type="paragraph" w:customStyle="1" w:styleId="MTDisplayEquation">
    <w:name w:val="MTDisplayEquation"/>
    <w:basedOn w:val="Normal"/>
    <w:link w:val="MTDisplayEquationChar"/>
    <w:rsid w:val="00383379"/>
    <w:pPr>
      <w:spacing w:after="200" w:line="240" w:lineRule="auto"/>
    </w:pPr>
    <w:rPr>
      <w:rFonts w:ascii="Calibri" w:eastAsia="Calibri" w:hAnsi="Calibri"/>
      <w:sz w:val="22"/>
      <w:szCs w:val="22"/>
    </w:rPr>
  </w:style>
  <w:style w:type="character" w:customStyle="1" w:styleId="MTDisplayEquationChar">
    <w:name w:val="MTDisplayEquation Char"/>
    <w:link w:val="MTDisplayEquation"/>
    <w:rsid w:val="00383379"/>
    <w:rPr>
      <w:rFonts w:ascii="Calibri" w:eastAsia="Calibri" w:hAnsi="Calibri"/>
      <w:sz w:val="22"/>
      <w:szCs w:val="22"/>
    </w:rPr>
  </w:style>
  <w:style w:type="character" w:customStyle="1" w:styleId="MTEquationSection">
    <w:name w:val="MTEquationSection"/>
    <w:basedOn w:val="DefaultParagraphFont"/>
    <w:rsid w:val="00C15867"/>
    <w:rPr>
      <w:vanish/>
      <w:color w:val="FF0000"/>
    </w:rPr>
  </w:style>
  <w:style w:type="paragraph" w:customStyle="1" w:styleId="font5">
    <w:name w:val="font5"/>
    <w:basedOn w:val="Normal"/>
    <w:rsid w:val="00A155FB"/>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Normal"/>
    <w:rsid w:val="00A155FB"/>
    <w:pPr>
      <w:spacing w:before="100" w:beforeAutospacing="1" w:after="100" w:afterAutospacing="1" w:line="240" w:lineRule="auto"/>
    </w:pPr>
    <w:rPr>
      <w:rFonts w:ascii="Tahoma" w:hAnsi="Tahoma" w:cs="Tahoma"/>
      <w:b/>
      <w:bCs/>
      <w:color w:val="000000"/>
      <w:sz w:val="18"/>
      <w:szCs w:val="18"/>
    </w:rPr>
  </w:style>
  <w:style w:type="paragraph" w:customStyle="1" w:styleId="xl70">
    <w:name w:val="xl70"/>
    <w:basedOn w:val="Normal"/>
    <w:rsid w:val="00A155FB"/>
    <w:pPr>
      <w:pBdr>
        <w:top w:val="single" w:sz="4" w:space="0" w:color="auto"/>
        <w:left w:val="single" w:sz="4" w:space="0" w:color="auto"/>
        <w:bottom w:val="single" w:sz="4" w:space="0" w:color="auto"/>
      </w:pBdr>
      <w:spacing w:before="100" w:beforeAutospacing="1" w:after="100" w:afterAutospacing="1" w:line="240" w:lineRule="auto"/>
      <w:jc w:val="center"/>
    </w:pPr>
    <w:rPr>
      <w:szCs w:val="24"/>
    </w:rPr>
  </w:style>
  <w:style w:type="paragraph" w:customStyle="1" w:styleId="xl71">
    <w:name w:val="xl71"/>
    <w:basedOn w:val="Normal"/>
    <w:rsid w:val="00A155FB"/>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72">
    <w:name w:val="xl72"/>
    <w:basedOn w:val="Normal"/>
    <w:rsid w:val="00A155FB"/>
    <w:pPr>
      <w:pBdr>
        <w:top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73">
    <w:name w:val="xl73"/>
    <w:basedOn w:val="Normal"/>
    <w:rsid w:val="00A155FB"/>
    <w:pPr>
      <w:spacing w:before="100" w:beforeAutospacing="1" w:after="100" w:afterAutospacing="1" w:line="240" w:lineRule="auto"/>
      <w:jc w:val="center"/>
    </w:pPr>
    <w:rPr>
      <w:szCs w:val="24"/>
    </w:rPr>
  </w:style>
  <w:style w:type="paragraph" w:customStyle="1" w:styleId="xl74">
    <w:name w:val="xl74"/>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75">
    <w:name w:val="xl75"/>
    <w:basedOn w:val="Normal"/>
    <w:rsid w:val="00A155FB"/>
    <w:pPr>
      <w:spacing w:before="100" w:beforeAutospacing="1" w:after="100" w:afterAutospacing="1" w:line="240" w:lineRule="auto"/>
      <w:jc w:val="center"/>
    </w:pPr>
    <w:rPr>
      <w:szCs w:val="24"/>
    </w:rPr>
  </w:style>
  <w:style w:type="paragraph" w:customStyle="1" w:styleId="xl76">
    <w:name w:val="xl76"/>
    <w:basedOn w:val="Normal"/>
    <w:rsid w:val="00A155F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77">
    <w:name w:val="xl77"/>
    <w:basedOn w:val="Normal"/>
    <w:rsid w:val="00A155F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78">
    <w:name w:val="xl78"/>
    <w:basedOn w:val="Normal"/>
    <w:rsid w:val="00A155FB"/>
    <w:pPr>
      <w:pBdr>
        <w:top w:val="single" w:sz="4" w:space="0" w:color="auto"/>
        <w:left w:val="single" w:sz="4" w:space="0" w:color="auto"/>
      </w:pBdr>
      <w:shd w:val="clear" w:color="000000" w:fill="F2F2F2"/>
      <w:spacing w:before="100" w:beforeAutospacing="1" w:after="100" w:afterAutospacing="1" w:line="240" w:lineRule="auto"/>
      <w:jc w:val="center"/>
    </w:pPr>
    <w:rPr>
      <w:szCs w:val="24"/>
    </w:rPr>
  </w:style>
  <w:style w:type="paragraph" w:customStyle="1" w:styleId="xl79">
    <w:name w:val="xl79"/>
    <w:basedOn w:val="Normal"/>
    <w:rsid w:val="00A155FB"/>
    <w:pPr>
      <w:pBdr>
        <w:top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80">
    <w:name w:val="xl80"/>
    <w:basedOn w:val="Normal"/>
    <w:rsid w:val="00A155FB"/>
    <w:pPr>
      <w:pBdr>
        <w:left w:val="single" w:sz="4" w:space="0" w:color="auto"/>
      </w:pBdr>
      <w:shd w:val="clear" w:color="000000" w:fill="F2F2F2"/>
      <w:spacing w:before="100" w:beforeAutospacing="1" w:after="100" w:afterAutospacing="1" w:line="240" w:lineRule="auto"/>
      <w:jc w:val="center"/>
    </w:pPr>
    <w:rPr>
      <w:szCs w:val="24"/>
    </w:rPr>
  </w:style>
  <w:style w:type="paragraph" w:customStyle="1" w:styleId="xl81">
    <w:name w:val="xl81"/>
    <w:basedOn w:val="Normal"/>
    <w:rsid w:val="00A155FB"/>
    <w:pPr>
      <w:pBdr>
        <w:right w:val="single" w:sz="4" w:space="0" w:color="auto"/>
      </w:pBdr>
      <w:shd w:val="clear" w:color="000000" w:fill="F2F2F2"/>
      <w:spacing w:before="100" w:beforeAutospacing="1" w:after="100" w:afterAutospacing="1" w:line="240" w:lineRule="auto"/>
      <w:jc w:val="center"/>
    </w:pPr>
    <w:rPr>
      <w:szCs w:val="24"/>
    </w:rPr>
  </w:style>
  <w:style w:type="paragraph" w:customStyle="1" w:styleId="xl82">
    <w:name w:val="xl82"/>
    <w:basedOn w:val="Normal"/>
    <w:rsid w:val="00A155FB"/>
    <w:pPr>
      <w:pBdr>
        <w:left w:val="single" w:sz="4" w:space="0" w:color="auto"/>
      </w:pBdr>
      <w:spacing w:before="100" w:beforeAutospacing="1" w:after="100" w:afterAutospacing="1" w:line="240" w:lineRule="auto"/>
      <w:jc w:val="center"/>
    </w:pPr>
    <w:rPr>
      <w:szCs w:val="24"/>
    </w:rPr>
  </w:style>
  <w:style w:type="paragraph" w:customStyle="1" w:styleId="xl83">
    <w:name w:val="xl83"/>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84">
    <w:name w:val="xl84"/>
    <w:basedOn w:val="Normal"/>
    <w:rsid w:val="00A155FB"/>
    <w:pPr>
      <w:pBdr>
        <w:left w:val="single" w:sz="4" w:space="0" w:color="auto"/>
        <w:bottom w:val="single" w:sz="4" w:space="0" w:color="auto"/>
      </w:pBdr>
      <w:spacing w:before="100" w:beforeAutospacing="1" w:after="100" w:afterAutospacing="1" w:line="240" w:lineRule="auto"/>
      <w:jc w:val="center"/>
    </w:pPr>
    <w:rPr>
      <w:szCs w:val="24"/>
    </w:rPr>
  </w:style>
  <w:style w:type="paragraph" w:customStyle="1" w:styleId="xl85">
    <w:name w:val="xl85"/>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86">
    <w:name w:val="xl86"/>
    <w:basedOn w:val="Normal"/>
    <w:rsid w:val="00A155FB"/>
    <w:pPr>
      <w:pBdr>
        <w:top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87">
    <w:name w:val="xl87"/>
    <w:basedOn w:val="Normal"/>
    <w:rsid w:val="00A155FB"/>
    <w:pPr>
      <w:shd w:val="clear" w:color="000000" w:fill="F2F2F2"/>
      <w:spacing w:before="100" w:beforeAutospacing="1" w:after="100" w:afterAutospacing="1" w:line="240" w:lineRule="auto"/>
      <w:jc w:val="center"/>
    </w:pPr>
    <w:rPr>
      <w:szCs w:val="24"/>
    </w:rPr>
  </w:style>
  <w:style w:type="paragraph" w:customStyle="1" w:styleId="xl88">
    <w:name w:val="xl88"/>
    <w:basedOn w:val="Normal"/>
    <w:rsid w:val="00A155FB"/>
    <w:pPr>
      <w:pBdr>
        <w:top w:val="single" w:sz="4" w:space="0" w:color="auto"/>
        <w:left w:val="single" w:sz="4" w:space="0" w:color="auto"/>
      </w:pBdr>
      <w:spacing w:before="100" w:beforeAutospacing="1" w:after="100" w:afterAutospacing="1" w:line="240" w:lineRule="auto"/>
      <w:jc w:val="center"/>
    </w:pPr>
    <w:rPr>
      <w:szCs w:val="24"/>
    </w:rPr>
  </w:style>
  <w:style w:type="paragraph" w:customStyle="1" w:styleId="xl89">
    <w:name w:val="xl89"/>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0">
    <w:name w:val="xl90"/>
    <w:basedOn w:val="Normal"/>
    <w:rsid w:val="00A155FB"/>
    <w:pPr>
      <w:pBdr>
        <w:top w:val="single" w:sz="4" w:space="0" w:color="auto"/>
      </w:pBdr>
      <w:shd w:val="clear" w:color="000000" w:fill="F2F2F2"/>
      <w:spacing w:before="100" w:beforeAutospacing="1" w:after="100" w:afterAutospacing="1" w:line="240" w:lineRule="auto"/>
      <w:jc w:val="center"/>
    </w:pPr>
    <w:rPr>
      <w:szCs w:val="24"/>
    </w:rPr>
  </w:style>
  <w:style w:type="paragraph" w:customStyle="1" w:styleId="xl91">
    <w:name w:val="xl91"/>
    <w:basedOn w:val="Normal"/>
    <w:rsid w:val="00A155FB"/>
    <w:pPr>
      <w:pBdr>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92">
    <w:name w:val="xl92"/>
    <w:basedOn w:val="Normal"/>
    <w:rsid w:val="00A155FB"/>
    <w:pPr>
      <w:pBdr>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93">
    <w:name w:val="xl93"/>
    <w:basedOn w:val="Normal"/>
    <w:rsid w:val="00A155FB"/>
    <w:pPr>
      <w:pBdr>
        <w:bottom w:val="single" w:sz="4" w:space="0" w:color="auto"/>
      </w:pBdr>
      <w:shd w:val="clear" w:color="000000" w:fill="F2F2F2"/>
      <w:spacing w:before="100" w:beforeAutospacing="1" w:after="100" w:afterAutospacing="1" w:line="240" w:lineRule="auto"/>
      <w:jc w:val="center"/>
    </w:pPr>
    <w:rPr>
      <w:szCs w:val="24"/>
    </w:rPr>
  </w:style>
  <w:style w:type="paragraph" w:customStyle="1" w:styleId="xl94">
    <w:name w:val="xl94"/>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5">
    <w:name w:val="xl95"/>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96">
    <w:name w:val="xl96"/>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7">
    <w:name w:val="xl97"/>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8">
    <w:name w:val="xl98"/>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99">
    <w:name w:val="xl99"/>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0">
    <w:name w:val="xl100"/>
    <w:basedOn w:val="Normal"/>
    <w:rsid w:val="00A155FB"/>
    <w:pPr>
      <w:shd w:val="clear" w:color="000000" w:fill="DDEBF7"/>
      <w:spacing w:before="100" w:beforeAutospacing="1" w:after="100" w:afterAutospacing="1" w:line="240" w:lineRule="auto"/>
      <w:jc w:val="center"/>
    </w:pPr>
    <w:rPr>
      <w:szCs w:val="24"/>
    </w:rPr>
  </w:style>
  <w:style w:type="paragraph" w:customStyle="1" w:styleId="xl101">
    <w:name w:val="xl101"/>
    <w:basedOn w:val="Normal"/>
    <w:rsid w:val="00A155FB"/>
    <w:pPr>
      <w:shd w:val="clear" w:color="000000" w:fill="FFF2CC"/>
      <w:spacing w:before="100" w:beforeAutospacing="1" w:after="100" w:afterAutospacing="1" w:line="240" w:lineRule="auto"/>
      <w:jc w:val="center"/>
    </w:pPr>
    <w:rPr>
      <w:szCs w:val="24"/>
    </w:rPr>
  </w:style>
  <w:style w:type="paragraph" w:customStyle="1" w:styleId="xl102">
    <w:name w:val="xl102"/>
    <w:basedOn w:val="Normal"/>
    <w:rsid w:val="00A155FB"/>
    <w:pPr>
      <w:shd w:val="clear" w:color="000000" w:fill="E2EFDA"/>
      <w:spacing w:before="100" w:beforeAutospacing="1" w:after="100" w:afterAutospacing="1" w:line="240" w:lineRule="auto"/>
      <w:jc w:val="center"/>
    </w:pPr>
    <w:rPr>
      <w:szCs w:val="24"/>
    </w:rPr>
  </w:style>
  <w:style w:type="paragraph" w:customStyle="1" w:styleId="xl103">
    <w:name w:val="xl103"/>
    <w:basedOn w:val="Normal"/>
    <w:rsid w:val="00A155FB"/>
    <w:pPr>
      <w:shd w:val="clear" w:color="000000" w:fill="5B9BD5"/>
      <w:spacing w:before="100" w:beforeAutospacing="1" w:after="100" w:afterAutospacing="1" w:line="240" w:lineRule="auto"/>
      <w:jc w:val="center"/>
    </w:pPr>
    <w:rPr>
      <w:szCs w:val="24"/>
    </w:rPr>
  </w:style>
  <w:style w:type="paragraph" w:customStyle="1" w:styleId="xl104">
    <w:name w:val="xl104"/>
    <w:basedOn w:val="Normal"/>
    <w:rsid w:val="00A155FB"/>
    <w:pPr>
      <w:shd w:val="clear" w:color="000000" w:fill="FFC000"/>
      <w:spacing w:before="100" w:beforeAutospacing="1" w:after="100" w:afterAutospacing="1" w:line="240" w:lineRule="auto"/>
      <w:jc w:val="center"/>
    </w:pPr>
    <w:rPr>
      <w:szCs w:val="24"/>
    </w:rPr>
  </w:style>
  <w:style w:type="paragraph" w:customStyle="1" w:styleId="xl105">
    <w:name w:val="xl105"/>
    <w:basedOn w:val="Normal"/>
    <w:rsid w:val="00A155FB"/>
    <w:pPr>
      <w:shd w:val="clear" w:color="000000" w:fill="70AD47"/>
      <w:spacing w:before="100" w:beforeAutospacing="1" w:after="100" w:afterAutospacing="1" w:line="240" w:lineRule="auto"/>
      <w:jc w:val="center"/>
    </w:pPr>
    <w:rPr>
      <w:szCs w:val="24"/>
    </w:rPr>
  </w:style>
  <w:style w:type="paragraph" w:customStyle="1" w:styleId="xl106">
    <w:name w:val="xl106"/>
    <w:basedOn w:val="Normal"/>
    <w:rsid w:val="00A155FB"/>
    <w:pPr>
      <w:spacing w:before="100" w:beforeAutospacing="1" w:after="100" w:afterAutospacing="1" w:line="240" w:lineRule="auto"/>
      <w:jc w:val="center"/>
    </w:pPr>
    <w:rPr>
      <w:szCs w:val="24"/>
    </w:rPr>
  </w:style>
  <w:style w:type="paragraph" w:styleId="FootnoteText">
    <w:name w:val="footnote text"/>
    <w:basedOn w:val="Normal"/>
    <w:link w:val="FootnoteTextChar"/>
    <w:uiPriority w:val="99"/>
    <w:semiHidden/>
    <w:locked/>
    <w:rsid w:val="00B9789A"/>
    <w:pPr>
      <w:spacing w:after="200" w:line="276" w:lineRule="auto"/>
    </w:pPr>
    <w:rPr>
      <w:rFonts w:ascii="Calibri" w:eastAsia="Calibri" w:hAnsi="Calibri"/>
      <w:sz w:val="20"/>
      <w:lang w:eastAsia="ko-KR"/>
    </w:rPr>
  </w:style>
  <w:style w:type="character" w:customStyle="1" w:styleId="FootnoteTextChar">
    <w:name w:val="Footnote Text Char"/>
    <w:basedOn w:val="DefaultParagraphFont"/>
    <w:link w:val="FootnoteText"/>
    <w:uiPriority w:val="99"/>
    <w:semiHidden/>
    <w:rsid w:val="00B9789A"/>
    <w:rPr>
      <w:rFonts w:ascii="Calibri" w:eastAsia="Calibri" w:hAnsi="Calibri"/>
      <w:lang w:eastAsia="ko-KR"/>
    </w:rPr>
  </w:style>
  <w:style w:type="character" w:customStyle="1" w:styleId="nlmstring-name">
    <w:name w:val="nlm_string-name"/>
    <w:basedOn w:val="DefaultParagraphFont"/>
    <w:rsid w:val="0053632C"/>
  </w:style>
  <w:style w:type="paragraph" w:customStyle="1" w:styleId="EndNoteBibliographyTitle">
    <w:name w:val="EndNote Bibliography Title"/>
    <w:basedOn w:val="Normal"/>
    <w:link w:val="EndNoteBibliographyTitleChar"/>
    <w:rsid w:val="00670AB3"/>
    <w:pPr>
      <w:jc w:val="center"/>
    </w:pPr>
    <w:rPr>
      <w:noProof/>
    </w:rPr>
  </w:style>
  <w:style w:type="character" w:customStyle="1" w:styleId="EndNoteBibliographyTitleChar">
    <w:name w:val="EndNote Bibliography Title Char"/>
    <w:basedOn w:val="DefaultParagraphFont"/>
    <w:link w:val="EndNoteBibliographyTitle"/>
    <w:rsid w:val="00670AB3"/>
    <w:rPr>
      <w:noProof/>
      <w:sz w:val="24"/>
    </w:rPr>
  </w:style>
  <w:style w:type="paragraph" w:customStyle="1" w:styleId="EndNoteBibliography">
    <w:name w:val="EndNote Bibliography"/>
    <w:basedOn w:val="Normal"/>
    <w:link w:val="EndNoteBibliographyChar"/>
    <w:rsid w:val="00670AB3"/>
    <w:rPr>
      <w:noProof/>
    </w:rPr>
  </w:style>
  <w:style w:type="character" w:customStyle="1" w:styleId="EndNoteBibliographyChar">
    <w:name w:val="EndNote Bibliography Char"/>
    <w:basedOn w:val="DefaultParagraphFont"/>
    <w:link w:val="EndNoteBibliography"/>
    <w:rsid w:val="00670AB3"/>
    <w:rPr>
      <w:noProof/>
      <w:sz w:val="24"/>
    </w:rPr>
  </w:style>
  <w:style w:type="paragraph" w:customStyle="1" w:styleId="Normal2">
    <w:name w:val="Normal 2"/>
    <w:basedOn w:val="Normal"/>
    <w:link w:val="Normal2Char"/>
    <w:qFormat/>
    <w:rsid w:val="00BF4E04"/>
    <w:pPr>
      <w:jc w:val="center"/>
    </w:pPr>
    <w:rPr>
      <w:szCs w:val="24"/>
    </w:rPr>
  </w:style>
  <w:style w:type="character" w:customStyle="1" w:styleId="Normal2Char">
    <w:name w:val="Normal 2 Char"/>
    <w:basedOn w:val="DefaultParagraphFont"/>
    <w:link w:val="Normal2"/>
    <w:rsid w:val="00BF4E04"/>
    <w:rPr>
      <w:sz w:val="24"/>
      <w:szCs w:val="24"/>
    </w:rPr>
  </w:style>
  <w:style w:type="paragraph" w:styleId="EndnoteText">
    <w:name w:val="endnote text"/>
    <w:basedOn w:val="Normal"/>
    <w:link w:val="EndnoteTextChar"/>
    <w:uiPriority w:val="99"/>
    <w:semiHidden/>
    <w:unhideWhenUsed/>
    <w:locked/>
    <w:rsid w:val="00293A94"/>
    <w:pPr>
      <w:spacing w:line="240" w:lineRule="auto"/>
    </w:pPr>
    <w:rPr>
      <w:sz w:val="20"/>
    </w:rPr>
  </w:style>
  <w:style w:type="character" w:customStyle="1" w:styleId="EndnoteTextChar">
    <w:name w:val="Endnote Text Char"/>
    <w:basedOn w:val="DefaultParagraphFont"/>
    <w:link w:val="EndnoteText"/>
    <w:uiPriority w:val="99"/>
    <w:semiHidden/>
    <w:rsid w:val="00293A94"/>
  </w:style>
  <w:style w:type="character" w:styleId="EndnoteReference">
    <w:name w:val="endnote reference"/>
    <w:basedOn w:val="DefaultParagraphFont"/>
    <w:uiPriority w:val="99"/>
    <w:semiHidden/>
    <w:unhideWhenUsed/>
    <w:locked/>
    <w:rsid w:val="00293A94"/>
    <w:rPr>
      <w:vertAlign w:val="superscript"/>
    </w:rPr>
  </w:style>
  <w:style w:type="character" w:customStyle="1" w:styleId="MTConvertedEquation">
    <w:name w:val="MTConvertedEquation"/>
    <w:basedOn w:val="DefaultParagraphFont"/>
    <w:rsid w:val="008E3AA8"/>
    <w:rPr>
      <w:rFonts w:ascii="Cambria Math" w:hAnsi="Cambria Math"/>
      <w:i/>
    </w:rPr>
  </w:style>
  <w:style w:type="table" w:customStyle="1" w:styleId="MTEBNumberedEquation">
    <w:name w:val="MTEBNumberedEquation"/>
    <w:basedOn w:val="TableNormal"/>
    <w:rsid w:val="00D14A73"/>
    <w:tblPr>
      <w:tblCellSpacing w:w="0" w:type="dxa"/>
    </w:tblPr>
    <w:trPr>
      <w:cantSplit/>
      <w:tblCellSpacing w:w="0" w:type="dxa"/>
    </w:trPr>
    <w:tcPr>
      <w:shd w:val="clear" w:color="auto" w:fill="auto"/>
      <w:tcMar>
        <w:top w:w="0" w:type="dxa"/>
        <w:left w:w="0" w:type="dxa"/>
        <w:bottom w:w="0" w:type="dxa"/>
        <w:right w:w="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2715">
      <w:bodyDiv w:val="1"/>
      <w:marLeft w:val="0"/>
      <w:marRight w:val="0"/>
      <w:marTop w:val="0"/>
      <w:marBottom w:val="0"/>
      <w:divBdr>
        <w:top w:val="none" w:sz="0" w:space="0" w:color="auto"/>
        <w:left w:val="none" w:sz="0" w:space="0" w:color="auto"/>
        <w:bottom w:val="none" w:sz="0" w:space="0" w:color="auto"/>
        <w:right w:val="none" w:sz="0" w:space="0" w:color="auto"/>
      </w:divBdr>
    </w:div>
    <w:div w:id="91367701">
      <w:bodyDiv w:val="1"/>
      <w:marLeft w:val="0"/>
      <w:marRight w:val="0"/>
      <w:marTop w:val="0"/>
      <w:marBottom w:val="0"/>
      <w:divBdr>
        <w:top w:val="none" w:sz="0" w:space="0" w:color="auto"/>
        <w:left w:val="none" w:sz="0" w:space="0" w:color="auto"/>
        <w:bottom w:val="none" w:sz="0" w:space="0" w:color="auto"/>
        <w:right w:val="none" w:sz="0" w:space="0" w:color="auto"/>
      </w:divBdr>
    </w:div>
    <w:div w:id="173419325">
      <w:bodyDiv w:val="1"/>
      <w:marLeft w:val="0"/>
      <w:marRight w:val="0"/>
      <w:marTop w:val="0"/>
      <w:marBottom w:val="0"/>
      <w:divBdr>
        <w:top w:val="none" w:sz="0" w:space="0" w:color="auto"/>
        <w:left w:val="none" w:sz="0" w:space="0" w:color="auto"/>
        <w:bottom w:val="none" w:sz="0" w:space="0" w:color="auto"/>
        <w:right w:val="none" w:sz="0" w:space="0" w:color="auto"/>
      </w:divBdr>
    </w:div>
    <w:div w:id="202718777">
      <w:bodyDiv w:val="1"/>
      <w:marLeft w:val="0"/>
      <w:marRight w:val="0"/>
      <w:marTop w:val="0"/>
      <w:marBottom w:val="0"/>
      <w:divBdr>
        <w:top w:val="none" w:sz="0" w:space="0" w:color="auto"/>
        <w:left w:val="none" w:sz="0" w:space="0" w:color="auto"/>
        <w:bottom w:val="none" w:sz="0" w:space="0" w:color="auto"/>
        <w:right w:val="none" w:sz="0" w:space="0" w:color="auto"/>
      </w:divBdr>
    </w:div>
    <w:div w:id="203518668">
      <w:bodyDiv w:val="1"/>
      <w:marLeft w:val="0"/>
      <w:marRight w:val="0"/>
      <w:marTop w:val="0"/>
      <w:marBottom w:val="0"/>
      <w:divBdr>
        <w:top w:val="none" w:sz="0" w:space="0" w:color="auto"/>
        <w:left w:val="none" w:sz="0" w:space="0" w:color="auto"/>
        <w:bottom w:val="none" w:sz="0" w:space="0" w:color="auto"/>
        <w:right w:val="none" w:sz="0" w:space="0" w:color="auto"/>
      </w:divBdr>
      <w:divsChild>
        <w:div w:id="493374533">
          <w:marLeft w:val="0"/>
          <w:marRight w:val="0"/>
          <w:marTop w:val="0"/>
          <w:marBottom w:val="0"/>
          <w:divBdr>
            <w:top w:val="none" w:sz="0" w:space="0" w:color="auto"/>
            <w:left w:val="none" w:sz="0" w:space="0" w:color="auto"/>
            <w:bottom w:val="none" w:sz="0" w:space="0" w:color="auto"/>
            <w:right w:val="none" w:sz="0" w:space="0" w:color="auto"/>
          </w:divBdr>
        </w:div>
        <w:div w:id="775828998">
          <w:marLeft w:val="0"/>
          <w:marRight w:val="0"/>
          <w:marTop w:val="0"/>
          <w:marBottom w:val="0"/>
          <w:divBdr>
            <w:top w:val="none" w:sz="0" w:space="0" w:color="auto"/>
            <w:left w:val="none" w:sz="0" w:space="0" w:color="auto"/>
            <w:bottom w:val="none" w:sz="0" w:space="0" w:color="auto"/>
            <w:right w:val="none" w:sz="0" w:space="0" w:color="auto"/>
          </w:divBdr>
        </w:div>
      </w:divsChild>
    </w:div>
    <w:div w:id="620111529">
      <w:marLeft w:val="0"/>
      <w:marRight w:val="0"/>
      <w:marTop w:val="0"/>
      <w:marBottom w:val="0"/>
      <w:divBdr>
        <w:top w:val="none" w:sz="0" w:space="0" w:color="auto"/>
        <w:left w:val="none" w:sz="0" w:space="0" w:color="auto"/>
        <w:bottom w:val="none" w:sz="0" w:space="0" w:color="auto"/>
        <w:right w:val="none" w:sz="0" w:space="0" w:color="auto"/>
      </w:divBdr>
    </w:div>
    <w:div w:id="620111530">
      <w:marLeft w:val="0"/>
      <w:marRight w:val="0"/>
      <w:marTop w:val="0"/>
      <w:marBottom w:val="0"/>
      <w:divBdr>
        <w:top w:val="none" w:sz="0" w:space="0" w:color="auto"/>
        <w:left w:val="none" w:sz="0" w:space="0" w:color="auto"/>
        <w:bottom w:val="none" w:sz="0" w:space="0" w:color="auto"/>
        <w:right w:val="none" w:sz="0" w:space="0" w:color="auto"/>
      </w:divBdr>
    </w:div>
    <w:div w:id="620111531">
      <w:marLeft w:val="0"/>
      <w:marRight w:val="0"/>
      <w:marTop w:val="0"/>
      <w:marBottom w:val="0"/>
      <w:divBdr>
        <w:top w:val="none" w:sz="0" w:space="0" w:color="auto"/>
        <w:left w:val="none" w:sz="0" w:space="0" w:color="auto"/>
        <w:bottom w:val="none" w:sz="0" w:space="0" w:color="auto"/>
        <w:right w:val="none" w:sz="0" w:space="0" w:color="auto"/>
      </w:divBdr>
    </w:div>
    <w:div w:id="620111532">
      <w:marLeft w:val="0"/>
      <w:marRight w:val="0"/>
      <w:marTop w:val="0"/>
      <w:marBottom w:val="0"/>
      <w:divBdr>
        <w:top w:val="none" w:sz="0" w:space="0" w:color="auto"/>
        <w:left w:val="none" w:sz="0" w:space="0" w:color="auto"/>
        <w:bottom w:val="none" w:sz="0" w:space="0" w:color="auto"/>
        <w:right w:val="none" w:sz="0" w:space="0" w:color="auto"/>
      </w:divBdr>
    </w:div>
    <w:div w:id="620111533">
      <w:marLeft w:val="0"/>
      <w:marRight w:val="0"/>
      <w:marTop w:val="0"/>
      <w:marBottom w:val="0"/>
      <w:divBdr>
        <w:top w:val="none" w:sz="0" w:space="0" w:color="auto"/>
        <w:left w:val="none" w:sz="0" w:space="0" w:color="auto"/>
        <w:bottom w:val="none" w:sz="0" w:space="0" w:color="auto"/>
        <w:right w:val="none" w:sz="0" w:space="0" w:color="auto"/>
      </w:divBdr>
    </w:div>
    <w:div w:id="620111534">
      <w:marLeft w:val="0"/>
      <w:marRight w:val="0"/>
      <w:marTop w:val="0"/>
      <w:marBottom w:val="0"/>
      <w:divBdr>
        <w:top w:val="none" w:sz="0" w:space="0" w:color="auto"/>
        <w:left w:val="none" w:sz="0" w:space="0" w:color="auto"/>
        <w:bottom w:val="none" w:sz="0" w:space="0" w:color="auto"/>
        <w:right w:val="none" w:sz="0" w:space="0" w:color="auto"/>
      </w:divBdr>
    </w:div>
    <w:div w:id="620111535">
      <w:marLeft w:val="0"/>
      <w:marRight w:val="0"/>
      <w:marTop w:val="0"/>
      <w:marBottom w:val="0"/>
      <w:divBdr>
        <w:top w:val="none" w:sz="0" w:space="0" w:color="auto"/>
        <w:left w:val="none" w:sz="0" w:space="0" w:color="auto"/>
        <w:bottom w:val="none" w:sz="0" w:space="0" w:color="auto"/>
        <w:right w:val="none" w:sz="0" w:space="0" w:color="auto"/>
      </w:divBdr>
    </w:div>
    <w:div w:id="620111536">
      <w:marLeft w:val="0"/>
      <w:marRight w:val="0"/>
      <w:marTop w:val="0"/>
      <w:marBottom w:val="0"/>
      <w:divBdr>
        <w:top w:val="none" w:sz="0" w:space="0" w:color="auto"/>
        <w:left w:val="none" w:sz="0" w:space="0" w:color="auto"/>
        <w:bottom w:val="none" w:sz="0" w:space="0" w:color="auto"/>
        <w:right w:val="none" w:sz="0" w:space="0" w:color="auto"/>
      </w:divBdr>
    </w:div>
    <w:div w:id="620111537">
      <w:marLeft w:val="0"/>
      <w:marRight w:val="0"/>
      <w:marTop w:val="0"/>
      <w:marBottom w:val="0"/>
      <w:divBdr>
        <w:top w:val="none" w:sz="0" w:space="0" w:color="auto"/>
        <w:left w:val="none" w:sz="0" w:space="0" w:color="auto"/>
        <w:bottom w:val="none" w:sz="0" w:space="0" w:color="auto"/>
        <w:right w:val="none" w:sz="0" w:space="0" w:color="auto"/>
      </w:divBdr>
    </w:div>
    <w:div w:id="620111538">
      <w:marLeft w:val="0"/>
      <w:marRight w:val="0"/>
      <w:marTop w:val="0"/>
      <w:marBottom w:val="0"/>
      <w:divBdr>
        <w:top w:val="none" w:sz="0" w:space="0" w:color="auto"/>
        <w:left w:val="none" w:sz="0" w:space="0" w:color="auto"/>
        <w:bottom w:val="none" w:sz="0" w:space="0" w:color="auto"/>
        <w:right w:val="none" w:sz="0" w:space="0" w:color="auto"/>
      </w:divBdr>
    </w:div>
    <w:div w:id="620111539">
      <w:marLeft w:val="0"/>
      <w:marRight w:val="0"/>
      <w:marTop w:val="0"/>
      <w:marBottom w:val="0"/>
      <w:divBdr>
        <w:top w:val="none" w:sz="0" w:space="0" w:color="auto"/>
        <w:left w:val="none" w:sz="0" w:space="0" w:color="auto"/>
        <w:bottom w:val="none" w:sz="0" w:space="0" w:color="auto"/>
        <w:right w:val="none" w:sz="0" w:space="0" w:color="auto"/>
      </w:divBdr>
    </w:div>
    <w:div w:id="620111540">
      <w:marLeft w:val="0"/>
      <w:marRight w:val="0"/>
      <w:marTop w:val="0"/>
      <w:marBottom w:val="0"/>
      <w:divBdr>
        <w:top w:val="none" w:sz="0" w:space="0" w:color="auto"/>
        <w:left w:val="none" w:sz="0" w:space="0" w:color="auto"/>
        <w:bottom w:val="none" w:sz="0" w:space="0" w:color="auto"/>
        <w:right w:val="none" w:sz="0" w:space="0" w:color="auto"/>
      </w:divBdr>
    </w:div>
    <w:div w:id="620111541">
      <w:marLeft w:val="0"/>
      <w:marRight w:val="0"/>
      <w:marTop w:val="0"/>
      <w:marBottom w:val="0"/>
      <w:divBdr>
        <w:top w:val="none" w:sz="0" w:space="0" w:color="auto"/>
        <w:left w:val="none" w:sz="0" w:space="0" w:color="auto"/>
        <w:bottom w:val="none" w:sz="0" w:space="0" w:color="auto"/>
        <w:right w:val="none" w:sz="0" w:space="0" w:color="auto"/>
      </w:divBdr>
    </w:div>
    <w:div w:id="620111542">
      <w:marLeft w:val="0"/>
      <w:marRight w:val="0"/>
      <w:marTop w:val="0"/>
      <w:marBottom w:val="0"/>
      <w:divBdr>
        <w:top w:val="none" w:sz="0" w:space="0" w:color="auto"/>
        <w:left w:val="none" w:sz="0" w:space="0" w:color="auto"/>
        <w:bottom w:val="none" w:sz="0" w:space="0" w:color="auto"/>
        <w:right w:val="none" w:sz="0" w:space="0" w:color="auto"/>
      </w:divBdr>
    </w:div>
    <w:div w:id="620111543">
      <w:marLeft w:val="0"/>
      <w:marRight w:val="0"/>
      <w:marTop w:val="0"/>
      <w:marBottom w:val="0"/>
      <w:divBdr>
        <w:top w:val="none" w:sz="0" w:space="0" w:color="auto"/>
        <w:left w:val="none" w:sz="0" w:space="0" w:color="auto"/>
        <w:bottom w:val="none" w:sz="0" w:space="0" w:color="auto"/>
        <w:right w:val="none" w:sz="0" w:space="0" w:color="auto"/>
      </w:divBdr>
    </w:div>
    <w:div w:id="620111544">
      <w:marLeft w:val="0"/>
      <w:marRight w:val="0"/>
      <w:marTop w:val="0"/>
      <w:marBottom w:val="0"/>
      <w:divBdr>
        <w:top w:val="none" w:sz="0" w:space="0" w:color="auto"/>
        <w:left w:val="none" w:sz="0" w:space="0" w:color="auto"/>
        <w:bottom w:val="none" w:sz="0" w:space="0" w:color="auto"/>
        <w:right w:val="none" w:sz="0" w:space="0" w:color="auto"/>
      </w:divBdr>
    </w:div>
    <w:div w:id="620111545">
      <w:marLeft w:val="0"/>
      <w:marRight w:val="0"/>
      <w:marTop w:val="0"/>
      <w:marBottom w:val="0"/>
      <w:divBdr>
        <w:top w:val="none" w:sz="0" w:space="0" w:color="auto"/>
        <w:left w:val="none" w:sz="0" w:space="0" w:color="auto"/>
        <w:bottom w:val="none" w:sz="0" w:space="0" w:color="auto"/>
        <w:right w:val="none" w:sz="0" w:space="0" w:color="auto"/>
      </w:divBdr>
    </w:div>
    <w:div w:id="620111546">
      <w:marLeft w:val="0"/>
      <w:marRight w:val="0"/>
      <w:marTop w:val="0"/>
      <w:marBottom w:val="0"/>
      <w:divBdr>
        <w:top w:val="none" w:sz="0" w:space="0" w:color="auto"/>
        <w:left w:val="none" w:sz="0" w:space="0" w:color="auto"/>
        <w:bottom w:val="none" w:sz="0" w:space="0" w:color="auto"/>
        <w:right w:val="none" w:sz="0" w:space="0" w:color="auto"/>
      </w:divBdr>
    </w:div>
    <w:div w:id="620111547">
      <w:marLeft w:val="0"/>
      <w:marRight w:val="0"/>
      <w:marTop w:val="0"/>
      <w:marBottom w:val="0"/>
      <w:divBdr>
        <w:top w:val="none" w:sz="0" w:space="0" w:color="auto"/>
        <w:left w:val="none" w:sz="0" w:space="0" w:color="auto"/>
        <w:bottom w:val="none" w:sz="0" w:space="0" w:color="auto"/>
        <w:right w:val="none" w:sz="0" w:space="0" w:color="auto"/>
      </w:divBdr>
    </w:div>
    <w:div w:id="620111548">
      <w:marLeft w:val="0"/>
      <w:marRight w:val="0"/>
      <w:marTop w:val="0"/>
      <w:marBottom w:val="0"/>
      <w:divBdr>
        <w:top w:val="none" w:sz="0" w:space="0" w:color="auto"/>
        <w:left w:val="none" w:sz="0" w:space="0" w:color="auto"/>
        <w:bottom w:val="none" w:sz="0" w:space="0" w:color="auto"/>
        <w:right w:val="none" w:sz="0" w:space="0" w:color="auto"/>
      </w:divBdr>
    </w:div>
    <w:div w:id="620111549">
      <w:marLeft w:val="0"/>
      <w:marRight w:val="0"/>
      <w:marTop w:val="0"/>
      <w:marBottom w:val="0"/>
      <w:divBdr>
        <w:top w:val="none" w:sz="0" w:space="0" w:color="auto"/>
        <w:left w:val="none" w:sz="0" w:space="0" w:color="auto"/>
        <w:bottom w:val="none" w:sz="0" w:space="0" w:color="auto"/>
        <w:right w:val="none" w:sz="0" w:space="0" w:color="auto"/>
      </w:divBdr>
    </w:div>
    <w:div w:id="620111550">
      <w:marLeft w:val="0"/>
      <w:marRight w:val="0"/>
      <w:marTop w:val="0"/>
      <w:marBottom w:val="0"/>
      <w:divBdr>
        <w:top w:val="none" w:sz="0" w:space="0" w:color="auto"/>
        <w:left w:val="none" w:sz="0" w:space="0" w:color="auto"/>
        <w:bottom w:val="none" w:sz="0" w:space="0" w:color="auto"/>
        <w:right w:val="none" w:sz="0" w:space="0" w:color="auto"/>
      </w:divBdr>
    </w:div>
    <w:div w:id="620111551">
      <w:marLeft w:val="0"/>
      <w:marRight w:val="0"/>
      <w:marTop w:val="0"/>
      <w:marBottom w:val="0"/>
      <w:divBdr>
        <w:top w:val="none" w:sz="0" w:space="0" w:color="auto"/>
        <w:left w:val="none" w:sz="0" w:space="0" w:color="auto"/>
        <w:bottom w:val="none" w:sz="0" w:space="0" w:color="auto"/>
        <w:right w:val="none" w:sz="0" w:space="0" w:color="auto"/>
      </w:divBdr>
    </w:div>
    <w:div w:id="620111552">
      <w:marLeft w:val="0"/>
      <w:marRight w:val="0"/>
      <w:marTop w:val="0"/>
      <w:marBottom w:val="0"/>
      <w:divBdr>
        <w:top w:val="none" w:sz="0" w:space="0" w:color="auto"/>
        <w:left w:val="none" w:sz="0" w:space="0" w:color="auto"/>
        <w:bottom w:val="none" w:sz="0" w:space="0" w:color="auto"/>
        <w:right w:val="none" w:sz="0" w:space="0" w:color="auto"/>
      </w:divBdr>
    </w:div>
    <w:div w:id="620111553">
      <w:marLeft w:val="0"/>
      <w:marRight w:val="0"/>
      <w:marTop w:val="0"/>
      <w:marBottom w:val="0"/>
      <w:divBdr>
        <w:top w:val="none" w:sz="0" w:space="0" w:color="auto"/>
        <w:left w:val="none" w:sz="0" w:space="0" w:color="auto"/>
        <w:bottom w:val="none" w:sz="0" w:space="0" w:color="auto"/>
        <w:right w:val="none" w:sz="0" w:space="0" w:color="auto"/>
      </w:divBdr>
    </w:div>
    <w:div w:id="620111554">
      <w:marLeft w:val="0"/>
      <w:marRight w:val="0"/>
      <w:marTop w:val="0"/>
      <w:marBottom w:val="0"/>
      <w:divBdr>
        <w:top w:val="none" w:sz="0" w:space="0" w:color="auto"/>
        <w:left w:val="none" w:sz="0" w:space="0" w:color="auto"/>
        <w:bottom w:val="none" w:sz="0" w:space="0" w:color="auto"/>
        <w:right w:val="none" w:sz="0" w:space="0" w:color="auto"/>
      </w:divBdr>
    </w:div>
    <w:div w:id="620111555">
      <w:marLeft w:val="0"/>
      <w:marRight w:val="0"/>
      <w:marTop w:val="0"/>
      <w:marBottom w:val="0"/>
      <w:divBdr>
        <w:top w:val="none" w:sz="0" w:space="0" w:color="auto"/>
        <w:left w:val="none" w:sz="0" w:space="0" w:color="auto"/>
        <w:bottom w:val="none" w:sz="0" w:space="0" w:color="auto"/>
        <w:right w:val="none" w:sz="0" w:space="0" w:color="auto"/>
      </w:divBdr>
    </w:div>
    <w:div w:id="620111556">
      <w:marLeft w:val="0"/>
      <w:marRight w:val="0"/>
      <w:marTop w:val="0"/>
      <w:marBottom w:val="0"/>
      <w:divBdr>
        <w:top w:val="none" w:sz="0" w:space="0" w:color="auto"/>
        <w:left w:val="none" w:sz="0" w:space="0" w:color="auto"/>
        <w:bottom w:val="none" w:sz="0" w:space="0" w:color="auto"/>
        <w:right w:val="none" w:sz="0" w:space="0" w:color="auto"/>
      </w:divBdr>
    </w:div>
    <w:div w:id="620111557">
      <w:marLeft w:val="0"/>
      <w:marRight w:val="0"/>
      <w:marTop w:val="0"/>
      <w:marBottom w:val="0"/>
      <w:divBdr>
        <w:top w:val="none" w:sz="0" w:space="0" w:color="auto"/>
        <w:left w:val="none" w:sz="0" w:space="0" w:color="auto"/>
        <w:bottom w:val="none" w:sz="0" w:space="0" w:color="auto"/>
        <w:right w:val="none" w:sz="0" w:space="0" w:color="auto"/>
      </w:divBdr>
    </w:div>
    <w:div w:id="620111558">
      <w:marLeft w:val="0"/>
      <w:marRight w:val="0"/>
      <w:marTop w:val="0"/>
      <w:marBottom w:val="0"/>
      <w:divBdr>
        <w:top w:val="none" w:sz="0" w:space="0" w:color="auto"/>
        <w:left w:val="none" w:sz="0" w:space="0" w:color="auto"/>
        <w:bottom w:val="none" w:sz="0" w:space="0" w:color="auto"/>
        <w:right w:val="none" w:sz="0" w:space="0" w:color="auto"/>
      </w:divBdr>
    </w:div>
    <w:div w:id="620111559">
      <w:marLeft w:val="0"/>
      <w:marRight w:val="0"/>
      <w:marTop w:val="0"/>
      <w:marBottom w:val="0"/>
      <w:divBdr>
        <w:top w:val="none" w:sz="0" w:space="0" w:color="auto"/>
        <w:left w:val="none" w:sz="0" w:space="0" w:color="auto"/>
        <w:bottom w:val="none" w:sz="0" w:space="0" w:color="auto"/>
        <w:right w:val="none" w:sz="0" w:space="0" w:color="auto"/>
      </w:divBdr>
    </w:div>
    <w:div w:id="620111560">
      <w:marLeft w:val="0"/>
      <w:marRight w:val="0"/>
      <w:marTop w:val="0"/>
      <w:marBottom w:val="0"/>
      <w:divBdr>
        <w:top w:val="none" w:sz="0" w:space="0" w:color="auto"/>
        <w:left w:val="none" w:sz="0" w:space="0" w:color="auto"/>
        <w:bottom w:val="none" w:sz="0" w:space="0" w:color="auto"/>
        <w:right w:val="none" w:sz="0" w:space="0" w:color="auto"/>
      </w:divBdr>
    </w:div>
    <w:div w:id="620111561">
      <w:marLeft w:val="0"/>
      <w:marRight w:val="0"/>
      <w:marTop w:val="0"/>
      <w:marBottom w:val="0"/>
      <w:divBdr>
        <w:top w:val="none" w:sz="0" w:space="0" w:color="auto"/>
        <w:left w:val="none" w:sz="0" w:space="0" w:color="auto"/>
        <w:bottom w:val="none" w:sz="0" w:space="0" w:color="auto"/>
        <w:right w:val="none" w:sz="0" w:space="0" w:color="auto"/>
      </w:divBdr>
    </w:div>
    <w:div w:id="620111562">
      <w:marLeft w:val="0"/>
      <w:marRight w:val="0"/>
      <w:marTop w:val="0"/>
      <w:marBottom w:val="0"/>
      <w:divBdr>
        <w:top w:val="none" w:sz="0" w:space="0" w:color="auto"/>
        <w:left w:val="none" w:sz="0" w:space="0" w:color="auto"/>
        <w:bottom w:val="none" w:sz="0" w:space="0" w:color="auto"/>
        <w:right w:val="none" w:sz="0" w:space="0" w:color="auto"/>
      </w:divBdr>
    </w:div>
    <w:div w:id="620111563">
      <w:marLeft w:val="0"/>
      <w:marRight w:val="0"/>
      <w:marTop w:val="0"/>
      <w:marBottom w:val="0"/>
      <w:divBdr>
        <w:top w:val="none" w:sz="0" w:space="0" w:color="auto"/>
        <w:left w:val="none" w:sz="0" w:space="0" w:color="auto"/>
        <w:bottom w:val="none" w:sz="0" w:space="0" w:color="auto"/>
        <w:right w:val="none" w:sz="0" w:space="0" w:color="auto"/>
      </w:divBdr>
    </w:div>
    <w:div w:id="620111564">
      <w:marLeft w:val="0"/>
      <w:marRight w:val="0"/>
      <w:marTop w:val="0"/>
      <w:marBottom w:val="0"/>
      <w:divBdr>
        <w:top w:val="none" w:sz="0" w:space="0" w:color="auto"/>
        <w:left w:val="none" w:sz="0" w:space="0" w:color="auto"/>
        <w:bottom w:val="none" w:sz="0" w:space="0" w:color="auto"/>
        <w:right w:val="none" w:sz="0" w:space="0" w:color="auto"/>
      </w:divBdr>
    </w:div>
    <w:div w:id="620111565">
      <w:marLeft w:val="0"/>
      <w:marRight w:val="0"/>
      <w:marTop w:val="0"/>
      <w:marBottom w:val="0"/>
      <w:divBdr>
        <w:top w:val="none" w:sz="0" w:space="0" w:color="auto"/>
        <w:left w:val="none" w:sz="0" w:space="0" w:color="auto"/>
        <w:bottom w:val="none" w:sz="0" w:space="0" w:color="auto"/>
        <w:right w:val="none" w:sz="0" w:space="0" w:color="auto"/>
      </w:divBdr>
    </w:div>
    <w:div w:id="620111566">
      <w:marLeft w:val="0"/>
      <w:marRight w:val="0"/>
      <w:marTop w:val="0"/>
      <w:marBottom w:val="0"/>
      <w:divBdr>
        <w:top w:val="none" w:sz="0" w:space="0" w:color="auto"/>
        <w:left w:val="none" w:sz="0" w:space="0" w:color="auto"/>
        <w:bottom w:val="none" w:sz="0" w:space="0" w:color="auto"/>
        <w:right w:val="none" w:sz="0" w:space="0" w:color="auto"/>
      </w:divBdr>
    </w:div>
    <w:div w:id="620111567">
      <w:marLeft w:val="0"/>
      <w:marRight w:val="0"/>
      <w:marTop w:val="0"/>
      <w:marBottom w:val="0"/>
      <w:divBdr>
        <w:top w:val="none" w:sz="0" w:space="0" w:color="auto"/>
        <w:left w:val="none" w:sz="0" w:space="0" w:color="auto"/>
        <w:bottom w:val="none" w:sz="0" w:space="0" w:color="auto"/>
        <w:right w:val="none" w:sz="0" w:space="0" w:color="auto"/>
      </w:divBdr>
    </w:div>
    <w:div w:id="620111568">
      <w:marLeft w:val="0"/>
      <w:marRight w:val="0"/>
      <w:marTop w:val="0"/>
      <w:marBottom w:val="0"/>
      <w:divBdr>
        <w:top w:val="none" w:sz="0" w:space="0" w:color="auto"/>
        <w:left w:val="none" w:sz="0" w:space="0" w:color="auto"/>
        <w:bottom w:val="none" w:sz="0" w:space="0" w:color="auto"/>
        <w:right w:val="none" w:sz="0" w:space="0" w:color="auto"/>
      </w:divBdr>
    </w:div>
    <w:div w:id="620111569">
      <w:marLeft w:val="0"/>
      <w:marRight w:val="0"/>
      <w:marTop w:val="0"/>
      <w:marBottom w:val="0"/>
      <w:divBdr>
        <w:top w:val="none" w:sz="0" w:space="0" w:color="auto"/>
        <w:left w:val="none" w:sz="0" w:space="0" w:color="auto"/>
        <w:bottom w:val="none" w:sz="0" w:space="0" w:color="auto"/>
        <w:right w:val="none" w:sz="0" w:space="0" w:color="auto"/>
      </w:divBdr>
    </w:div>
    <w:div w:id="620111570">
      <w:marLeft w:val="0"/>
      <w:marRight w:val="0"/>
      <w:marTop w:val="0"/>
      <w:marBottom w:val="0"/>
      <w:divBdr>
        <w:top w:val="none" w:sz="0" w:space="0" w:color="auto"/>
        <w:left w:val="none" w:sz="0" w:space="0" w:color="auto"/>
        <w:bottom w:val="none" w:sz="0" w:space="0" w:color="auto"/>
        <w:right w:val="none" w:sz="0" w:space="0" w:color="auto"/>
      </w:divBdr>
    </w:div>
    <w:div w:id="620111571">
      <w:marLeft w:val="0"/>
      <w:marRight w:val="0"/>
      <w:marTop w:val="0"/>
      <w:marBottom w:val="0"/>
      <w:divBdr>
        <w:top w:val="none" w:sz="0" w:space="0" w:color="auto"/>
        <w:left w:val="none" w:sz="0" w:space="0" w:color="auto"/>
        <w:bottom w:val="none" w:sz="0" w:space="0" w:color="auto"/>
        <w:right w:val="none" w:sz="0" w:space="0" w:color="auto"/>
      </w:divBdr>
    </w:div>
    <w:div w:id="620111572">
      <w:marLeft w:val="0"/>
      <w:marRight w:val="0"/>
      <w:marTop w:val="0"/>
      <w:marBottom w:val="0"/>
      <w:divBdr>
        <w:top w:val="none" w:sz="0" w:space="0" w:color="auto"/>
        <w:left w:val="none" w:sz="0" w:space="0" w:color="auto"/>
        <w:bottom w:val="none" w:sz="0" w:space="0" w:color="auto"/>
        <w:right w:val="none" w:sz="0" w:space="0" w:color="auto"/>
      </w:divBdr>
    </w:div>
    <w:div w:id="620111573">
      <w:marLeft w:val="0"/>
      <w:marRight w:val="0"/>
      <w:marTop w:val="0"/>
      <w:marBottom w:val="0"/>
      <w:divBdr>
        <w:top w:val="none" w:sz="0" w:space="0" w:color="auto"/>
        <w:left w:val="none" w:sz="0" w:space="0" w:color="auto"/>
        <w:bottom w:val="none" w:sz="0" w:space="0" w:color="auto"/>
        <w:right w:val="none" w:sz="0" w:space="0" w:color="auto"/>
      </w:divBdr>
    </w:div>
    <w:div w:id="620111574">
      <w:marLeft w:val="0"/>
      <w:marRight w:val="0"/>
      <w:marTop w:val="0"/>
      <w:marBottom w:val="0"/>
      <w:divBdr>
        <w:top w:val="none" w:sz="0" w:space="0" w:color="auto"/>
        <w:left w:val="none" w:sz="0" w:space="0" w:color="auto"/>
        <w:bottom w:val="none" w:sz="0" w:space="0" w:color="auto"/>
        <w:right w:val="none" w:sz="0" w:space="0" w:color="auto"/>
      </w:divBdr>
    </w:div>
    <w:div w:id="620111575">
      <w:marLeft w:val="0"/>
      <w:marRight w:val="0"/>
      <w:marTop w:val="0"/>
      <w:marBottom w:val="0"/>
      <w:divBdr>
        <w:top w:val="none" w:sz="0" w:space="0" w:color="auto"/>
        <w:left w:val="none" w:sz="0" w:space="0" w:color="auto"/>
        <w:bottom w:val="none" w:sz="0" w:space="0" w:color="auto"/>
        <w:right w:val="none" w:sz="0" w:space="0" w:color="auto"/>
      </w:divBdr>
    </w:div>
    <w:div w:id="620111576">
      <w:marLeft w:val="0"/>
      <w:marRight w:val="0"/>
      <w:marTop w:val="0"/>
      <w:marBottom w:val="0"/>
      <w:divBdr>
        <w:top w:val="none" w:sz="0" w:space="0" w:color="auto"/>
        <w:left w:val="none" w:sz="0" w:space="0" w:color="auto"/>
        <w:bottom w:val="none" w:sz="0" w:space="0" w:color="auto"/>
        <w:right w:val="none" w:sz="0" w:space="0" w:color="auto"/>
      </w:divBdr>
    </w:div>
    <w:div w:id="620111577">
      <w:marLeft w:val="0"/>
      <w:marRight w:val="0"/>
      <w:marTop w:val="0"/>
      <w:marBottom w:val="0"/>
      <w:divBdr>
        <w:top w:val="none" w:sz="0" w:space="0" w:color="auto"/>
        <w:left w:val="none" w:sz="0" w:space="0" w:color="auto"/>
        <w:bottom w:val="none" w:sz="0" w:space="0" w:color="auto"/>
        <w:right w:val="none" w:sz="0" w:space="0" w:color="auto"/>
      </w:divBdr>
    </w:div>
    <w:div w:id="620111578">
      <w:marLeft w:val="0"/>
      <w:marRight w:val="0"/>
      <w:marTop w:val="0"/>
      <w:marBottom w:val="0"/>
      <w:divBdr>
        <w:top w:val="none" w:sz="0" w:space="0" w:color="auto"/>
        <w:left w:val="none" w:sz="0" w:space="0" w:color="auto"/>
        <w:bottom w:val="none" w:sz="0" w:space="0" w:color="auto"/>
        <w:right w:val="none" w:sz="0" w:space="0" w:color="auto"/>
      </w:divBdr>
    </w:div>
    <w:div w:id="620111579">
      <w:marLeft w:val="0"/>
      <w:marRight w:val="0"/>
      <w:marTop w:val="0"/>
      <w:marBottom w:val="0"/>
      <w:divBdr>
        <w:top w:val="none" w:sz="0" w:space="0" w:color="auto"/>
        <w:left w:val="none" w:sz="0" w:space="0" w:color="auto"/>
        <w:bottom w:val="none" w:sz="0" w:space="0" w:color="auto"/>
        <w:right w:val="none" w:sz="0" w:space="0" w:color="auto"/>
      </w:divBdr>
    </w:div>
    <w:div w:id="620111580">
      <w:marLeft w:val="0"/>
      <w:marRight w:val="0"/>
      <w:marTop w:val="0"/>
      <w:marBottom w:val="0"/>
      <w:divBdr>
        <w:top w:val="none" w:sz="0" w:space="0" w:color="auto"/>
        <w:left w:val="none" w:sz="0" w:space="0" w:color="auto"/>
        <w:bottom w:val="none" w:sz="0" w:space="0" w:color="auto"/>
        <w:right w:val="none" w:sz="0" w:space="0" w:color="auto"/>
      </w:divBdr>
    </w:div>
    <w:div w:id="620111581">
      <w:marLeft w:val="0"/>
      <w:marRight w:val="0"/>
      <w:marTop w:val="0"/>
      <w:marBottom w:val="0"/>
      <w:divBdr>
        <w:top w:val="none" w:sz="0" w:space="0" w:color="auto"/>
        <w:left w:val="none" w:sz="0" w:space="0" w:color="auto"/>
        <w:bottom w:val="none" w:sz="0" w:space="0" w:color="auto"/>
        <w:right w:val="none" w:sz="0" w:space="0" w:color="auto"/>
      </w:divBdr>
    </w:div>
    <w:div w:id="620111582">
      <w:marLeft w:val="0"/>
      <w:marRight w:val="0"/>
      <w:marTop w:val="0"/>
      <w:marBottom w:val="0"/>
      <w:divBdr>
        <w:top w:val="none" w:sz="0" w:space="0" w:color="auto"/>
        <w:left w:val="none" w:sz="0" w:space="0" w:color="auto"/>
        <w:bottom w:val="none" w:sz="0" w:space="0" w:color="auto"/>
        <w:right w:val="none" w:sz="0" w:space="0" w:color="auto"/>
      </w:divBdr>
    </w:div>
    <w:div w:id="620111583">
      <w:marLeft w:val="0"/>
      <w:marRight w:val="0"/>
      <w:marTop w:val="0"/>
      <w:marBottom w:val="0"/>
      <w:divBdr>
        <w:top w:val="none" w:sz="0" w:space="0" w:color="auto"/>
        <w:left w:val="none" w:sz="0" w:space="0" w:color="auto"/>
        <w:bottom w:val="none" w:sz="0" w:space="0" w:color="auto"/>
        <w:right w:val="none" w:sz="0" w:space="0" w:color="auto"/>
      </w:divBdr>
    </w:div>
    <w:div w:id="620111584">
      <w:marLeft w:val="0"/>
      <w:marRight w:val="0"/>
      <w:marTop w:val="0"/>
      <w:marBottom w:val="0"/>
      <w:divBdr>
        <w:top w:val="none" w:sz="0" w:space="0" w:color="auto"/>
        <w:left w:val="none" w:sz="0" w:space="0" w:color="auto"/>
        <w:bottom w:val="none" w:sz="0" w:space="0" w:color="auto"/>
        <w:right w:val="none" w:sz="0" w:space="0" w:color="auto"/>
      </w:divBdr>
    </w:div>
    <w:div w:id="620111585">
      <w:marLeft w:val="0"/>
      <w:marRight w:val="0"/>
      <w:marTop w:val="0"/>
      <w:marBottom w:val="0"/>
      <w:divBdr>
        <w:top w:val="none" w:sz="0" w:space="0" w:color="auto"/>
        <w:left w:val="none" w:sz="0" w:space="0" w:color="auto"/>
        <w:bottom w:val="none" w:sz="0" w:space="0" w:color="auto"/>
        <w:right w:val="none" w:sz="0" w:space="0" w:color="auto"/>
      </w:divBdr>
    </w:div>
    <w:div w:id="620111586">
      <w:marLeft w:val="0"/>
      <w:marRight w:val="0"/>
      <w:marTop w:val="0"/>
      <w:marBottom w:val="0"/>
      <w:divBdr>
        <w:top w:val="none" w:sz="0" w:space="0" w:color="auto"/>
        <w:left w:val="none" w:sz="0" w:space="0" w:color="auto"/>
        <w:bottom w:val="none" w:sz="0" w:space="0" w:color="auto"/>
        <w:right w:val="none" w:sz="0" w:space="0" w:color="auto"/>
      </w:divBdr>
    </w:div>
    <w:div w:id="620111587">
      <w:marLeft w:val="0"/>
      <w:marRight w:val="0"/>
      <w:marTop w:val="0"/>
      <w:marBottom w:val="0"/>
      <w:divBdr>
        <w:top w:val="none" w:sz="0" w:space="0" w:color="auto"/>
        <w:left w:val="none" w:sz="0" w:space="0" w:color="auto"/>
        <w:bottom w:val="none" w:sz="0" w:space="0" w:color="auto"/>
        <w:right w:val="none" w:sz="0" w:space="0" w:color="auto"/>
      </w:divBdr>
    </w:div>
    <w:div w:id="620111588">
      <w:marLeft w:val="0"/>
      <w:marRight w:val="0"/>
      <w:marTop w:val="0"/>
      <w:marBottom w:val="0"/>
      <w:divBdr>
        <w:top w:val="none" w:sz="0" w:space="0" w:color="auto"/>
        <w:left w:val="none" w:sz="0" w:space="0" w:color="auto"/>
        <w:bottom w:val="none" w:sz="0" w:space="0" w:color="auto"/>
        <w:right w:val="none" w:sz="0" w:space="0" w:color="auto"/>
      </w:divBdr>
    </w:div>
    <w:div w:id="620111589">
      <w:marLeft w:val="0"/>
      <w:marRight w:val="0"/>
      <w:marTop w:val="0"/>
      <w:marBottom w:val="0"/>
      <w:divBdr>
        <w:top w:val="none" w:sz="0" w:space="0" w:color="auto"/>
        <w:left w:val="none" w:sz="0" w:space="0" w:color="auto"/>
        <w:bottom w:val="none" w:sz="0" w:space="0" w:color="auto"/>
        <w:right w:val="none" w:sz="0" w:space="0" w:color="auto"/>
      </w:divBdr>
    </w:div>
    <w:div w:id="620111590">
      <w:marLeft w:val="0"/>
      <w:marRight w:val="0"/>
      <w:marTop w:val="0"/>
      <w:marBottom w:val="0"/>
      <w:divBdr>
        <w:top w:val="none" w:sz="0" w:space="0" w:color="auto"/>
        <w:left w:val="none" w:sz="0" w:space="0" w:color="auto"/>
        <w:bottom w:val="none" w:sz="0" w:space="0" w:color="auto"/>
        <w:right w:val="none" w:sz="0" w:space="0" w:color="auto"/>
      </w:divBdr>
    </w:div>
    <w:div w:id="620111591">
      <w:marLeft w:val="0"/>
      <w:marRight w:val="0"/>
      <w:marTop w:val="0"/>
      <w:marBottom w:val="0"/>
      <w:divBdr>
        <w:top w:val="none" w:sz="0" w:space="0" w:color="auto"/>
        <w:left w:val="none" w:sz="0" w:space="0" w:color="auto"/>
        <w:bottom w:val="none" w:sz="0" w:space="0" w:color="auto"/>
        <w:right w:val="none" w:sz="0" w:space="0" w:color="auto"/>
      </w:divBdr>
    </w:div>
    <w:div w:id="620111592">
      <w:marLeft w:val="0"/>
      <w:marRight w:val="0"/>
      <w:marTop w:val="0"/>
      <w:marBottom w:val="0"/>
      <w:divBdr>
        <w:top w:val="none" w:sz="0" w:space="0" w:color="auto"/>
        <w:left w:val="none" w:sz="0" w:space="0" w:color="auto"/>
        <w:bottom w:val="none" w:sz="0" w:space="0" w:color="auto"/>
        <w:right w:val="none" w:sz="0" w:space="0" w:color="auto"/>
      </w:divBdr>
    </w:div>
    <w:div w:id="620111593">
      <w:marLeft w:val="0"/>
      <w:marRight w:val="0"/>
      <w:marTop w:val="0"/>
      <w:marBottom w:val="0"/>
      <w:divBdr>
        <w:top w:val="none" w:sz="0" w:space="0" w:color="auto"/>
        <w:left w:val="none" w:sz="0" w:space="0" w:color="auto"/>
        <w:bottom w:val="none" w:sz="0" w:space="0" w:color="auto"/>
        <w:right w:val="none" w:sz="0" w:space="0" w:color="auto"/>
      </w:divBdr>
    </w:div>
    <w:div w:id="620111594">
      <w:marLeft w:val="0"/>
      <w:marRight w:val="0"/>
      <w:marTop w:val="0"/>
      <w:marBottom w:val="0"/>
      <w:divBdr>
        <w:top w:val="none" w:sz="0" w:space="0" w:color="auto"/>
        <w:left w:val="none" w:sz="0" w:space="0" w:color="auto"/>
        <w:bottom w:val="none" w:sz="0" w:space="0" w:color="auto"/>
        <w:right w:val="none" w:sz="0" w:space="0" w:color="auto"/>
      </w:divBdr>
    </w:div>
    <w:div w:id="620111595">
      <w:marLeft w:val="0"/>
      <w:marRight w:val="0"/>
      <w:marTop w:val="0"/>
      <w:marBottom w:val="0"/>
      <w:divBdr>
        <w:top w:val="none" w:sz="0" w:space="0" w:color="auto"/>
        <w:left w:val="none" w:sz="0" w:space="0" w:color="auto"/>
        <w:bottom w:val="none" w:sz="0" w:space="0" w:color="auto"/>
        <w:right w:val="none" w:sz="0" w:space="0" w:color="auto"/>
      </w:divBdr>
    </w:div>
    <w:div w:id="620111596">
      <w:marLeft w:val="0"/>
      <w:marRight w:val="0"/>
      <w:marTop w:val="0"/>
      <w:marBottom w:val="0"/>
      <w:divBdr>
        <w:top w:val="none" w:sz="0" w:space="0" w:color="auto"/>
        <w:left w:val="none" w:sz="0" w:space="0" w:color="auto"/>
        <w:bottom w:val="none" w:sz="0" w:space="0" w:color="auto"/>
        <w:right w:val="none" w:sz="0" w:space="0" w:color="auto"/>
      </w:divBdr>
    </w:div>
    <w:div w:id="620111597">
      <w:marLeft w:val="0"/>
      <w:marRight w:val="0"/>
      <w:marTop w:val="0"/>
      <w:marBottom w:val="0"/>
      <w:divBdr>
        <w:top w:val="none" w:sz="0" w:space="0" w:color="auto"/>
        <w:left w:val="none" w:sz="0" w:space="0" w:color="auto"/>
        <w:bottom w:val="none" w:sz="0" w:space="0" w:color="auto"/>
        <w:right w:val="none" w:sz="0" w:space="0" w:color="auto"/>
      </w:divBdr>
    </w:div>
    <w:div w:id="620111598">
      <w:marLeft w:val="0"/>
      <w:marRight w:val="0"/>
      <w:marTop w:val="0"/>
      <w:marBottom w:val="0"/>
      <w:divBdr>
        <w:top w:val="none" w:sz="0" w:space="0" w:color="auto"/>
        <w:left w:val="none" w:sz="0" w:space="0" w:color="auto"/>
        <w:bottom w:val="none" w:sz="0" w:space="0" w:color="auto"/>
        <w:right w:val="none" w:sz="0" w:space="0" w:color="auto"/>
      </w:divBdr>
    </w:div>
    <w:div w:id="721438686">
      <w:bodyDiv w:val="1"/>
      <w:marLeft w:val="0"/>
      <w:marRight w:val="0"/>
      <w:marTop w:val="0"/>
      <w:marBottom w:val="0"/>
      <w:divBdr>
        <w:top w:val="none" w:sz="0" w:space="0" w:color="auto"/>
        <w:left w:val="none" w:sz="0" w:space="0" w:color="auto"/>
        <w:bottom w:val="none" w:sz="0" w:space="0" w:color="auto"/>
        <w:right w:val="none" w:sz="0" w:space="0" w:color="auto"/>
      </w:divBdr>
      <w:divsChild>
        <w:div w:id="19475927">
          <w:marLeft w:val="432"/>
          <w:marRight w:val="0"/>
          <w:marTop w:val="120"/>
          <w:marBottom w:val="0"/>
          <w:divBdr>
            <w:top w:val="none" w:sz="0" w:space="0" w:color="auto"/>
            <w:left w:val="none" w:sz="0" w:space="0" w:color="auto"/>
            <w:bottom w:val="none" w:sz="0" w:space="0" w:color="auto"/>
            <w:right w:val="none" w:sz="0" w:space="0" w:color="auto"/>
          </w:divBdr>
        </w:div>
      </w:divsChild>
    </w:div>
    <w:div w:id="752508965">
      <w:bodyDiv w:val="1"/>
      <w:marLeft w:val="0"/>
      <w:marRight w:val="0"/>
      <w:marTop w:val="0"/>
      <w:marBottom w:val="0"/>
      <w:divBdr>
        <w:top w:val="none" w:sz="0" w:space="0" w:color="auto"/>
        <w:left w:val="none" w:sz="0" w:space="0" w:color="auto"/>
        <w:bottom w:val="none" w:sz="0" w:space="0" w:color="auto"/>
        <w:right w:val="none" w:sz="0" w:space="0" w:color="auto"/>
      </w:divBdr>
    </w:div>
    <w:div w:id="951786602">
      <w:bodyDiv w:val="1"/>
      <w:marLeft w:val="0"/>
      <w:marRight w:val="0"/>
      <w:marTop w:val="0"/>
      <w:marBottom w:val="0"/>
      <w:divBdr>
        <w:top w:val="none" w:sz="0" w:space="0" w:color="auto"/>
        <w:left w:val="none" w:sz="0" w:space="0" w:color="auto"/>
        <w:bottom w:val="none" w:sz="0" w:space="0" w:color="auto"/>
        <w:right w:val="none" w:sz="0" w:space="0" w:color="auto"/>
      </w:divBdr>
    </w:div>
    <w:div w:id="1107114523">
      <w:bodyDiv w:val="1"/>
      <w:marLeft w:val="0"/>
      <w:marRight w:val="0"/>
      <w:marTop w:val="0"/>
      <w:marBottom w:val="0"/>
      <w:divBdr>
        <w:top w:val="none" w:sz="0" w:space="0" w:color="auto"/>
        <w:left w:val="none" w:sz="0" w:space="0" w:color="auto"/>
        <w:bottom w:val="none" w:sz="0" w:space="0" w:color="auto"/>
        <w:right w:val="none" w:sz="0" w:space="0" w:color="auto"/>
      </w:divBdr>
    </w:div>
    <w:div w:id="1221748631">
      <w:marLeft w:val="0"/>
      <w:marRight w:val="0"/>
      <w:marTop w:val="0"/>
      <w:marBottom w:val="0"/>
      <w:divBdr>
        <w:top w:val="none" w:sz="0" w:space="0" w:color="auto"/>
        <w:left w:val="none" w:sz="0" w:space="0" w:color="auto"/>
        <w:bottom w:val="none" w:sz="0" w:space="0" w:color="auto"/>
        <w:right w:val="none" w:sz="0" w:space="0" w:color="auto"/>
      </w:divBdr>
    </w:div>
    <w:div w:id="1221748632">
      <w:marLeft w:val="0"/>
      <w:marRight w:val="0"/>
      <w:marTop w:val="0"/>
      <w:marBottom w:val="0"/>
      <w:divBdr>
        <w:top w:val="none" w:sz="0" w:space="0" w:color="auto"/>
        <w:left w:val="none" w:sz="0" w:space="0" w:color="auto"/>
        <w:bottom w:val="none" w:sz="0" w:space="0" w:color="auto"/>
        <w:right w:val="none" w:sz="0" w:space="0" w:color="auto"/>
      </w:divBdr>
    </w:div>
    <w:div w:id="1221748633">
      <w:marLeft w:val="0"/>
      <w:marRight w:val="0"/>
      <w:marTop w:val="0"/>
      <w:marBottom w:val="0"/>
      <w:divBdr>
        <w:top w:val="none" w:sz="0" w:space="0" w:color="auto"/>
        <w:left w:val="none" w:sz="0" w:space="0" w:color="auto"/>
        <w:bottom w:val="none" w:sz="0" w:space="0" w:color="auto"/>
        <w:right w:val="none" w:sz="0" w:space="0" w:color="auto"/>
      </w:divBdr>
    </w:div>
    <w:div w:id="1221748634">
      <w:marLeft w:val="0"/>
      <w:marRight w:val="0"/>
      <w:marTop w:val="0"/>
      <w:marBottom w:val="0"/>
      <w:divBdr>
        <w:top w:val="none" w:sz="0" w:space="0" w:color="auto"/>
        <w:left w:val="none" w:sz="0" w:space="0" w:color="auto"/>
        <w:bottom w:val="none" w:sz="0" w:space="0" w:color="auto"/>
        <w:right w:val="none" w:sz="0" w:space="0" w:color="auto"/>
      </w:divBdr>
    </w:div>
    <w:div w:id="1221748635">
      <w:marLeft w:val="0"/>
      <w:marRight w:val="0"/>
      <w:marTop w:val="0"/>
      <w:marBottom w:val="0"/>
      <w:divBdr>
        <w:top w:val="none" w:sz="0" w:space="0" w:color="auto"/>
        <w:left w:val="none" w:sz="0" w:space="0" w:color="auto"/>
        <w:bottom w:val="none" w:sz="0" w:space="0" w:color="auto"/>
        <w:right w:val="none" w:sz="0" w:space="0" w:color="auto"/>
      </w:divBdr>
    </w:div>
    <w:div w:id="1221748636">
      <w:marLeft w:val="0"/>
      <w:marRight w:val="0"/>
      <w:marTop w:val="0"/>
      <w:marBottom w:val="0"/>
      <w:divBdr>
        <w:top w:val="none" w:sz="0" w:space="0" w:color="auto"/>
        <w:left w:val="none" w:sz="0" w:space="0" w:color="auto"/>
        <w:bottom w:val="none" w:sz="0" w:space="0" w:color="auto"/>
        <w:right w:val="none" w:sz="0" w:space="0" w:color="auto"/>
      </w:divBdr>
    </w:div>
    <w:div w:id="1221748637">
      <w:marLeft w:val="0"/>
      <w:marRight w:val="0"/>
      <w:marTop w:val="0"/>
      <w:marBottom w:val="0"/>
      <w:divBdr>
        <w:top w:val="none" w:sz="0" w:space="0" w:color="auto"/>
        <w:left w:val="none" w:sz="0" w:space="0" w:color="auto"/>
        <w:bottom w:val="none" w:sz="0" w:space="0" w:color="auto"/>
        <w:right w:val="none" w:sz="0" w:space="0" w:color="auto"/>
      </w:divBdr>
    </w:div>
    <w:div w:id="1221748638">
      <w:marLeft w:val="0"/>
      <w:marRight w:val="0"/>
      <w:marTop w:val="0"/>
      <w:marBottom w:val="0"/>
      <w:divBdr>
        <w:top w:val="none" w:sz="0" w:space="0" w:color="auto"/>
        <w:left w:val="none" w:sz="0" w:space="0" w:color="auto"/>
        <w:bottom w:val="none" w:sz="0" w:space="0" w:color="auto"/>
        <w:right w:val="none" w:sz="0" w:space="0" w:color="auto"/>
      </w:divBdr>
    </w:div>
    <w:div w:id="1221748639">
      <w:marLeft w:val="0"/>
      <w:marRight w:val="0"/>
      <w:marTop w:val="0"/>
      <w:marBottom w:val="0"/>
      <w:divBdr>
        <w:top w:val="none" w:sz="0" w:space="0" w:color="auto"/>
        <w:left w:val="none" w:sz="0" w:space="0" w:color="auto"/>
        <w:bottom w:val="none" w:sz="0" w:space="0" w:color="auto"/>
        <w:right w:val="none" w:sz="0" w:space="0" w:color="auto"/>
      </w:divBdr>
    </w:div>
    <w:div w:id="1221748640">
      <w:marLeft w:val="0"/>
      <w:marRight w:val="0"/>
      <w:marTop w:val="0"/>
      <w:marBottom w:val="0"/>
      <w:divBdr>
        <w:top w:val="none" w:sz="0" w:space="0" w:color="auto"/>
        <w:left w:val="none" w:sz="0" w:space="0" w:color="auto"/>
        <w:bottom w:val="none" w:sz="0" w:space="0" w:color="auto"/>
        <w:right w:val="none" w:sz="0" w:space="0" w:color="auto"/>
      </w:divBdr>
    </w:div>
    <w:div w:id="1221748641">
      <w:marLeft w:val="0"/>
      <w:marRight w:val="0"/>
      <w:marTop w:val="0"/>
      <w:marBottom w:val="0"/>
      <w:divBdr>
        <w:top w:val="none" w:sz="0" w:space="0" w:color="auto"/>
        <w:left w:val="none" w:sz="0" w:space="0" w:color="auto"/>
        <w:bottom w:val="none" w:sz="0" w:space="0" w:color="auto"/>
        <w:right w:val="none" w:sz="0" w:space="0" w:color="auto"/>
      </w:divBdr>
    </w:div>
    <w:div w:id="1221748642">
      <w:marLeft w:val="0"/>
      <w:marRight w:val="0"/>
      <w:marTop w:val="0"/>
      <w:marBottom w:val="0"/>
      <w:divBdr>
        <w:top w:val="none" w:sz="0" w:space="0" w:color="auto"/>
        <w:left w:val="none" w:sz="0" w:space="0" w:color="auto"/>
        <w:bottom w:val="none" w:sz="0" w:space="0" w:color="auto"/>
        <w:right w:val="none" w:sz="0" w:space="0" w:color="auto"/>
      </w:divBdr>
    </w:div>
    <w:div w:id="1221748643">
      <w:marLeft w:val="0"/>
      <w:marRight w:val="0"/>
      <w:marTop w:val="0"/>
      <w:marBottom w:val="0"/>
      <w:divBdr>
        <w:top w:val="none" w:sz="0" w:space="0" w:color="auto"/>
        <w:left w:val="none" w:sz="0" w:space="0" w:color="auto"/>
        <w:bottom w:val="none" w:sz="0" w:space="0" w:color="auto"/>
        <w:right w:val="none" w:sz="0" w:space="0" w:color="auto"/>
      </w:divBdr>
    </w:div>
    <w:div w:id="1221748644">
      <w:marLeft w:val="0"/>
      <w:marRight w:val="0"/>
      <w:marTop w:val="0"/>
      <w:marBottom w:val="0"/>
      <w:divBdr>
        <w:top w:val="none" w:sz="0" w:space="0" w:color="auto"/>
        <w:left w:val="none" w:sz="0" w:space="0" w:color="auto"/>
        <w:bottom w:val="none" w:sz="0" w:space="0" w:color="auto"/>
        <w:right w:val="none" w:sz="0" w:space="0" w:color="auto"/>
      </w:divBdr>
    </w:div>
    <w:div w:id="1221748645">
      <w:marLeft w:val="0"/>
      <w:marRight w:val="0"/>
      <w:marTop w:val="0"/>
      <w:marBottom w:val="0"/>
      <w:divBdr>
        <w:top w:val="none" w:sz="0" w:space="0" w:color="auto"/>
        <w:left w:val="none" w:sz="0" w:space="0" w:color="auto"/>
        <w:bottom w:val="none" w:sz="0" w:space="0" w:color="auto"/>
        <w:right w:val="none" w:sz="0" w:space="0" w:color="auto"/>
      </w:divBdr>
    </w:div>
    <w:div w:id="1221748646">
      <w:marLeft w:val="0"/>
      <w:marRight w:val="0"/>
      <w:marTop w:val="0"/>
      <w:marBottom w:val="0"/>
      <w:divBdr>
        <w:top w:val="none" w:sz="0" w:space="0" w:color="auto"/>
        <w:left w:val="none" w:sz="0" w:space="0" w:color="auto"/>
        <w:bottom w:val="none" w:sz="0" w:space="0" w:color="auto"/>
        <w:right w:val="none" w:sz="0" w:space="0" w:color="auto"/>
      </w:divBdr>
    </w:div>
    <w:div w:id="1221748647">
      <w:marLeft w:val="0"/>
      <w:marRight w:val="0"/>
      <w:marTop w:val="0"/>
      <w:marBottom w:val="0"/>
      <w:divBdr>
        <w:top w:val="none" w:sz="0" w:space="0" w:color="auto"/>
        <w:left w:val="none" w:sz="0" w:space="0" w:color="auto"/>
        <w:bottom w:val="none" w:sz="0" w:space="0" w:color="auto"/>
        <w:right w:val="none" w:sz="0" w:space="0" w:color="auto"/>
      </w:divBdr>
    </w:div>
    <w:div w:id="1221748648">
      <w:marLeft w:val="0"/>
      <w:marRight w:val="0"/>
      <w:marTop w:val="0"/>
      <w:marBottom w:val="0"/>
      <w:divBdr>
        <w:top w:val="none" w:sz="0" w:space="0" w:color="auto"/>
        <w:left w:val="none" w:sz="0" w:space="0" w:color="auto"/>
        <w:bottom w:val="none" w:sz="0" w:space="0" w:color="auto"/>
        <w:right w:val="none" w:sz="0" w:space="0" w:color="auto"/>
      </w:divBdr>
    </w:div>
    <w:div w:id="1221748649">
      <w:marLeft w:val="0"/>
      <w:marRight w:val="0"/>
      <w:marTop w:val="0"/>
      <w:marBottom w:val="0"/>
      <w:divBdr>
        <w:top w:val="none" w:sz="0" w:space="0" w:color="auto"/>
        <w:left w:val="none" w:sz="0" w:space="0" w:color="auto"/>
        <w:bottom w:val="none" w:sz="0" w:space="0" w:color="auto"/>
        <w:right w:val="none" w:sz="0" w:space="0" w:color="auto"/>
      </w:divBdr>
    </w:div>
    <w:div w:id="1221748650">
      <w:marLeft w:val="0"/>
      <w:marRight w:val="0"/>
      <w:marTop w:val="0"/>
      <w:marBottom w:val="0"/>
      <w:divBdr>
        <w:top w:val="none" w:sz="0" w:space="0" w:color="auto"/>
        <w:left w:val="none" w:sz="0" w:space="0" w:color="auto"/>
        <w:bottom w:val="none" w:sz="0" w:space="0" w:color="auto"/>
        <w:right w:val="none" w:sz="0" w:space="0" w:color="auto"/>
      </w:divBdr>
    </w:div>
    <w:div w:id="1221748651">
      <w:marLeft w:val="0"/>
      <w:marRight w:val="0"/>
      <w:marTop w:val="0"/>
      <w:marBottom w:val="0"/>
      <w:divBdr>
        <w:top w:val="none" w:sz="0" w:space="0" w:color="auto"/>
        <w:left w:val="none" w:sz="0" w:space="0" w:color="auto"/>
        <w:bottom w:val="none" w:sz="0" w:space="0" w:color="auto"/>
        <w:right w:val="none" w:sz="0" w:space="0" w:color="auto"/>
      </w:divBdr>
    </w:div>
    <w:div w:id="1221748652">
      <w:marLeft w:val="0"/>
      <w:marRight w:val="0"/>
      <w:marTop w:val="0"/>
      <w:marBottom w:val="0"/>
      <w:divBdr>
        <w:top w:val="none" w:sz="0" w:space="0" w:color="auto"/>
        <w:left w:val="none" w:sz="0" w:space="0" w:color="auto"/>
        <w:bottom w:val="none" w:sz="0" w:space="0" w:color="auto"/>
        <w:right w:val="none" w:sz="0" w:space="0" w:color="auto"/>
      </w:divBdr>
    </w:div>
    <w:div w:id="1221748653">
      <w:marLeft w:val="0"/>
      <w:marRight w:val="0"/>
      <w:marTop w:val="0"/>
      <w:marBottom w:val="0"/>
      <w:divBdr>
        <w:top w:val="none" w:sz="0" w:space="0" w:color="auto"/>
        <w:left w:val="none" w:sz="0" w:space="0" w:color="auto"/>
        <w:bottom w:val="none" w:sz="0" w:space="0" w:color="auto"/>
        <w:right w:val="none" w:sz="0" w:space="0" w:color="auto"/>
      </w:divBdr>
    </w:div>
    <w:div w:id="1221748654">
      <w:marLeft w:val="0"/>
      <w:marRight w:val="0"/>
      <w:marTop w:val="0"/>
      <w:marBottom w:val="0"/>
      <w:divBdr>
        <w:top w:val="none" w:sz="0" w:space="0" w:color="auto"/>
        <w:left w:val="none" w:sz="0" w:space="0" w:color="auto"/>
        <w:bottom w:val="none" w:sz="0" w:space="0" w:color="auto"/>
        <w:right w:val="none" w:sz="0" w:space="0" w:color="auto"/>
      </w:divBdr>
    </w:div>
    <w:div w:id="1221748655">
      <w:marLeft w:val="0"/>
      <w:marRight w:val="0"/>
      <w:marTop w:val="0"/>
      <w:marBottom w:val="0"/>
      <w:divBdr>
        <w:top w:val="none" w:sz="0" w:space="0" w:color="auto"/>
        <w:left w:val="none" w:sz="0" w:space="0" w:color="auto"/>
        <w:bottom w:val="none" w:sz="0" w:space="0" w:color="auto"/>
        <w:right w:val="none" w:sz="0" w:space="0" w:color="auto"/>
      </w:divBdr>
    </w:div>
    <w:div w:id="1221748656">
      <w:marLeft w:val="0"/>
      <w:marRight w:val="0"/>
      <w:marTop w:val="0"/>
      <w:marBottom w:val="0"/>
      <w:divBdr>
        <w:top w:val="none" w:sz="0" w:space="0" w:color="auto"/>
        <w:left w:val="none" w:sz="0" w:space="0" w:color="auto"/>
        <w:bottom w:val="none" w:sz="0" w:space="0" w:color="auto"/>
        <w:right w:val="none" w:sz="0" w:space="0" w:color="auto"/>
      </w:divBdr>
    </w:div>
    <w:div w:id="1221748657">
      <w:marLeft w:val="0"/>
      <w:marRight w:val="0"/>
      <w:marTop w:val="0"/>
      <w:marBottom w:val="0"/>
      <w:divBdr>
        <w:top w:val="none" w:sz="0" w:space="0" w:color="auto"/>
        <w:left w:val="none" w:sz="0" w:space="0" w:color="auto"/>
        <w:bottom w:val="none" w:sz="0" w:space="0" w:color="auto"/>
        <w:right w:val="none" w:sz="0" w:space="0" w:color="auto"/>
      </w:divBdr>
    </w:div>
    <w:div w:id="1221748658">
      <w:marLeft w:val="0"/>
      <w:marRight w:val="0"/>
      <w:marTop w:val="0"/>
      <w:marBottom w:val="0"/>
      <w:divBdr>
        <w:top w:val="none" w:sz="0" w:space="0" w:color="auto"/>
        <w:left w:val="none" w:sz="0" w:space="0" w:color="auto"/>
        <w:bottom w:val="none" w:sz="0" w:space="0" w:color="auto"/>
        <w:right w:val="none" w:sz="0" w:space="0" w:color="auto"/>
      </w:divBdr>
    </w:div>
    <w:div w:id="1221748659">
      <w:marLeft w:val="0"/>
      <w:marRight w:val="0"/>
      <w:marTop w:val="0"/>
      <w:marBottom w:val="0"/>
      <w:divBdr>
        <w:top w:val="none" w:sz="0" w:space="0" w:color="auto"/>
        <w:left w:val="none" w:sz="0" w:space="0" w:color="auto"/>
        <w:bottom w:val="none" w:sz="0" w:space="0" w:color="auto"/>
        <w:right w:val="none" w:sz="0" w:space="0" w:color="auto"/>
      </w:divBdr>
    </w:div>
    <w:div w:id="1221748660">
      <w:marLeft w:val="0"/>
      <w:marRight w:val="0"/>
      <w:marTop w:val="0"/>
      <w:marBottom w:val="0"/>
      <w:divBdr>
        <w:top w:val="none" w:sz="0" w:space="0" w:color="auto"/>
        <w:left w:val="none" w:sz="0" w:space="0" w:color="auto"/>
        <w:bottom w:val="none" w:sz="0" w:space="0" w:color="auto"/>
        <w:right w:val="none" w:sz="0" w:space="0" w:color="auto"/>
      </w:divBdr>
    </w:div>
    <w:div w:id="1221748661">
      <w:marLeft w:val="0"/>
      <w:marRight w:val="0"/>
      <w:marTop w:val="0"/>
      <w:marBottom w:val="0"/>
      <w:divBdr>
        <w:top w:val="none" w:sz="0" w:space="0" w:color="auto"/>
        <w:left w:val="none" w:sz="0" w:space="0" w:color="auto"/>
        <w:bottom w:val="none" w:sz="0" w:space="0" w:color="auto"/>
        <w:right w:val="none" w:sz="0" w:space="0" w:color="auto"/>
      </w:divBdr>
    </w:div>
    <w:div w:id="1221748662">
      <w:marLeft w:val="0"/>
      <w:marRight w:val="0"/>
      <w:marTop w:val="0"/>
      <w:marBottom w:val="0"/>
      <w:divBdr>
        <w:top w:val="none" w:sz="0" w:space="0" w:color="auto"/>
        <w:left w:val="none" w:sz="0" w:space="0" w:color="auto"/>
        <w:bottom w:val="none" w:sz="0" w:space="0" w:color="auto"/>
        <w:right w:val="none" w:sz="0" w:space="0" w:color="auto"/>
      </w:divBdr>
    </w:div>
    <w:div w:id="1221748663">
      <w:marLeft w:val="0"/>
      <w:marRight w:val="0"/>
      <w:marTop w:val="0"/>
      <w:marBottom w:val="0"/>
      <w:divBdr>
        <w:top w:val="none" w:sz="0" w:space="0" w:color="auto"/>
        <w:left w:val="none" w:sz="0" w:space="0" w:color="auto"/>
        <w:bottom w:val="none" w:sz="0" w:space="0" w:color="auto"/>
        <w:right w:val="none" w:sz="0" w:space="0" w:color="auto"/>
      </w:divBdr>
    </w:div>
    <w:div w:id="1221748664">
      <w:marLeft w:val="0"/>
      <w:marRight w:val="0"/>
      <w:marTop w:val="0"/>
      <w:marBottom w:val="0"/>
      <w:divBdr>
        <w:top w:val="none" w:sz="0" w:space="0" w:color="auto"/>
        <w:left w:val="none" w:sz="0" w:space="0" w:color="auto"/>
        <w:bottom w:val="none" w:sz="0" w:space="0" w:color="auto"/>
        <w:right w:val="none" w:sz="0" w:space="0" w:color="auto"/>
      </w:divBdr>
    </w:div>
    <w:div w:id="1221748665">
      <w:marLeft w:val="0"/>
      <w:marRight w:val="0"/>
      <w:marTop w:val="0"/>
      <w:marBottom w:val="0"/>
      <w:divBdr>
        <w:top w:val="none" w:sz="0" w:space="0" w:color="auto"/>
        <w:left w:val="none" w:sz="0" w:space="0" w:color="auto"/>
        <w:bottom w:val="none" w:sz="0" w:space="0" w:color="auto"/>
        <w:right w:val="none" w:sz="0" w:space="0" w:color="auto"/>
      </w:divBdr>
    </w:div>
    <w:div w:id="1221748666">
      <w:marLeft w:val="0"/>
      <w:marRight w:val="0"/>
      <w:marTop w:val="0"/>
      <w:marBottom w:val="0"/>
      <w:divBdr>
        <w:top w:val="none" w:sz="0" w:space="0" w:color="auto"/>
        <w:left w:val="none" w:sz="0" w:space="0" w:color="auto"/>
        <w:bottom w:val="none" w:sz="0" w:space="0" w:color="auto"/>
        <w:right w:val="none" w:sz="0" w:space="0" w:color="auto"/>
      </w:divBdr>
    </w:div>
    <w:div w:id="1221748667">
      <w:marLeft w:val="0"/>
      <w:marRight w:val="0"/>
      <w:marTop w:val="0"/>
      <w:marBottom w:val="0"/>
      <w:divBdr>
        <w:top w:val="none" w:sz="0" w:space="0" w:color="auto"/>
        <w:left w:val="none" w:sz="0" w:space="0" w:color="auto"/>
        <w:bottom w:val="none" w:sz="0" w:space="0" w:color="auto"/>
        <w:right w:val="none" w:sz="0" w:space="0" w:color="auto"/>
      </w:divBdr>
    </w:div>
    <w:div w:id="1221748668">
      <w:marLeft w:val="0"/>
      <w:marRight w:val="0"/>
      <w:marTop w:val="0"/>
      <w:marBottom w:val="0"/>
      <w:divBdr>
        <w:top w:val="none" w:sz="0" w:space="0" w:color="auto"/>
        <w:left w:val="none" w:sz="0" w:space="0" w:color="auto"/>
        <w:bottom w:val="none" w:sz="0" w:space="0" w:color="auto"/>
        <w:right w:val="none" w:sz="0" w:space="0" w:color="auto"/>
      </w:divBdr>
    </w:div>
    <w:div w:id="1221748669">
      <w:marLeft w:val="0"/>
      <w:marRight w:val="0"/>
      <w:marTop w:val="0"/>
      <w:marBottom w:val="0"/>
      <w:divBdr>
        <w:top w:val="none" w:sz="0" w:space="0" w:color="auto"/>
        <w:left w:val="none" w:sz="0" w:space="0" w:color="auto"/>
        <w:bottom w:val="none" w:sz="0" w:space="0" w:color="auto"/>
        <w:right w:val="none" w:sz="0" w:space="0" w:color="auto"/>
      </w:divBdr>
    </w:div>
    <w:div w:id="1221748670">
      <w:marLeft w:val="0"/>
      <w:marRight w:val="0"/>
      <w:marTop w:val="0"/>
      <w:marBottom w:val="0"/>
      <w:divBdr>
        <w:top w:val="none" w:sz="0" w:space="0" w:color="auto"/>
        <w:left w:val="none" w:sz="0" w:space="0" w:color="auto"/>
        <w:bottom w:val="none" w:sz="0" w:space="0" w:color="auto"/>
        <w:right w:val="none" w:sz="0" w:space="0" w:color="auto"/>
      </w:divBdr>
    </w:div>
    <w:div w:id="1221748671">
      <w:marLeft w:val="0"/>
      <w:marRight w:val="0"/>
      <w:marTop w:val="0"/>
      <w:marBottom w:val="0"/>
      <w:divBdr>
        <w:top w:val="none" w:sz="0" w:space="0" w:color="auto"/>
        <w:left w:val="none" w:sz="0" w:space="0" w:color="auto"/>
        <w:bottom w:val="none" w:sz="0" w:space="0" w:color="auto"/>
        <w:right w:val="none" w:sz="0" w:space="0" w:color="auto"/>
      </w:divBdr>
    </w:div>
    <w:div w:id="1221748672">
      <w:marLeft w:val="0"/>
      <w:marRight w:val="0"/>
      <w:marTop w:val="0"/>
      <w:marBottom w:val="0"/>
      <w:divBdr>
        <w:top w:val="none" w:sz="0" w:space="0" w:color="auto"/>
        <w:left w:val="none" w:sz="0" w:space="0" w:color="auto"/>
        <w:bottom w:val="none" w:sz="0" w:space="0" w:color="auto"/>
        <w:right w:val="none" w:sz="0" w:space="0" w:color="auto"/>
      </w:divBdr>
    </w:div>
    <w:div w:id="1221748673">
      <w:marLeft w:val="0"/>
      <w:marRight w:val="0"/>
      <w:marTop w:val="0"/>
      <w:marBottom w:val="0"/>
      <w:divBdr>
        <w:top w:val="none" w:sz="0" w:space="0" w:color="auto"/>
        <w:left w:val="none" w:sz="0" w:space="0" w:color="auto"/>
        <w:bottom w:val="none" w:sz="0" w:space="0" w:color="auto"/>
        <w:right w:val="none" w:sz="0" w:space="0" w:color="auto"/>
      </w:divBdr>
    </w:div>
    <w:div w:id="1221748674">
      <w:marLeft w:val="0"/>
      <w:marRight w:val="0"/>
      <w:marTop w:val="0"/>
      <w:marBottom w:val="0"/>
      <w:divBdr>
        <w:top w:val="none" w:sz="0" w:space="0" w:color="auto"/>
        <w:left w:val="none" w:sz="0" w:space="0" w:color="auto"/>
        <w:bottom w:val="none" w:sz="0" w:space="0" w:color="auto"/>
        <w:right w:val="none" w:sz="0" w:space="0" w:color="auto"/>
      </w:divBdr>
    </w:div>
    <w:div w:id="1221748675">
      <w:marLeft w:val="0"/>
      <w:marRight w:val="0"/>
      <w:marTop w:val="0"/>
      <w:marBottom w:val="0"/>
      <w:divBdr>
        <w:top w:val="none" w:sz="0" w:space="0" w:color="auto"/>
        <w:left w:val="none" w:sz="0" w:space="0" w:color="auto"/>
        <w:bottom w:val="none" w:sz="0" w:space="0" w:color="auto"/>
        <w:right w:val="none" w:sz="0" w:space="0" w:color="auto"/>
      </w:divBdr>
    </w:div>
    <w:div w:id="1221748676">
      <w:marLeft w:val="0"/>
      <w:marRight w:val="0"/>
      <w:marTop w:val="0"/>
      <w:marBottom w:val="0"/>
      <w:divBdr>
        <w:top w:val="none" w:sz="0" w:space="0" w:color="auto"/>
        <w:left w:val="none" w:sz="0" w:space="0" w:color="auto"/>
        <w:bottom w:val="none" w:sz="0" w:space="0" w:color="auto"/>
        <w:right w:val="none" w:sz="0" w:space="0" w:color="auto"/>
      </w:divBdr>
    </w:div>
    <w:div w:id="1221748677">
      <w:marLeft w:val="0"/>
      <w:marRight w:val="0"/>
      <w:marTop w:val="0"/>
      <w:marBottom w:val="0"/>
      <w:divBdr>
        <w:top w:val="none" w:sz="0" w:space="0" w:color="auto"/>
        <w:left w:val="none" w:sz="0" w:space="0" w:color="auto"/>
        <w:bottom w:val="none" w:sz="0" w:space="0" w:color="auto"/>
        <w:right w:val="none" w:sz="0" w:space="0" w:color="auto"/>
      </w:divBdr>
    </w:div>
    <w:div w:id="1221748678">
      <w:marLeft w:val="0"/>
      <w:marRight w:val="0"/>
      <w:marTop w:val="0"/>
      <w:marBottom w:val="0"/>
      <w:divBdr>
        <w:top w:val="none" w:sz="0" w:space="0" w:color="auto"/>
        <w:left w:val="none" w:sz="0" w:space="0" w:color="auto"/>
        <w:bottom w:val="none" w:sz="0" w:space="0" w:color="auto"/>
        <w:right w:val="none" w:sz="0" w:space="0" w:color="auto"/>
      </w:divBdr>
    </w:div>
    <w:div w:id="1221748679">
      <w:marLeft w:val="0"/>
      <w:marRight w:val="0"/>
      <w:marTop w:val="0"/>
      <w:marBottom w:val="0"/>
      <w:divBdr>
        <w:top w:val="none" w:sz="0" w:space="0" w:color="auto"/>
        <w:left w:val="none" w:sz="0" w:space="0" w:color="auto"/>
        <w:bottom w:val="none" w:sz="0" w:space="0" w:color="auto"/>
        <w:right w:val="none" w:sz="0" w:space="0" w:color="auto"/>
      </w:divBdr>
    </w:div>
    <w:div w:id="1221748680">
      <w:marLeft w:val="0"/>
      <w:marRight w:val="0"/>
      <w:marTop w:val="0"/>
      <w:marBottom w:val="0"/>
      <w:divBdr>
        <w:top w:val="none" w:sz="0" w:space="0" w:color="auto"/>
        <w:left w:val="none" w:sz="0" w:space="0" w:color="auto"/>
        <w:bottom w:val="none" w:sz="0" w:space="0" w:color="auto"/>
        <w:right w:val="none" w:sz="0" w:space="0" w:color="auto"/>
      </w:divBdr>
    </w:div>
    <w:div w:id="1221748681">
      <w:marLeft w:val="0"/>
      <w:marRight w:val="0"/>
      <w:marTop w:val="0"/>
      <w:marBottom w:val="0"/>
      <w:divBdr>
        <w:top w:val="none" w:sz="0" w:space="0" w:color="auto"/>
        <w:left w:val="none" w:sz="0" w:space="0" w:color="auto"/>
        <w:bottom w:val="none" w:sz="0" w:space="0" w:color="auto"/>
        <w:right w:val="none" w:sz="0" w:space="0" w:color="auto"/>
      </w:divBdr>
    </w:div>
    <w:div w:id="1221748682">
      <w:marLeft w:val="0"/>
      <w:marRight w:val="0"/>
      <w:marTop w:val="0"/>
      <w:marBottom w:val="0"/>
      <w:divBdr>
        <w:top w:val="none" w:sz="0" w:space="0" w:color="auto"/>
        <w:left w:val="none" w:sz="0" w:space="0" w:color="auto"/>
        <w:bottom w:val="none" w:sz="0" w:space="0" w:color="auto"/>
        <w:right w:val="none" w:sz="0" w:space="0" w:color="auto"/>
      </w:divBdr>
    </w:div>
    <w:div w:id="1221748683">
      <w:marLeft w:val="0"/>
      <w:marRight w:val="0"/>
      <w:marTop w:val="0"/>
      <w:marBottom w:val="0"/>
      <w:divBdr>
        <w:top w:val="none" w:sz="0" w:space="0" w:color="auto"/>
        <w:left w:val="none" w:sz="0" w:space="0" w:color="auto"/>
        <w:bottom w:val="none" w:sz="0" w:space="0" w:color="auto"/>
        <w:right w:val="none" w:sz="0" w:space="0" w:color="auto"/>
      </w:divBdr>
    </w:div>
    <w:div w:id="1221748684">
      <w:marLeft w:val="0"/>
      <w:marRight w:val="0"/>
      <w:marTop w:val="0"/>
      <w:marBottom w:val="0"/>
      <w:divBdr>
        <w:top w:val="none" w:sz="0" w:space="0" w:color="auto"/>
        <w:left w:val="none" w:sz="0" w:space="0" w:color="auto"/>
        <w:bottom w:val="none" w:sz="0" w:space="0" w:color="auto"/>
        <w:right w:val="none" w:sz="0" w:space="0" w:color="auto"/>
      </w:divBdr>
    </w:div>
    <w:div w:id="1221748685">
      <w:marLeft w:val="0"/>
      <w:marRight w:val="0"/>
      <w:marTop w:val="0"/>
      <w:marBottom w:val="0"/>
      <w:divBdr>
        <w:top w:val="none" w:sz="0" w:space="0" w:color="auto"/>
        <w:left w:val="none" w:sz="0" w:space="0" w:color="auto"/>
        <w:bottom w:val="none" w:sz="0" w:space="0" w:color="auto"/>
        <w:right w:val="none" w:sz="0" w:space="0" w:color="auto"/>
      </w:divBdr>
    </w:div>
    <w:div w:id="1221748686">
      <w:marLeft w:val="0"/>
      <w:marRight w:val="0"/>
      <w:marTop w:val="0"/>
      <w:marBottom w:val="0"/>
      <w:divBdr>
        <w:top w:val="none" w:sz="0" w:space="0" w:color="auto"/>
        <w:left w:val="none" w:sz="0" w:space="0" w:color="auto"/>
        <w:bottom w:val="none" w:sz="0" w:space="0" w:color="auto"/>
        <w:right w:val="none" w:sz="0" w:space="0" w:color="auto"/>
      </w:divBdr>
    </w:div>
    <w:div w:id="1221748687">
      <w:marLeft w:val="0"/>
      <w:marRight w:val="0"/>
      <w:marTop w:val="0"/>
      <w:marBottom w:val="0"/>
      <w:divBdr>
        <w:top w:val="none" w:sz="0" w:space="0" w:color="auto"/>
        <w:left w:val="none" w:sz="0" w:space="0" w:color="auto"/>
        <w:bottom w:val="none" w:sz="0" w:space="0" w:color="auto"/>
        <w:right w:val="none" w:sz="0" w:space="0" w:color="auto"/>
      </w:divBdr>
    </w:div>
    <w:div w:id="1221748688">
      <w:marLeft w:val="0"/>
      <w:marRight w:val="0"/>
      <w:marTop w:val="0"/>
      <w:marBottom w:val="0"/>
      <w:divBdr>
        <w:top w:val="none" w:sz="0" w:space="0" w:color="auto"/>
        <w:left w:val="none" w:sz="0" w:space="0" w:color="auto"/>
        <w:bottom w:val="none" w:sz="0" w:space="0" w:color="auto"/>
        <w:right w:val="none" w:sz="0" w:space="0" w:color="auto"/>
      </w:divBdr>
    </w:div>
    <w:div w:id="1221748689">
      <w:marLeft w:val="0"/>
      <w:marRight w:val="0"/>
      <w:marTop w:val="0"/>
      <w:marBottom w:val="0"/>
      <w:divBdr>
        <w:top w:val="none" w:sz="0" w:space="0" w:color="auto"/>
        <w:left w:val="none" w:sz="0" w:space="0" w:color="auto"/>
        <w:bottom w:val="none" w:sz="0" w:space="0" w:color="auto"/>
        <w:right w:val="none" w:sz="0" w:space="0" w:color="auto"/>
      </w:divBdr>
    </w:div>
    <w:div w:id="1221748690">
      <w:marLeft w:val="0"/>
      <w:marRight w:val="0"/>
      <w:marTop w:val="0"/>
      <w:marBottom w:val="0"/>
      <w:divBdr>
        <w:top w:val="none" w:sz="0" w:space="0" w:color="auto"/>
        <w:left w:val="none" w:sz="0" w:space="0" w:color="auto"/>
        <w:bottom w:val="none" w:sz="0" w:space="0" w:color="auto"/>
        <w:right w:val="none" w:sz="0" w:space="0" w:color="auto"/>
      </w:divBdr>
    </w:div>
    <w:div w:id="1221748691">
      <w:marLeft w:val="0"/>
      <w:marRight w:val="0"/>
      <w:marTop w:val="0"/>
      <w:marBottom w:val="0"/>
      <w:divBdr>
        <w:top w:val="none" w:sz="0" w:space="0" w:color="auto"/>
        <w:left w:val="none" w:sz="0" w:space="0" w:color="auto"/>
        <w:bottom w:val="none" w:sz="0" w:space="0" w:color="auto"/>
        <w:right w:val="none" w:sz="0" w:space="0" w:color="auto"/>
      </w:divBdr>
    </w:div>
    <w:div w:id="1221748692">
      <w:marLeft w:val="0"/>
      <w:marRight w:val="0"/>
      <w:marTop w:val="0"/>
      <w:marBottom w:val="0"/>
      <w:divBdr>
        <w:top w:val="none" w:sz="0" w:space="0" w:color="auto"/>
        <w:left w:val="none" w:sz="0" w:space="0" w:color="auto"/>
        <w:bottom w:val="none" w:sz="0" w:space="0" w:color="auto"/>
        <w:right w:val="none" w:sz="0" w:space="0" w:color="auto"/>
      </w:divBdr>
    </w:div>
    <w:div w:id="1221748693">
      <w:marLeft w:val="0"/>
      <w:marRight w:val="0"/>
      <w:marTop w:val="0"/>
      <w:marBottom w:val="0"/>
      <w:divBdr>
        <w:top w:val="none" w:sz="0" w:space="0" w:color="auto"/>
        <w:left w:val="none" w:sz="0" w:space="0" w:color="auto"/>
        <w:bottom w:val="none" w:sz="0" w:space="0" w:color="auto"/>
        <w:right w:val="none" w:sz="0" w:space="0" w:color="auto"/>
      </w:divBdr>
    </w:div>
    <w:div w:id="1221748694">
      <w:marLeft w:val="0"/>
      <w:marRight w:val="0"/>
      <w:marTop w:val="0"/>
      <w:marBottom w:val="0"/>
      <w:divBdr>
        <w:top w:val="none" w:sz="0" w:space="0" w:color="auto"/>
        <w:left w:val="none" w:sz="0" w:space="0" w:color="auto"/>
        <w:bottom w:val="none" w:sz="0" w:space="0" w:color="auto"/>
        <w:right w:val="none" w:sz="0" w:space="0" w:color="auto"/>
      </w:divBdr>
    </w:div>
    <w:div w:id="1221748695">
      <w:marLeft w:val="0"/>
      <w:marRight w:val="0"/>
      <w:marTop w:val="0"/>
      <w:marBottom w:val="0"/>
      <w:divBdr>
        <w:top w:val="none" w:sz="0" w:space="0" w:color="auto"/>
        <w:left w:val="none" w:sz="0" w:space="0" w:color="auto"/>
        <w:bottom w:val="none" w:sz="0" w:space="0" w:color="auto"/>
        <w:right w:val="none" w:sz="0" w:space="0" w:color="auto"/>
      </w:divBdr>
    </w:div>
    <w:div w:id="1221748696">
      <w:marLeft w:val="0"/>
      <w:marRight w:val="0"/>
      <w:marTop w:val="0"/>
      <w:marBottom w:val="0"/>
      <w:divBdr>
        <w:top w:val="none" w:sz="0" w:space="0" w:color="auto"/>
        <w:left w:val="none" w:sz="0" w:space="0" w:color="auto"/>
        <w:bottom w:val="none" w:sz="0" w:space="0" w:color="auto"/>
        <w:right w:val="none" w:sz="0" w:space="0" w:color="auto"/>
      </w:divBdr>
    </w:div>
    <w:div w:id="1221748697">
      <w:marLeft w:val="0"/>
      <w:marRight w:val="0"/>
      <w:marTop w:val="0"/>
      <w:marBottom w:val="0"/>
      <w:divBdr>
        <w:top w:val="none" w:sz="0" w:space="0" w:color="auto"/>
        <w:left w:val="none" w:sz="0" w:space="0" w:color="auto"/>
        <w:bottom w:val="none" w:sz="0" w:space="0" w:color="auto"/>
        <w:right w:val="none" w:sz="0" w:space="0" w:color="auto"/>
      </w:divBdr>
    </w:div>
    <w:div w:id="1221748698">
      <w:marLeft w:val="0"/>
      <w:marRight w:val="0"/>
      <w:marTop w:val="0"/>
      <w:marBottom w:val="0"/>
      <w:divBdr>
        <w:top w:val="none" w:sz="0" w:space="0" w:color="auto"/>
        <w:left w:val="none" w:sz="0" w:space="0" w:color="auto"/>
        <w:bottom w:val="none" w:sz="0" w:space="0" w:color="auto"/>
        <w:right w:val="none" w:sz="0" w:space="0" w:color="auto"/>
      </w:divBdr>
    </w:div>
    <w:div w:id="1221748699">
      <w:marLeft w:val="0"/>
      <w:marRight w:val="0"/>
      <w:marTop w:val="0"/>
      <w:marBottom w:val="0"/>
      <w:divBdr>
        <w:top w:val="none" w:sz="0" w:space="0" w:color="auto"/>
        <w:left w:val="none" w:sz="0" w:space="0" w:color="auto"/>
        <w:bottom w:val="none" w:sz="0" w:space="0" w:color="auto"/>
        <w:right w:val="none" w:sz="0" w:space="0" w:color="auto"/>
      </w:divBdr>
    </w:div>
    <w:div w:id="1221748700">
      <w:marLeft w:val="0"/>
      <w:marRight w:val="0"/>
      <w:marTop w:val="0"/>
      <w:marBottom w:val="0"/>
      <w:divBdr>
        <w:top w:val="none" w:sz="0" w:space="0" w:color="auto"/>
        <w:left w:val="none" w:sz="0" w:space="0" w:color="auto"/>
        <w:bottom w:val="none" w:sz="0" w:space="0" w:color="auto"/>
        <w:right w:val="none" w:sz="0" w:space="0" w:color="auto"/>
      </w:divBdr>
    </w:div>
    <w:div w:id="1221942003">
      <w:bodyDiv w:val="1"/>
      <w:marLeft w:val="0"/>
      <w:marRight w:val="0"/>
      <w:marTop w:val="0"/>
      <w:marBottom w:val="0"/>
      <w:divBdr>
        <w:top w:val="none" w:sz="0" w:space="0" w:color="auto"/>
        <w:left w:val="none" w:sz="0" w:space="0" w:color="auto"/>
        <w:bottom w:val="none" w:sz="0" w:space="0" w:color="auto"/>
        <w:right w:val="none" w:sz="0" w:space="0" w:color="auto"/>
      </w:divBdr>
      <w:divsChild>
        <w:div w:id="1153718747">
          <w:marLeft w:val="0"/>
          <w:marRight w:val="0"/>
          <w:marTop w:val="0"/>
          <w:marBottom w:val="0"/>
          <w:divBdr>
            <w:top w:val="none" w:sz="0" w:space="0" w:color="auto"/>
            <w:left w:val="none" w:sz="0" w:space="0" w:color="auto"/>
            <w:bottom w:val="none" w:sz="0" w:space="0" w:color="auto"/>
            <w:right w:val="none" w:sz="0" w:space="0" w:color="auto"/>
          </w:divBdr>
        </w:div>
        <w:div w:id="1515001839">
          <w:marLeft w:val="0"/>
          <w:marRight w:val="0"/>
          <w:marTop w:val="0"/>
          <w:marBottom w:val="0"/>
          <w:divBdr>
            <w:top w:val="none" w:sz="0" w:space="0" w:color="auto"/>
            <w:left w:val="none" w:sz="0" w:space="0" w:color="auto"/>
            <w:bottom w:val="none" w:sz="0" w:space="0" w:color="auto"/>
            <w:right w:val="none" w:sz="0" w:space="0" w:color="auto"/>
          </w:divBdr>
        </w:div>
      </w:divsChild>
    </w:div>
    <w:div w:id="1274703854">
      <w:bodyDiv w:val="1"/>
      <w:marLeft w:val="0"/>
      <w:marRight w:val="0"/>
      <w:marTop w:val="0"/>
      <w:marBottom w:val="0"/>
      <w:divBdr>
        <w:top w:val="none" w:sz="0" w:space="0" w:color="auto"/>
        <w:left w:val="none" w:sz="0" w:space="0" w:color="auto"/>
        <w:bottom w:val="none" w:sz="0" w:space="0" w:color="auto"/>
        <w:right w:val="none" w:sz="0" w:space="0" w:color="auto"/>
      </w:divBdr>
    </w:div>
    <w:div w:id="1322150840">
      <w:bodyDiv w:val="1"/>
      <w:marLeft w:val="0"/>
      <w:marRight w:val="0"/>
      <w:marTop w:val="0"/>
      <w:marBottom w:val="0"/>
      <w:divBdr>
        <w:top w:val="none" w:sz="0" w:space="0" w:color="auto"/>
        <w:left w:val="none" w:sz="0" w:space="0" w:color="auto"/>
        <w:bottom w:val="none" w:sz="0" w:space="0" w:color="auto"/>
        <w:right w:val="none" w:sz="0" w:space="0" w:color="auto"/>
      </w:divBdr>
    </w:div>
    <w:div w:id="1382707770">
      <w:bodyDiv w:val="1"/>
      <w:marLeft w:val="0"/>
      <w:marRight w:val="0"/>
      <w:marTop w:val="0"/>
      <w:marBottom w:val="0"/>
      <w:divBdr>
        <w:top w:val="none" w:sz="0" w:space="0" w:color="auto"/>
        <w:left w:val="none" w:sz="0" w:space="0" w:color="auto"/>
        <w:bottom w:val="none" w:sz="0" w:space="0" w:color="auto"/>
        <w:right w:val="none" w:sz="0" w:space="0" w:color="auto"/>
      </w:divBdr>
    </w:div>
    <w:div w:id="1559898120">
      <w:bodyDiv w:val="1"/>
      <w:marLeft w:val="0"/>
      <w:marRight w:val="0"/>
      <w:marTop w:val="0"/>
      <w:marBottom w:val="0"/>
      <w:divBdr>
        <w:top w:val="none" w:sz="0" w:space="0" w:color="auto"/>
        <w:left w:val="none" w:sz="0" w:space="0" w:color="auto"/>
        <w:bottom w:val="none" w:sz="0" w:space="0" w:color="auto"/>
        <w:right w:val="none" w:sz="0" w:space="0" w:color="auto"/>
      </w:divBdr>
    </w:div>
    <w:div w:id="1629892890">
      <w:bodyDiv w:val="1"/>
      <w:marLeft w:val="0"/>
      <w:marRight w:val="0"/>
      <w:marTop w:val="0"/>
      <w:marBottom w:val="0"/>
      <w:divBdr>
        <w:top w:val="none" w:sz="0" w:space="0" w:color="auto"/>
        <w:left w:val="none" w:sz="0" w:space="0" w:color="auto"/>
        <w:bottom w:val="none" w:sz="0" w:space="0" w:color="auto"/>
        <w:right w:val="none" w:sz="0" w:space="0" w:color="auto"/>
      </w:divBdr>
    </w:div>
    <w:div w:id="1672562209">
      <w:bodyDiv w:val="1"/>
      <w:marLeft w:val="0"/>
      <w:marRight w:val="0"/>
      <w:marTop w:val="0"/>
      <w:marBottom w:val="0"/>
      <w:divBdr>
        <w:top w:val="none" w:sz="0" w:space="0" w:color="auto"/>
        <w:left w:val="none" w:sz="0" w:space="0" w:color="auto"/>
        <w:bottom w:val="none" w:sz="0" w:space="0" w:color="auto"/>
        <w:right w:val="none" w:sz="0" w:space="0" w:color="auto"/>
      </w:divBdr>
    </w:div>
    <w:div w:id="1798137544">
      <w:bodyDiv w:val="1"/>
      <w:marLeft w:val="0"/>
      <w:marRight w:val="0"/>
      <w:marTop w:val="0"/>
      <w:marBottom w:val="0"/>
      <w:divBdr>
        <w:top w:val="none" w:sz="0" w:space="0" w:color="auto"/>
        <w:left w:val="none" w:sz="0" w:space="0" w:color="auto"/>
        <w:bottom w:val="none" w:sz="0" w:space="0" w:color="auto"/>
        <w:right w:val="none" w:sz="0" w:space="0" w:color="auto"/>
      </w:divBdr>
    </w:div>
    <w:div w:id="196735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wmf"/><Relationship Id="rId26" Type="http://schemas.openxmlformats.org/officeDocument/2006/relationships/image" Target="media/image10.png"/><Relationship Id="rId39" Type="http://schemas.openxmlformats.org/officeDocument/2006/relationships/footer" Target="footer4.xml"/><Relationship Id="rId21" Type="http://schemas.openxmlformats.org/officeDocument/2006/relationships/oleObject" Target="embeddings/oleObject2.bin"/><Relationship Id="rId34" Type="http://schemas.openxmlformats.org/officeDocument/2006/relationships/image" Target="media/image17.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w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wmf"/><Relationship Id="rId32" Type="http://schemas.openxmlformats.org/officeDocument/2006/relationships/image" Target="media/image15.jp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oleObject" Target="embeddings/oleObject3.bin"/><Relationship Id="rId28" Type="http://schemas.openxmlformats.org/officeDocument/2006/relationships/image" Target="media/image12.wmf"/><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hyperlink" Target="http://www.udot.utah.gov/go/research" TargetMode="External"/><Relationship Id="rId3" Type="http://schemas.openxmlformats.org/officeDocument/2006/relationships/styles" Target="styles.xml"/><Relationship Id="rId12" Type="http://schemas.openxmlformats.org/officeDocument/2006/relationships/hyperlink" Target="http://www.udot.utah.gov/go/research" TargetMode="External"/><Relationship Id="rId17" Type="http://schemas.openxmlformats.org/officeDocument/2006/relationships/image" Target="media/image5.png"/><Relationship Id="rId25" Type="http://schemas.openxmlformats.org/officeDocument/2006/relationships/oleObject" Target="embeddings/oleObject4.bin"/><Relationship Id="rId33" Type="http://schemas.openxmlformats.org/officeDocument/2006/relationships/image" Target="media/image16.jpg"/><Relationship Id="rId38"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62694745326168"/>
          <c:y val="0.11797382585203391"/>
          <c:w val="0.76455571892278917"/>
          <c:h val="0.74943106185800845"/>
        </c:manualLayout>
      </c:layout>
      <c:scatterChart>
        <c:scatterStyle val="lineMarker"/>
        <c:varyColors val="0"/>
        <c:ser>
          <c:idx val="0"/>
          <c:order val="0"/>
          <c:tx>
            <c:v>Ku et al. model (Robertson)</c:v>
          </c:tx>
          <c:spPr>
            <a:ln w="25400" cap="rnd">
              <a:noFill/>
              <a:round/>
            </a:ln>
            <a:effectLst/>
          </c:spPr>
          <c:marker>
            <c:symbol val="circle"/>
            <c:size val="5"/>
            <c:spPr>
              <a:solidFill>
                <a:schemeClr val="bg1">
                  <a:lumMod val="65000"/>
                </a:schemeClr>
              </a:solidFill>
              <a:ln w="9525">
                <a:solidFill>
                  <a:schemeClr val="bg1">
                    <a:lumMod val="65000"/>
                  </a:schemeClr>
                </a:solidFill>
              </a:ln>
              <a:effectLst/>
            </c:spPr>
          </c:marker>
          <c:xVal>
            <c:numRef>
              <c:f>Sheet1!$H$5:$H$108</c:f>
              <c:numCache>
                <c:formatCode>General</c:formatCode>
                <c:ptCount val="104"/>
                <c:pt idx="0">
                  <c:v>1.0172981777360799</c:v>
                </c:pt>
                <c:pt idx="1">
                  <c:v>1.01728989954914</c:v>
                </c:pt>
                <c:pt idx="2">
                  <c:v>1.01726743086372</c:v>
                </c:pt>
                <c:pt idx="3">
                  <c:v>1.0172236789035001</c:v>
                </c:pt>
                <c:pt idx="4">
                  <c:v>1.0171515555098001</c:v>
                </c:pt>
                <c:pt idx="5">
                  <c:v>1.01704398060168</c:v>
                </c:pt>
                <c:pt idx="6">
                  <c:v>1.01689388661909</c:v>
                </c:pt>
                <c:pt idx="7">
                  <c:v>1.01669422394312</c:v>
                </c:pt>
                <c:pt idx="8">
                  <c:v>1.01643796728436</c:v>
                </c:pt>
                <c:pt idx="9">
                  <c:v>1.0161181230271901</c:v>
                </c:pt>
                <c:pt idx="10">
                  <c:v>1.0157277375135501</c:v>
                </c:pt>
                <c:pt idx="11">
                  <c:v>1.0152599062455401</c:v>
                </c:pt>
                <c:pt idx="12">
                  <c:v>1.0147077839810801</c:v>
                </c:pt>
                <c:pt idx="13">
                  <c:v>1.0140645956914101</c:v>
                </c:pt>
                <c:pt idx="14">
                  <c:v>1.0133236483436601</c:v>
                </c:pt>
                <c:pt idx="15">
                  <c:v>1.01247834346497</c:v>
                </c:pt>
                <c:pt idx="16">
                  <c:v>1.0115221904388201</c:v>
                </c:pt>
                <c:pt idx="17">
                  <c:v>1.0104488204770199</c:v>
                </c:pt>
                <c:pt idx="18">
                  <c:v>1.00925200120406</c:v>
                </c:pt>
                <c:pt idx="19">
                  <c:v>1.0079256517836199</c:v>
                </c:pt>
                <c:pt idx="20">
                  <c:v>1.00646385851008</c:v>
                </c:pt>
                <c:pt idx="21">
                  <c:v>1.00486089078086</c:v>
                </c:pt>
                <c:pt idx="22">
                  <c:v>1.0031112173590899</c:v>
                </c:pt>
                <c:pt idx="23">
                  <c:v>1.0012095228295299</c:v>
                </c:pt>
                <c:pt idx="24">
                  <c:v>0.99915072414492201</c:v>
                </c:pt>
                <c:pt idx="25">
                  <c:v>0.99692998715466796</c:v>
                </c:pt>
                <c:pt idx="26">
                  <c:v>0.99454274300297196</c:v>
                </c:pt>
                <c:pt idx="27">
                  <c:v>0.99198470427975505</c:v>
                </c:pt>
                <c:pt idx="28">
                  <c:v>0.98925188080461401</c:v>
                </c:pt>
                <c:pt idx="29">
                  <c:v>0.98634059492209303</c:v>
                </c:pt>
                <c:pt idx="30">
                  <c:v>0.98324749618553198</c:v>
                </c:pt>
                <c:pt idx="31">
                  <c:v>0.97996957530695805</c:v>
                </c:pt>
                <c:pt idx="32">
                  <c:v>0.97650417725189997</c:v>
                </c:pt>
                <c:pt idx="33">
                  <c:v>0.97284901336064999</c:v>
                </c:pt>
                <c:pt idx="34">
                  <c:v>0.96900217238146602</c:v>
                </c:pt>
                <c:pt idx="35">
                  <c:v>0.96496213030649902</c:v>
                </c:pt>
                <c:pt idx="36">
                  <c:v>0.96072775890781004</c:v>
                </c:pt>
                <c:pt idx="37">
                  <c:v>0.95629833287871002</c:v>
                </c:pt>
                <c:pt idx="38">
                  <c:v>0.95167353549474598</c:v>
                </c:pt>
                <c:pt idx="39">
                  <c:v>0.94685346271892301</c:v>
                </c:pt>
                <c:pt idx="40">
                  <c:v>0.94183862568707299</c:v>
                </c:pt>
                <c:pt idx="41">
                  <c:v>0.93662995152152995</c:v>
                </c:pt>
                <c:pt idx="42">
                  <c:v>0.931228782434386</c:v>
                </c:pt>
                <c:pt idx="43">
                  <c:v>0.92563687309532405</c:v>
                </c:pt>
                <c:pt idx="44">
                  <c:v>0.91985638625331101</c:v>
                </c:pt>
                <c:pt idx="45">
                  <c:v>0.91388988661596604</c:v>
                </c:pt>
                <c:pt idx="46">
                  <c:v>0.907740333005157</c:v>
                </c:pt>
                <c:pt idx="47">
                  <c:v>0.90141106882203004</c:v>
                </c:pt>
                <c:pt idx="48">
                  <c:v>0.89490581086905097</c:v>
                </c:pt>
                <c:pt idx="49">
                  <c:v>0.888228636590634</c:v>
                </c:pt>
                <c:pt idx="50">
                  <c:v>0.87998820137340805</c:v>
                </c:pt>
                <c:pt idx="51">
                  <c:v>0.87213284782477696</c:v>
                </c:pt>
                <c:pt idx="52">
                  <c:v>0.86441649754768302</c:v>
                </c:pt>
                <c:pt idx="53">
                  <c:v>0.85683549333154496</c:v>
                </c:pt>
                <c:pt idx="54">
                  <c:v>0.849386305146552</c:v>
                </c:pt>
                <c:pt idx="55">
                  <c:v>0.84206552466286799</c:v>
                </c:pt>
                <c:pt idx="56">
                  <c:v>0.83486986005084896</c:v>
                </c:pt>
                <c:pt idx="57">
                  <c:v>0.82779613104559702</c:v>
                </c:pt>
                <c:pt idx="58">
                  <c:v>0.82084126426030901</c:v>
                </c:pt>
                <c:pt idx="59">
                  <c:v>0.814002288733915</c:v>
                </c:pt>
                <c:pt idx="60">
                  <c:v>0.80727633169945201</c:v>
                </c:pt>
                <c:pt idx="61">
                  <c:v>0.80066061456050297</c:v>
                </c:pt>
                <c:pt idx="62">
                  <c:v>0.79415244906387505</c:v>
                </c:pt>
                <c:pt idx="63">
                  <c:v>0.78774923365743399</c:v>
                </c:pt>
                <c:pt idx="64">
                  <c:v>0.781448450022726</c:v>
                </c:pt>
                <c:pt idx="65">
                  <c:v>0.77524765977268395</c:v>
                </c:pt>
                <c:pt idx="66">
                  <c:v>0.76914450130531697</c:v>
                </c:pt>
                <c:pt idx="67">
                  <c:v>0.76313668680485403</c:v>
                </c:pt>
                <c:pt idx="68">
                  <c:v>0.75722199938235002</c:v>
                </c:pt>
                <c:pt idx="69">
                  <c:v>0.75139829034823002</c:v>
                </c:pt>
                <c:pt idx="70">
                  <c:v>0.74566347660973997</c:v>
                </c:pt>
                <c:pt idx="71">
                  <c:v>0.74001553818666699</c:v>
                </c:pt>
                <c:pt idx="72">
                  <c:v>0.73445251583911797</c:v>
                </c:pt>
                <c:pt idx="73">
                  <c:v>0.728972508801498</c:v>
                </c:pt>
                <c:pt idx="74">
                  <c:v>0.72357367261717598</c:v>
                </c:pt>
                <c:pt idx="75">
                  <c:v>0.71825421706866999</c:v>
                </c:pt>
                <c:pt idx="76">
                  <c:v>0.71301240419846401</c:v>
                </c:pt>
                <c:pt idx="77">
                  <c:v>0.70784654641585798</c:v>
                </c:pt>
                <c:pt idx="78">
                  <c:v>0.70275500468552698</c:v>
                </c:pt>
                <c:pt idx="79">
                  <c:v>0.69773618679369698</c:v>
                </c:pt>
                <c:pt idx="80">
                  <c:v>0.69278854568808901</c:v>
                </c:pt>
                <c:pt idx="81">
                  <c:v>0.68791057788799204</c:v>
                </c:pt>
                <c:pt idx="82">
                  <c:v>0.68310082196104405</c:v>
                </c:pt>
                <c:pt idx="83">
                  <c:v>0.67835785706345497</c:v>
                </c:pt>
                <c:pt idx="84">
                  <c:v>0.67368030154063896</c:v>
                </c:pt>
                <c:pt idx="85">
                  <c:v>0.66906681158533399</c:v>
                </c:pt>
                <c:pt idx="86">
                  <c:v>0.664516079950493</c:v>
                </c:pt>
                <c:pt idx="87">
                  <c:v>0.66002683471433898</c:v>
                </c:pt>
                <c:pt idx="88">
                  <c:v>0.65559783809514405</c:v>
                </c:pt>
                <c:pt idx="89">
                  <c:v>0.65122788531341003</c:v>
                </c:pt>
                <c:pt idx="90">
                  <c:v>0.64691580349925604</c:v>
                </c:pt>
                <c:pt idx="91">
                  <c:v>0.64266045064291999</c:v>
                </c:pt>
                <c:pt idx="92">
                  <c:v>0.63846071458642395</c:v>
                </c:pt>
                <c:pt idx="93">
                  <c:v>0.63431551205450298</c:v>
                </c:pt>
                <c:pt idx="94">
                  <c:v>0.63022378772305598</c:v>
                </c:pt>
                <c:pt idx="95">
                  <c:v>0.62618451332340896</c:v>
                </c:pt>
                <c:pt idx="96">
                  <c:v>0.62219668678081097</c:v>
                </c:pt>
                <c:pt idx="97">
                  <c:v>0.61825933138563605</c:v>
                </c:pt>
                <c:pt idx="98">
                  <c:v>0.61437149499586197</c:v>
                </c:pt>
                <c:pt idx="99">
                  <c:v>0.61053224926944405</c:v>
                </c:pt>
                <c:pt idx="100">
                  <c:v>0.60674068892529698</c:v>
                </c:pt>
                <c:pt idx="101">
                  <c:v>0.60299593103164395</c:v>
                </c:pt>
                <c:pt idx="102">
                  <c:v>0.59929711432055399</c:v>
                </c:pt>
                <c:pt idx="103">
                  <c:v>0.59564339852755499</c:v>
                </c:pt>
              </c:numCache>
            </c:numRef>
          </c:xVal>
          <c:yVal>
            <c:numRef>
              <c:f>Sheet1!$G$5:$G$108</c:f>
              <c:numCache>
                <c:formatCode>General</c:formatCode>
                <c:ptCount val="104"/>
                <c:pt idx="0">
                  <c:v>1.55707214545402E-3</c:v>
                </c:pt>
                <c:pt idx="1">
                  <c:v>1.51723419454654E-3</c:v>
                </c:pt>
                <c:pt idx="2">
                  <c:v>1.47877740560451E-3</c:v>
                </c:pt>
                <c:pt idx="3">
                  <c:v>1.44163884691816E-3</c:v>
                </c:pt>
                <c:pt idx="4">
                  <c:v>1.40575902311024E-3</c:v>
                </c:pt>
                <c:pt idx="5">
                  <c:v>1.3710816564256501E-3</c:v>
                </c:pt>
                <c:pt idx="6">
                  <c:v>1.33755348360731E-3</c:v>
                </c:pt>
                <c:pt idx="7">
                  <c:v>1.3051240671715001E-3</c:v>
                </c:pt>
                <c:pt idx="8">
                  <c:v>1.27374562000977E-3</c:v>
                </c:pt>
                <c:pt idx="9">
                  <c:v>1.2433728423398801E-3</c:v>
                </c:pt>
                <c:pt idx="10">
                  <c:v>1.2139627701081299E-3</c:v>
                </c:pt>
                <c:pt idx="11">
                  <c:v>1.1854746340143401E-3</c:v>
                </c:pt>
                <c:pt idx="12">
                  <c:v>1.1578697283906999E-3</c:v>
                </c:pt>
                <c:pt idx="13">
                  <c:v>1.1311112892190701E-3</c:v>
                </c:pt>
                <c:pt idx="14">
                  <c:v>1.1051643806198001E-3</c:v>
                </c:pt>
                <c:pt idx="15">
                  <c:v>1.07999578918916E-3</c:v>
                </c:pt>
                <c:pt idx="16">
                  <c:v>1.0555739256041901E-3</c:v>
                </c:pt>
                <c:pt idx="17">
                  <c:v>1.0318687329518999E-3</c:v>
                </c:pt>
                <c:pt idx="18">
                  <c:v>1.0088516012766099E-3</c:v>
                </c:pt>
                <c:pt idx="19">
                  <c:v>9.8649528787366002E-4</c:v>
                </c:pt>
                <c:pt idx="20">
                  <c:v>9.6477384289068502E-4</c:v>
                </c:pt>
                <c:pt idx="21">
                  <c:v>9.4366253982864495E-4</c:v>
                </c:pt>
                <c:pt idx="22">
                  <c:v>9.2313781056482705E-4</c:v>
                </c:pt>
                <c:pt idx="23">
                  <c:v>9.0317718454789001E-4</c:v>
                </c:pt>
                <c:pt idx="24">
                  <c:v>8.8375923184178602E-4</c:v>
                </c:pt>
                <c:pt idx="25">
                  <c:v>8.6486350972050604E-4</c:v>
                </c:pt>
                <c:pt idx="26">
                  <c:v>8.4647051253927805E-4</c:v>
                </c:pt>
                <c:pt idx="27">
                  <c:v>8.2856162463001396E-4</c:v>
                </c:pt>
                <c:pt idx="28">
                  <c:v>8.1111907598959798E-4</c:v>
                </c:pt>
                <c:pt idx="29">
                  <c:v>7.9412590054896105E-4</c:v>
                </c:pt>
                <c:pt idx="30">
                  <c:v>7.7756589682889004E-4</c:v>
                </c:pt>
                <c:pt idx="31">
                  <c:v>7.6142359080517399E-4</c:v>
                </c:pt>
                <c:pt idx="32">
                  <c:v>7.4568420082112301E-4</c:v>
                </c:pt>
                <c:pt idx="33">
                  <c:v>7.3033360439966498E-4</c:v>
                </c:pt>
                <c:pt idx="34">
                  <c:v>7.1535830682026205E-4</c:v>
                </c:pt>
                <c:pt idx="35">
                  <c:v>7.0074541133782905E-4</c:v>
                </c:pt>
                <c:pt idx="36">
                  <c:v>6.8648259093175305E-4</c:v>
                </c:pt>
                <c:pt idx="37">
                  <c:v>6.7255806148302697E-4</c:v>
                </c:pt>
                <c:pt idx="38">
                  <c:v>6.5896055628660304E-4</c:v>
                </c:pt>
                <c:pt idx="39">
                  <c:v>6.4567930181422197E-4</c:v>
                </c:pt>
                <c:pt idx="40">
                  <c:v>6.3270399465043903E-4</c:v>
                </c:pt>
                <c:pt idx="41">
                  <c:v>6.2002477953127899E-4</c:v>
                </c:pt>
                <c:pt idx="42">
                  <c:v>6.0763222842099901E-4</c:v>
                </c:pt>
                <c:pt idx="43">
                  <c:v>5.9551732056791504E-4</c:v>
                </c:pt>
                <c:pt idx="44">
                  <c:v>5.8367142348513998E-4</c:v>
                </c:pt>
                <c:pt idx="45">
                  <c:v>5.7208627480651595E-4</c:v>
                </c:pt>
                <c:pt idx="46">
                  <c:v>5.6075396497196495E-4</c:v>
                </c:pt>
                <c:pt idx="47">
                  <c:v>5.4966692070004299E-4</c:v>
                </c:pt>
                <c:pt idx="48">
                  <c:v>5.38817889208672E-4</c:v>
                </c:pt>
                <c:pt idx="49">
                  <c:v>5.2819992314786905E-4</c:v>
                </c:pt>
                <c:pt idx="50">
                  <c:v>5.1961777352174199E-4</c:v>
                </c:pt>
                <c:pt idx="51">
                  <c:v>5.10533951591505E-4</c:v>
                </c:pt>
                <c:pt idx="52">
                  <c:v>5.0127253561047002E-4</c:v>
                </c:pt>
                <c:pt idx="53">
                  <c:v>4.91842665263121E-4</c:v>
                </c:pt>
                <c:pt idx="54">
                  <c:v>4.8225388401532701E-4</c:v>
                </c:pt>
                <c:pt idx="55">
                  <c:v>4.7251611358281202E-4</c:v>
                </c:pt>
                <c:pt idx="56">
                  <c:v>4.6263962819430201E-4</c:v>
                </c:pt>
                <c:pt idx="57">
                  <c:v>4.5263502884753499E-4</c:v>
                </c:pt>
                <c:pt idx="58">
                  <c:v>4.42513217732977E-4</c:v>
                </c:pt>
                <c:pt idx="59">
                  <c:v>4.3228537297153899E-4</c:v>
                </c:pt>
                <c:pt idx="60">
                  <c:v>4.21962923779189E-4</c:v>
                </c:pt>
                <c:pt idx="61">
                  <c:v>4.1155752613399803E-4</c:v>
                </c:pt>
                <c:pt idx="62">
                  <c:v>4.0108103898058202E-4</c:v>
                </c:pt>
                <c:pt idx="63">
                  <c:v>3.9054550096432402E-4</c:v>
                </c:pt>
                <c:pt idx="64">
                  <c:v>3.7996310764426197E-4</c:v>
                </c:pt>
                <c:pt idx="65">
                  <c:v>3.69346189090638E-4</c:v>
                </c:pt>
                <c:pt idx="66">
                  <c:v>3.5870718773215002E-4</c:v>
                </c:pt>
                <c:pt idx="67">
                  <c:v>3.48058636280496E-4</c:v>
                </c:pt>
                <c:pt idx="68">
                  <c:v>3.3741313552742099E-4</c:v>
                </c:pt>
                <c:pt idx="69">
                  <c:v>3.2678333178352598E-4</c:v>
                </c:pt>
                <c:pt idx="70">
                  <c:v>3.16181893710121E-4</c:v>
                </c:pt>
                <c:pt idx="71">
                  <c:v>3.05621488286379E-4</c:v>
                </c:pt>
                <c:pt idx="72">
                  <c:v>2.9511475565518802E-4</c:v>
                </c:pt>
                <c:pt idx="73">
                  <c:v>2.8467428260294301E-4</c:v>
                </c:pt>
                <c:pt idx="74">
                  <c:v>2.7431257445145198E-4</c:v>
                </c:pt>
                <c:pt idx="75">
                  <c:v>2.6404202517431698E-4</c:v>
                </c:pt>
                <c:pt idx="76">
                  <c:v>2.5387488559494001E-4</c:v>
                </c:pt>
                <c:pt idx="77">
                  <c:v>2.43823229578178E-4</c:v>
                </c:pt>
                <c:pt idx="78">
                  <c:v>2.3389891819123099E-4</c:v>
                </c:pt>
                <c:pt idx="79">
                  <c:v>2.2411356188015001E-4</c:v>
                </c:pt>
                <c:pt idx="80">
                  <c:v>2.1447848078442899E-4</c:v>
                </c:pt>
                <c:pt idx="81">
                  <c:v>2.0500466339125499E-4</c:v>
                </c:pt>
                <c:pt idx="82">
                  <c:v>1.95702723810847E-4</c:v>
                </c:pt>
                <c:pt idx="83">
                  <c:v>1.8658285803216699E-4</c:v>
                </c:pt>
                <c:pt idx="84">
                  <c:v>1.7765479959168799E-4</c:v>
                </c:pt>
                <c:pt idx="85">
                  <c:v>1.6892777515419699E-4</c:v>
                </c:pt>
                <c:pt idx="86">
                  <c:v>1.6041046056140899E-4</c:v>
                </c:pt>
                <c:pt idx="87">
                  <c:v>1.52110937949341E-4</c:v>
                </c:pt>
                <c:pt idx="88">
                  <c:v>1.4403665456695999E-4</c:v>
                </c:pt>
                <c:pt idx="89">
                  <c:v>1.3619438394530501E-4</c:v>
                </c:pt>
                <c:pt idx="90">
                  <c:v>1.2859019006698601E-4</c:v>
                </c:pt>
                <c:pt idx="91">
                  <c:v>1.21229395170169E-4</c:v>
                </c:pt>
                <c:pt idx="92">
                  <c:v>1.14116551789073E-4</c:v>
                </c:pt>
                <c:pt idx="93">
                  <c:v>1.0725541958499501E-4</c:v>
                </c:pt>
                <c:pt idx="94">
                  <c:v>1.0064894745914801E-4</c:v>
                </c:pt>
                <c:pt idx="95" formatCode="0.00E+00">
                  <c:v>9.4299261362677296E-5</c:v>
                </c:pt>
                <c:pt idx="96" formatCode="0.00E+00">
                  <c:v>8.8207658131990099E-5</c:v>
                </c:pt>
                <c:pt idx="97" formatCode="0.00E+00">
                  <c:v>8.23746055813541E-5</c:v>
                </c:pt>
                <c:pt idx="98" formatCode="0.00E+00">
                  <c:v>7.67997489821329E-5</c:v>
                </c:pt>
                <c:pt idx="99" formatCode="0.00E+00">
                  <c:v>7.1481923951690794E-5</c:v>
                </c:pt>
                <c:pt idx="100" formatCode="0.00E+00">
                  <c:v>6.6419175667757497E-5</c:v>
                </c:pt>
                <c:pt idx="101" formatCode="0.00E+00">
                  <c:v>6.1608784218612504E-5</c:v>
                </c:pt>
                <c:pt idx="102" formatCode="0.00E+00">
                  <c:v>5.7047295798500099E-5</c:v>
                </c:pt>
                <c:pt idx="103" formatCode="0.00E+00">
                  <c:v>5.27305593636359E-5</c:v>
                </c:pt>
              </c:numCache>
            </c:numRef>
          </c:yVal>
          <c:smooth val="0"/>
          <c:extLst xmlns:c16r2="http://schemas.microsoft.com/office/drawing/2015/06/chart">
            <c:ext xmlns:c16="http://schemas.microsoft.com/office/drawing/2014/chart" uri="{C3380CC4-5D6E-409C-BE32-E72D297353CC}">
              <c16:uniqueId val="{00000000-F8E4-4FF4-826A-86295FE5F372}"/>
            </c:ext>
          </c:extLst>
        </c:ser>
        <c:ser>
          <c:idx val="1"/>
          <c:order val="1"/>
          <c:tx>
            <c:v>Idriss and Boulanger model</c:v>
          </c:tx>
          <c:spPr>
            <a:ln w="25400" cap="rnd">
              <a:noFill/>
              <a:round/>
            </a:ln>
            <a:effectLst/>
          </c:spPr>
          <c:marker>
            <c:symbol val="x"/>
            <c:size val="5"/>
            <c:spPr>
              <a:solidFill>
                <a:schemeClr val="tx1"/>
              </a:solidFill>
              <a:ln w="9525" cap="flat">
                <a:solidFill>
                  <a:schemeClr val="tx1"/>
                </a:solidFill>
              </a:ln>
              <a:effectLst/>
            </c:spPr>
          </c:marker>
          <c:xVal>
            <c:numRef>
              <c:f>Sheet1!$D$5:$D$130</c:f>
              <c:numCache>
                <c:formatCode>General</c:formatCode>
                <c:ptCount val="126"/>
                <c:pt idx="0">
                  <c:v>1.2275762422466401</c:v>
                </c:pt>
                <c:pt idx="1">
                  <c:v>1.21676006469843</c:v>
                </c:pt>
                <c:pt idx="2">
                  <c:v>1.2060418794894801</c:v>
                </c:pt>
                <c:pt idx="3">
                  <c:v>1.19542318609723</c:v>
                </c:pt>
                <c:pt idx="4">
                  <c:v>1.1849053270869301</c:v>
                </c:pt>
                <c:pt idx="5">
                  <c:v>1.1744894935669401</c:v>
                </c:pt>
                <c:pt idx="6">
                  <c:v>1.1641767305470401</c:v>
                </c:pt>
                <c:pt idx="7">
                  <c:v>1.15396794219532</c:v>
                </c:pt>
                <c:pt idx="8">
                  <c:v>1.14386389698929</c:v>
                </c:pt>
                <c:pt idx="9">
                  <c:v>1.13386523275781</c:v>
                </c:pt>
                <c:pt idx="10">
                  <c:v>1.1239724616105999</c:v>
                </c:pt>
                <c:pt idx="11">
                  <c:v>1.1141859747530201</c:v>
                </c:pt>
                <c:pt idx="12">
                  <c:v>1.1045060471838599</c:v>
                </c:pt>
                <c:pt idx="13">
                  <c:v>1.0949328422745499</c:v>
                </c:pt>
                <c:pt idx="14">
                  <c:v>1.0854664162285701</c:v>
                </c:pt>
                <c:pt idx="15">
                  <c:v>1.07610672242031</c:v>
                </c:pt>
                <c:pt idx="16">
                  <c:v>1.06685361561272</c:v>
                </c:pt>
                <c:pt idx="17">
                  <c:v>1.0577068560538301</c:v>
                </c:pt>
                <c:pt idx="18">
                  <c:v>1.04866611345218</c:v>
                </c:pt>
                <c:pt idx="19">
                  <c:v>1.0397309708317299</c:v>
                </c:pt>
                <c:pt idx="20">
                  <c:v>1.0309009282669199</c:v>
                </c:pt>
                <c:pt idx="21">
                  <c:v>1.0221754064990201</c:v>
                </c:pt>
                <c:pt idx="22">
                  <c:v>1.0135537504348899</c:v>
                </c:pt>
                <c:pt idx="23">
                  <c:v>1.0050352325296199</c:v>
                </c:pt>
                <c:pt idx="24">
                  <c:v>0.996619056054866</c:v>
                </c:pt>
                <c:pt idx="25">
                  <c:v>0.98830435825448404</c:v>
                </c:pt>
                <c:pt idx="26">
                  <c:v>0.98009021338967595</c:v>
                </c:pt>
                <c:pt idx="27">
                  <c:v>0.971975635675696</c:v>
                </c:pt>
                <c:pt idx="28">
                  <c:v>0.96395958211245503</c:v>
                </c:pt>
                <c:pt idx="29">
                  <c:v>0.95604095521144306</c:v>
                </c:pt>
                <c:pt idx="30">
                  <c:v>0.94821860562150695</c:v>
                </c:pt>
                <c:pt idx="31">
                  <c:v>0.940491334656121</c:v>
                </c:pt>
                <c:pt idx="32">
                  <c:v>0.93285789672487696</c:v>
                </c:pt>
                <c:pt idx="33">
                  <c:v>0.92531700167200903</c:v>
                </c:pt>
                <c:pt idx="34">
                  <c:v>0.91786731702483204</c:v>
                </c:pt>
                <c:pt idx="35">
                  <c:v>0.91050747015503197</c:v>
                </c:pt>
                <c:pt idx="36">
                  <c:v>0.90323605035580501</c:v>
                </c:pt>
                <c:pt idx="37">
                  <c:v>0.89605161083789897</c:v>
                </c:pt>
                <c:pt idx="38">
                  <c:v>0.88895267064761896</c:v>
                </c:pt>
                <c:pt idx="39">
                  <c:v>0.88193771650993202</c:v>
                </c:pt>
                <c:pt idx="40">
                  <c:v>0.87500520459979403</c:v>
                </c:pt>
                <c:pt idx="41">
                  <c:v>0.86815356224487195</c:v>
                </c:pt>
                <c:pt idx="42">
                  <c:v>0.86138118956283505</c:v>
                </c:pt>
                <c:pt idx="43">
                  <c:v>0.8546864610364</c:v>
                </c:pt>
                <c:pt idx="44">
                  <c:v>0.84806772702932698</c:v>
                </c:pt>
                <c:pt idx="45">
                  <c:v>0.84152331524655699</c:v>
                </c:pt>
                <c:pt idx="46">
                  <c:v>0.83505153214169303</c:v>
                </c:pt>
                <c:pt idx="47">
                  <c:v>0.828650664275006</c:v>
                </c:pt>
                <c:pt idx="48">
                  <c:v>0.822318979625145</c:v>
                </c:pt>
                <c:pt idx="49">
                  <c:v>0.81605472885772001</c:v>
                </c:pt>
                <c:pt idx="50">
                  <c:v>0.80985614655391402</c:v>
                </c:pt>
                <c:pt idx="51">
                  <c:v>0.80372145240224602</c:v>
                </c:pt>
                <c:pt idx="52">
                  <c:v>0.79764885235660798</c:v>
                </c:pt>
                <c:pt idx="53">
                  <c:v>0.79163653976366299</c:v>
                </c:pt>
                <c:pt idx="54">
                  <c:v>0.78568269646266398</c:v>
                </c:pt>
                <c:pt idx="55">
                  <c:v>0.77978549386073004</c:v>
                </c:pt>
                <c:pt idx="56">
                  <c:v>0.773943093986588</c:v>
                </c:pt>
                <c:pt idx="57">
                  <c:v>0.76815365052573803</c:v>
                </c:pt>
                <c:pt idx="58">
                  <c:v>0.76241530983999395</c:v>
                </c:pt>
                <c:pt idx="59">
                  <c:v>0.75672621197427703</c:v>
                </c:pt>
                <c:pt idx="60">
                  <c:v>0.75108449165352398</c:v>
                </c:pt>
                <c:pt idx="61">
                  <c:v>0.74548827927252503</c:v>
                </c:pt>
                <c:pt idx="62">
                  <c:v>0.73993570188144597</c:v>
                </c:pt>
                <c:pt idx="63">
                  <c:v>0.73442488416974705</c:v>
                </c:pt>
                <c:pt idx="64">
                  <c:v>0.72895394945116998</c:v>
                </c:pt>
                <c:pt idx="65">
                  <c:v>0.72352102065238499</c:v>
                </c:pt>
                <c:pt idx="66">
                  <c:v>0.71812422130784903</c:v>
                </c:pt>
                <c:pt idx="67">
                  <c:v>0.71276167656335399</c:v>
                </c:pt>
                <c:pt idx="68">
                  <c:v>0.70743151419067896</c:v>
                </c:pt>
                <c:pt idx="69">
                  <c:v>0.70213186561569196</c:v>
                </c:pt>
                <c:pt idx="70">
                  <c:v>0.69686086696216798</c:v>
                </c:pt>
                <c:pt idx="71">
                  <c:v>0.69161666011350598</c:v>
                </c:pt>
                <c:pt idx="72">
                  <c:v>0.68639739379445897</c:v>
                </c:pt>
                <c:pt idx="73">
                  <c:v>0.68120122467487698</c:v>
                </c:pt>
                <c:pt idx="74">
                  <c:v>0.67602631849739403</c:v>
                </c:pt>
                <c:pt idx="75">
                  <c:v>0.67087085123087298</c:v>
                </c:pt>
                <c:pt idx="76">
                  <c:v>0.66573301025130904</c:v>
                </c:pt>
                <c:pt idx="77">
                  <c:v>0.66061099555182101</c:v>
                </c:pt>
                <c:pt idx="78">
                  <c:v>0.65550302098317403</c:v>
                </c:pt>
                <c:pt idx="79">
                  <c:v>0.650407315526219</c:v>
                </c:pt>
                <c:pt idx="80">
                  <c:v>0.64532212459746796</c:v>
                </c:pt>
                <c:pt idx="81">
                  <c:v>0.64024571138887498</c:v>
                </c:pt>
                <c:pt idx="82">
                  <c:v>0.63517635824278995</c:v>
                </c:pt>
                <c:pt idx="83">
                  <c:v>0.63011236806284399</c:v>
                </c:pt>
                <c:pt idx="84">
                  <c:v>0.62505206576141503</c:v>
                </c:pt>
                <c:pt idx="85">
                  <c:v>0.61999379974411895</c:v>
                </c:pt>
                <c:pt idx="86">
                  <c:v>0.61493594343160796</c:v>
                </c:pt>
                <c:pt idx="87">
                  <c:v>0.60987689681877599</c:v>
                </c:pt>
                <c:pt idx="88">
                  <c:v>0.60481508807127304</c:v>
                </c:pt>
                <c:pt idx="89">
                  <c:v>0.59974897515902803</c:v>
                </c:pt>
                <c:pt idx="90">
                  <c:v>0.59467704752628403</c:v>
                </c:pt>
                <c:pt idx="91">
                  <c:v>0.58959782779740399</c:v>
                </c:pt>
                <c:pt idx="92">
                  <c:v>0.58450987351753003</c:v>
                </c:pt>
                <c:pt idx="93">
                  <c:v>0.57941177892687601</c:v>
                </c:pt>
                <c:pt idx="94">
                  <c:v>0.57430217676727502</c:v>
                </c:pt>
                <c:pt idx="95">
                  <c:v>0.56917974011927597</c:v>
                </c:pt>
                <c:pt idx="96">
                  <c:v>0.56404318426789402</c:v>
                </c:pt>
                <c:pt idx="97">
                  <c:v>0.55889126859481397</c:v>
                </c:pt>
                <c:pt idx="98">
                  <c:v>0.55372279849459805</c:v>
                </c:pt>
                <c:pt idx="99">
                  <c:v>0.54853662731217201</c:v>
                </c:pt>
                <c:pt idx="100">
                  <c:v>0.54333165829859398</c:v>
                </c:pt>
                <c:pt idx="101">
                  <c:v>0.53810684658178998</c:v>
                </c:pt>
                <c:pt idx="102">
                  <c:v>0.53286120114871605</c:v>
                </c:pt>
                <c:pt idx="103">
                  <c:v>0.52759378683505298</c:v>
                </c:pt>
                <c:pt idx="104">
                  <c:v>0.52230372631828503</c:v>
                </c:pt>
                <c:pt idx="105">
                  <c:v>0.51699020210971802</c:v>
                </c:pt>
                <c:pt idx="106">
                  <c:v>0.51165245854067198</c:v>
                </c:pt>
                <c:pt idx="107">
                  <c:v>0.50628980373783306</c:v>
                </c:pt>
                <c:pt idx="108">
                  <c:v>0.50090161158242097</c:v>
                </c:pt>
                <c:pt idx="109">
                  <c:v>0.49548732364755999</c:v>
                </c:pt>
                <c:pt idx="110">
                  <c:v>0.49004645110797002</c:v>
                </c:pt>
                <c:pt idx="111">
                  <c:v>0.48457857661578801</c:v>
                </c:pt>
                <c:pt idx="112">
                  <c:v>0.47908335613610498</c:v>
                </c:pt>
                <c:pt idx="113">
                  <c:v>0.47356052073551502</c:v>
                </c:pt>
                <c:pt idx="114">
                  <c:v>0.46800987831673602</c:v>
                </c:pt>
                <c:pt idx="115">
                  <c:v>0.46243131529215298</c:v>
                </c:pt>
                <c:pt idx="116">
                  <c:v>0.456824798188883</c:v>
                </c:pt>
                <c:pt idx="117">
                  <c:v>0.45119037517779498</c:v>
                </c:pt>
                <c:pt idx="118">
                  <c:v>0.44552817751871099</c:v>
                </c:pt>
                <c:pt idx="119">
                  <c:v>0.43983842091390302</c:v>
                </c:pt>
                <c:pt idx="120">
                  <c:v>0.434121406761797</c:v>
                </c:pt>
                <c:pt idx="121">
                  <c:v>0.42837752330276702</c:v>
                </c:pt>
                <c:pt idx="122">
                  <c:v>0.42260724664875898</c:v>
                </c:pt>
                <c:pt idx="123">
                  <c:v>0.416811141688474</c:v>
                </c:pt>
                <c:pt idx="124">
                  <c:v>0.41098986285980899</c:v>
                </c:pt>
                <c:pt idx="125">
                  <c:v>0.40514415478125998</c:v>
                </c:pt>
              </c:numCache>
            </c:numRef>
          </c:xVal>
          <c:yVal>
            <c:numRef>
              <c:f>Sheet1!$C$5:$C$130</c:f>
              <c:numCache>
                <c:formatCode>General</c:formatCode>
                <c:ptCount val="126"/>
                <c:pt idx="0">
                  <c:v>1.6818313917638401E-3</c:v>
                </c:pt>
                <c:pt idx="1">
                  <c:v>1.6565415597554101E-3</c:v>
                </c:pt>
                <c:pt idx="2">
                  <c:v>1.63152595402614E-3</c:v>
                </c:pt>
                <c:pt idx="3">
                  <c:v>1.60679026043312E-3</c:v>
                </c:pt>
                <c:pt idx="4">
                  <c:v>1.58233972361922E-3</c:v>
                </c:pt>
                <c:pt idx="5">
                  <c:v>1.5581791401836299E-3</c:v>
                </c:pt>
                <c:pt idx="6">
                  <c:v>1.5343128533945099E-3</c:v>
                </c:pt>
                <c:pt idx="7">
                  <c:v>1.51074474957416E-3</c:v>
                </c:pt>
                <c:pt idx="8">
                  <c:v>1.4874782562520801E-3</c:v>
                </c:pt>
                <c:pt idx="9">
                  <c:v>1.46451634214593E-3</c:v>
                </c:pt>
                <c:pt idx="10">
                  <c:v>1.4418615189963099E-3</c:v>
                </c:pt>
                <c:pt idx="11">
                  <c:v>1.41951584524891E-3</c:v>
                </c:pt>
                <c:pt idx="12">
                  <c:v>1.3974809315477001E-3</c:v>
                </c:pt>
                <c:pt idx="13">
                  <c:v>1.3757579479750199E-3</c:v>
                </c:pt>
                <c:pt idx="14">
                  <c:v>1.3543476329507E-3</c:v>
                </c:pt>
                <c:pt idx="15">
                  <c:v>1.3332503036813E-3</c:v>
                </c:pt>
                <c:pt idx="16">
                  <c:v>1.3124658680333601E-3</c:v>
                </c:pt>
                <c:pt idx="17">
                  <c:v>1.2919938376909201E-3</c:v>
                </c:pt>
                <c:pt idx="18">
                  <c:v>1.2718333424476601E-3</c:v>
                </c:pt>
                <c:pt idx="19">
                  <c:v>1.2519831454771201E-3</c:v>
                </c:pt>
                <c:pt idx="20">
                  <c:v>1.23244165942149E-3</c:v>
                </c:pt>
                <c:pt idx="21">
                  <c:v>1.2132069631387999E-3</c:v>
                </c:pt>
                <c:pt idx="22">
                  <c:v>1.1942768189510101E-3</c:v>
                </c:pt>
                <c:pt idx="23">
                  <c:v>1.17564869024007E-3</c:v>
                </c:pt>
                <c:pt idx="24">
                  <c:v>1.1573197592459599E-3</c:v>
                </c:pt>
                <c:pt idx="25">
                  <c:v>1.1392869449292299E-3</c:v>
                </c:pt>
                <c:pt idx="26">
                  <c:v>1.1215469207703299E-3</c:v>
                </c:pt>
                <c:pt idx="27">
                  <c:v>1.1040961323888899E-3</c:v>
                </c:pt>
                <c:pt idx="28">
                  <c:v>1.08693081487748E-3</c:v>
                </c:pt>
                <c:pt idx="29">
                  <c:v>1.07004700975644E-3</c:v>
                </c:pt>
                <c:pt idx="30">
                  <c:v>1.0534405814679E-3</c:v>
                </c:pt>
                <c:pt idx="31">
                  <c:v>1.0371072333393099E-3</c:v>
                </c:pt>
                <c:pt idx="32">
                  <c:v>1.02104252295758E-3</c:v>
                </c:pt>
                <c:pt idx="33">
                  <c:v>1.00524187690648E-3</c:v>
                </c:pt>
                <c:pt idx="34">
                  <c:v>9.8970060482930907E-4</c:v>
                </c:pt>
                <c:pt idx="35">
                  <c:v>9.7441391278888E-4</c:v>
                </c:pt>
                <c:pt idx="36">
                  <c:v>9.5937691590485398E-4</c:v>
                </c:pt>
                <c:pt idx="37">
                  <c:v>9.4458465025632204E-4</c:v>
                </c:pt>
                <c:pt idx="38">
                  <c:v>9.3003208404407E-4</c:v>
                </c:pt>
                <c:pt idx="39">
                  <c:v>9.1571412801271597E-4</c:v>
                </c:pt>
                <c:pt idx="40">
                  <c:v>9.0162564513769205E-4</c:v>
                </c:pt>
                <c:pt idx="41">
                  <c:v>8.8776145958605404E-4</c:v>
                </c:pt>
                <c:pt idx="42">
                  <c:v>8.7411636496316199E-4</c:v>
                </c:pt>
                <c:pt idx="43">
                  <c:v>8.6068513185970298E-4</c:v>
                </c:pt>
                <c:pt idx="44">
                  <c:v>8.4746251471517705E-4</c:v>
                </c:pt>
                <c:pt idx="45">
                  <c:v>8.3444325801504805E-4</c:v>
                </c:pt>
                <c:pt idx="46">
                  <c:v>8.2162210183927902E-4</c:v>
                </c:pt>
                <c:pt idx="47">
                  <c:v>8.0899378678001195E-4</c:v>
                </c:pt>
                <c:pt idx="48">
                  <c:v>7.9655305824584595E-4</c:v>
                </c:pt>
                <c:pt idx="49">
                  <c:v>7.8429467016948799E-4</c:v>
                </c:pt>
                <c:pt idx="50">
                  <c:v>7.7221338813467804E-4</c:v>
                </c:pt>
                <c:pt idx="51">
                  <c:v>7.6030399193724105E-4</c:v>
                </c:pt>
                <c:pt idx="52">
                  <c:v>7.4856127759395001E-4</c:v>
                </c:pt>
                <c:pt idx="53">
                  <c:v>7.3698005881171096E-4</c:v>
                </c:pt>
                <c:pt idx="54">
                  <c:v>7.2555516792848298E-4</c:v>
                </c:pt>
                <c:pt idx="55">
                  <c:v>7.1428145633629296E-4</c:v>
                </c:pt>
                <c:pt idx="56">
                  <c:v>7.0315379439589605E-4</c:v>
                </c:pt>
                <c:pt idx="57">
                  <c:v>6.9216707085210201E-4</c:v>
                </c:pt>
                <c:pt idx="58">
                  <c:v>6.81316191758517E-4</c:v>
                </c:pt>
                <c:pt idx="59">
                  <c:v>6.7059607892073797E-4</c:v>
                </c:pt>
                <c:pt idx="60">
                  <c:v>6.6000166786771904E-4</c:v>
                </c:pt>
                <c:pt idx="61">
                  <c:v>6.4952790536243097E-4</c:v>
                </c:pt>
                <c:pt idx="62">
                  <c:v>6.3916974646504297E-4</c:v>
                </c:pt>
                <c:pt idx="63">
                  <c:v>6.2892215116482596E-4</c:v>
                </c:pt>
                <c:pt idx="64">
                  <c:v>6.1878008060096902E-4</c:v>
                </c:pt>
                <c:pt idx="65">
                  <c:v>6.0873849289763498E-4</c:v>
                </c:pt>
                <c:pt idx="66">
                  <c:v>5.9879233864506805E-4</c:v>
                </c:pt>
                <c:pt idx="67">
                  <c:v>5.8893655606655996E-4</c:v>
                </c:pt>
                <c:pt idx="68">
                  <c:v>5.7916606592075702E-4</c:v>
                </c:pt>
                <c:pt idx="69">
                  <c:v>5.6947576620047303E-4</c:v>
                </c:pt>
                <c:pt idx="70">
                  <c:v>5.5986052670289096E-4</c:v>
                </c:pt>
                <c:pt idx="71">
                  <c:v>5.5031518356224202E-4</c:v>
                </c:pt>
                <c:pt idx="72">
                  <c:v>5.4083453385479405E-4</c:v>
                </c:pt>
                <c:pt idx="73">
                  <c:v>5.3141333040753001E-4</c:v>
                </c:pt>
                <c:pt idx="74">
                  <c:v>5.2204627696654797E-4</c:v>
                </c:pt>
                <c:pt idx="75">
                  <c:v>5.1272802390891895E-4</c:v>
                </c:pt>
                <c:pt idx="76">
                  <c:v>5.0345316471283902E-4</c:v>
                </c:pt>
                <c:pt idx="77">
                  <c:v>4.9421623343522895E-4</c:v>
                </c:pt>
                <c:pt idx="78">
                  <c:v>4.8501170348352998E-4</c:v>
                </c:pt>
                <c:pt idx="79">
                  <c:v>4.7583398800906898E-4</c:v>
                </c:pt>
                <c:pt idx="80">
                  <c:v>4.6667744229254702E-4</c:v>
                </c:pt>
                <c:pt idx="81">
                  <c:v>4.5753636853750502E-4</c:v>
                </c:pt>
                <c:pt idx="82">
                  <c:v>4.48405023533992E-4</c:v>
                </c:pt>
                <c:pt idx="83">
                  <c:v>4.3927762970105802E-4</c:v>
                </c:pt>
                <c:pt idx="84">
                  <c:v>4.3014839006146798E-4</c:v>
                </c:pt>
                <c:pt idx="85">
                  <c:v>4.21011507743286E-4</c:v>
                </c:pt>
                <c:pt idx="86">
                  <c:v>4.1186121063819403E-4</c:v>
                </c:pt>
                <c:pt idx="87">
                  <c:v>4.0269178187271398E-4</c:v>
                </c:pt>
                <c:pt idx="88">
                  <c:v>3.9349759676228898E-4</c:v>
                </c:pt>
                <c:pt idx="89">
                  <c:v>3.8427316691552201E-4</c:v>
                </c:pt>
                <c:pt idx="90">
                  <c:v>3.7501319213203201E-4</c:v>
                </c:pt>
                <c:pt idx="91">
                  <c:v>3.65712620687467E-4</c:v>
                </c:pt>
                <c:pt idx="92">
                  <c:v>3.5636671851758901E-4</c:v>
                </c:pt>
                <c:pt idx="93">
                  <c:v>3.4697114769450301E-4</c:v>
                </c:pt>
                <c:pt idx="94">
                  <c:v>3.3752205442631001E-4</c:v>
                </c:pt>
                <c:pt idx="95">
                  <c:v>3.2801616660139499E-4</c:v>
                </c:pt>
                <c:pt idx="96">
                  <c:v>3.1845090063569001E-4</c:v>
                </c:pt>
                <c:pt idx="97">
                  <c:v>3.0882447706207297E-4</c:v>
                </c:pt>
                <c:pt idx="98">
                  <c:v>2.9913604392408602E-4</c:v>
                </c:pt>
                <c:pt idx="99">
                  <c:v>2.8938580660206999E-4</c:v>
                </c:pt>
                <c:pt idx="100">
                  <c:v>2.7957516221275799E-4</c:v>
                </c:pt>
                <c:pt idx="101">
                  <c:v>2.6970683619090898E-4</c:v>
                </c:pt>
                <c:pt idx="102">
                  <c:v>2.5978501809636502E-4</c:v>
                </c:pt>
                <c:pt idx="103">
                  <c:v>2.4981549310917E-4</c:v>
                </c:pt>
                <c:pt idx="104">
                  <c:v>2.3980576510238601E-4</c:v>
                </c:pt>
                <c:pt idx="105">
                  <c:v>2.2976516664545101E-4</c:v>
                </c:pt>
                <c:pt idx="106">
                  <c:v>2.1970495082467099E-4</c:v>
                </c:pt>
                <c:pt idx="107">
                  <c:v>2.0963835941020001E-4</c:v>
                </c:pt>
                <c:pt idx="108">
                  <c:v>1.99580661692975E-4</c:v>
                </c:pt>
                <c:pt idx="109">
                  <c:v>1.8954915830368601E-4</c:v>
                </c:pt>
                <c:pt idx="110">
                  <c:v>1.7956314455120799E-4</c:v>
                </c:pt>
                <c:pt idx="111">
                  <c:v>1.69643828317362E-4</c:v>
                </c:pt>
                <c:pt idx="112">
                  <c:v>1.5981419834748201E-4</c:v>
                </c:pt>
                <c:pt idx="113">
                  <c:v>1.50098839898522E-4</c:v>
                </c:pt>
                <c:pt idx="114">
                  <c:v>1.40523696148325E-4</c:v>
                </c:pt>
                <c:pt idx="115">
                  <c:v>1.31115775510843E-4</c:v>
                </c:pt>
                <c:pt idx="116">
                  <c:v>1.2190280699934501E-4</c:v>
                </c:pt>
                <c:pt idx="117">
                  <c:v>1.1291284796545999E-4</c:v>
                </c:pt>
                <c:pt idx="118">
                  <c:v>1.04173850825079E-4</c:v>
                </c:pt>
                <c:pt idx="119" formatCode="0.00E+00">
                  <c:v>9.5713197650958503E-5</c:v>
                </c:pt>
                <c:pt idx="120" formatCode="0.00E+00">
                  <c:v>8.7557213638806002E-5</c:v>
                </c:pt>
                <c:pt idx="121" formatCode="0.00E+00">
                  <c:v>7.9730672303944094E-5</c:v>
                </c:pt>
                <c:pt idx="122" formatCode="0.00E+00">
                  <c:v>7.2256306706276906E-5</c:v>
                </c:pt>
                <c:pt idx="123" formatCode="0.00E+00">
                  <c:v>6.5154341912212403E-5</c:v>
                </c:pt>
                <c:pt idx="124" formatCode="0.00E+00">
                  <c:v>5.8442064187275802E-5</c:v>
                </c:pt>
                <c:pt idx="125" formatCode="0.00E+00">
                  <c:v>5.2133442009910597E-5</c:v>
                </c:pt>
              </c:numCache>
            </c:numRef>
          </c:yVal>
          <c:smooth val="0"/>
          <c:extLst xmlns:c16r2="http://schemas.microsoft.com/office/drawing/2015/06/chart">
            <c:ext xmlns:c16="http://schemas.microsoft.com/office/drawing/2014/chart" uri="{C3380CC4-5D6E-409C-BE32-E72D297353CC}">
              <c16:uniqueId val="{00000001-F8E4-4FF4-826A-86295FE5F372}"/>
            </c:ext>
          </c:extLst>
        </c:ser>
        <c:dLbls>
          <c:showLegendKey val="0"/>
          <c:showVal val="0"/>
          <c:showCatName val="0"/>
          <c:showSerName val="0"/>
          <c:showPercent val="0"/>
          <c:showBubbleSize val="0"/>
        </c:dLbls>
        <c:axId val="381778256"/>
        <c:axId val="381778816"/>
      </c:scatterChart>
      <c:valAx>
        <c:axId val="381778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Factor of</a:t>
                </a:r>
                <a:r>
                  <a:rPr lang="en-US" sz="1100" baseline="0">
                    <a:latin typeface="Times New Roman" panose="02020603050405020304" pitchFamily="18" charset="0"/>
                    <a:cs typeface="Times New Roman" panose="02020603050405020304" pitchFamily="18" charset="0"/>
                  </a:rPr>
                  <a:t> Safety</a:t>
                </a:r>
                <a:endParaRPr lang="en-US" sz="1100">
                  <a:latin typeface="Times New Roman" panose="02020603050405020304" pitchFamily="18" charset="0"/>
                  <a:cs typeface="Times New Roman" panose="02020603050405020304" pitchFamily="18" charset="0"/>
                </a:endParaRPr>
              </a:p>
            </c:rich>
          </c:tx>
          <c:layout>
            <c:manualLayout>
              <c:xMode val="edge"/>
              <c:yMode val="edge"/>
              <c:x val="0.45100035790980675"/>
              <c:y val="0.936188157301141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1778816"/>
        <c:crossesAt val="1.0000000000000004E-5"/>
        <c:crossBetween val="midCat"/>
      </c:valAx>
      <c:valAx>
        <c:axId val="381778816"/>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Annual</a:t>
                </a:r>
                <a:r>
                  <a:rPr lang="en-US" sz="1100" baseline="0">
                    <a:latin typeface="Times New Roman" panose="02020603050405020304" pitchFamily="18" charset="0"/>
                    <a:cs typeface="Times New Roman" panose="02020603050405020304" pitchFamily="18" charset="0"/>
                  </a:rPr>
                  <a:t> Rate of Exceedance </a:t>
                </a:r>
                <a:endParaRPr lang="en-US" sz="1100">
                  <a:latin typeface="Times New Roman" panose="02020603050405020304" pitchFamily="18" charset="0"/>
                  <a:cs typeface="Times New Roman" panose="02020603050405020304" pitchFamily="18" charset="0"/>
                </a:endParaRPr>
              </a:p>
            </c:rich>
          </c:tx>
          <c:layout>
            <c:manualLayout>
              <c:xMode val="edge"/>
              <c:yMode val="edge"/>
              <c:x val="1.4443450250536864E-2"/>
              <c:y val="0.276483536876053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1778256"/>
        <c:crosses val="autoZero"/>
        <c:crossBetween val="midCat"/>
      </c:valAx>
      <c:spPr>
        <a:noFill/>
        <a:ln>
          <a:noFill/>
        </a:ln>
        <a:effectLst/>
      </c:spPr>
    </c:plotArea>
    <c:legend>
      <c:legendPos val="r"/>
      <c:layout>
        <c:manualLayout>
          <c:xMode val="edge"/>
          <c:yMode val="edge"/>
          <c:x val="0.59463476314821562"/>
          <c:y val="0.15476698745990083"/>
          <c:w val="0.28367665115530094"/>
          <c:h val="0.1632409179221038"/>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4DD9FFD0-6806-445B-B162-F36D8A7E7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4819</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Template for UDOT Research Reports</vt:lpstr>
    </vt:vector>
  </TitlesOfParts>
  <Company>Ira A. Fulton College of Engineering &amp; Technology</Company>
  <LinksUpToDate>false</LinksUpToDate>
  <CharactersWithSpaces>32224</CharactersWithSpaces>
  <SharedDoc>false</SharedDoc>
  <HLinks>
    <vt:vector size="522" baseType="variant">
      <vt:variant>
        <vt:i4>1179696</vt:i4>
      </vt:variant>
      <vt:variant>
        <vt:i4>524</vt:i4>
      </vt:variant>
      <vt:variant>
        <vt:i4>0</vt:i4>
      </vt:variant>
      <vt:variant>
        <vt:i4>5</vt:i4>
      </vt:variant>
      <vt:variant>
        <vt:lpwstr/>
      </vt:variant>
      <vt:variant>
        <vt:lpwstr>_Toc321147616</vt:lpwstr>
      </vt:variant>
      <vt:variant>
        <vt:i4>1179696</vt:i4>
      </vt:variant>
      <vt:variant>
        <vt:i4>518</vt:i4>
      </vt:variant>
      <vt:variant>
        <vt:i4>0</vt:i4>
      </vt:variant>
      <vt:variant>
        <vt:i4>5</vt:i4>
      </vt:variant>
      <vt:variant>
        <vt:lpwstr/>
      </vt:variant>
      <vt:variant>
        <vt:lpwstr>_Toc321147615</vt:lpwstr>
      </vt:variant>
      <vt:variant>
        <vt:i4>1179696</vt:i4>
      </vt:variant>
      <vt:variant>
        <vt:i4>512</vt:i4>
      </vt:variant>
      <vt:variant>
        <vt:i4>0</vt:i4>
      </vt:variant>
      <vt:variant>
        <vt:i4>5</vt:i4>
      </vt:variant>
      <vt:variant>
        <vt:lpwstr/>
      </vt:variant>
      <vt:variant>
        <vt:lpwstr>_Toc321147614</vt:lpwstr>
      </vt:variant>
      <vt:variant>
        <vt:i4>1179696</vt:i4>
      </vt:variant>
      <vt:variant>
        <vt:i4>506</vt:i4>
      </vt:variant>
      <vt:variant>
        <vt:i4>0</vt:i4>
      </vt:variant>
      <vt:variant>
        <vt:i4>5</vt:i4>
      </vt:variant>
      <vt:variant>
        <vt:lpwstr/>
      </vt:variant>
      <vt:variant>
        <vt:lpwstr>_Toc321147613</vt:lpwstr>
      </vt:variant>
      <vt:variant>
        <vt:i4>1179696</vt:i4>
      </vt:variant>
      <vt:variant>
        <vt:i4>500</vt:i4>
      </vt:variant>
      <vt:variant>
        <vt:i4>0</vt:i4>
      </vt:variant>
      <vt:variant>
        <vt:i4>5</vt:i4>
      </vt:variant>
      <vt:variant>
        <vt:lpwstr/>
      </vt:variant>
      <vt:variant>
        <vt:lpwstr>_Toc321147612</vt:lpwstr>
      </vt:variant>
      <vt:variant>
        <vt:i4>1179696</vt:i4>
      </vt:variant>
      <vt:variant>
        <vt:i4>494</vt:i4>
      </vt:variant>
      <vt:variant>
        <vt:i4>0</vt:i4>
      </vt:variant>
      <vt:variant>
        <vt:i4>5</vt:i4>
      </vt:variant>
      <vt:variant>
        <vt:lpwstr/>
      </vt:variant>
      <vt:variant>
        <vt:lpwstr>_Toc321147611</vt:lpwstr>
      </vt:variant>
      <vt:variant>
        <vt:i4>1179696</vt:i4>
      </vt:variant>
      <vt:variant>
        <vt:i4>488</vt:i4>
      </vt:variant>
      <vt:variant>
        <vt:i4>0</vt:i4>
      </vt:variant>
      <vt:variant>
        <vt:i4>5</vt:i4>
      </vt:variant>
      <vt:variant>
        <vt:lpwstr/>
      </vt:variant>
      <vt:variant>
        <vt:lpwstr>_Toc321147610</vt:lpwstr>
      </vt:variant>
      <vt:variant>
        <vt:i4>1245232</vt:i4>
      </vt:variant>
      <vt:variant>
        <vt:i4>482</vt:i4>
      </vt:variant>
      <vt:variant>
        <vt:i4>0</vt:i4>
      </vt:variant>
      <vt:variant>
        <vt:i4>5</vt:i4>
      </vt:variant>
      <vt:variant>
        <vt:lpwstr/>
      </vt:variant>
      <vt:variant>
        <vt:lpwstr>_Toc321147609</vt:lpwstr>
      </vt:variant>
      <vt:variant>
        <vt:i4>1245232</vt:i4>
      </vt:variant>
      <vt:variant>
        <vt:i4>476</vt:i4>
      </vt:variant>
      <vt:variant>
        <vt:i4>0</vt:i4>
      </vt:variant>
      <vt:variant>
        <vt:i4>5</vt:i4>
      </vt:variant>
      <vt:variant>
        <vt:lpwstr/>
      </vt:variant>
      <vt:variant>
        <vt:lpwstr>_Toc321147608</vt:lpwstr>
      </vt:variant>
      <vt:variant>
        <vt:i4>1245232</vt:i4>
      </vt:variant>
      <vt:variant>
        <vt:i4>470</vt:i4>
      </vt:variant>
      <vt:variant>
        <vt:i4>0</vt:i4>
      </vt:variant>
      <vt:variant>
        <vt:i4>5</vt:i4>
      </vt:variant>
      <vt:variant>
        <vt:lpwstr/>
      </vt:variant>
      <vt:variant>
        <vt:lpwstr>_Toc321147607</vt:lpwstr>
      </vt:variant>
      <vt:variant>
        <vt:i4>1245232</vt:i4>
      </vt:variant>
      <vt:variant>
        <vt:i4>464</vt:i4>
      </vt:variant>
      <vt:variant>
        <vt:i4>0</vt:i4>
      </vt:variant>
      <vt:variant>
        <vt:i4>5</vt:i4>
      </vt:variant>
      <vt:variant>
        <vt:lpwstr/>
      </vt:variant>
      <vt:variant>
        <vt:lpwstr>_Toc321147606</vt:lpwstr>
      </vt:variant>
      <vt:variant>
        <vt:i4>1245232</vt:i4>
      </vt:variant>
      <vt:variant>
        <vt:i4>458</vt:i4>
      </vt:variant>
      <vt:variant>
        <vt:i4>0</vt:i4>
      </vt:variant>
      <vt:variant>
        <vt:i4>5</vt:i4>
      </vt:variant>
      <vt:variant>
        <vt:lpwstr/>
      </vt:variant>
      <vt:variant>
        <vt:lpwstr>_Toc321147605</vt:lpwstr>
      </vt:variant>
      <vt:variant>
        <vt:i4>1245232</vt:i4>
      </vt:variant>
      <vt:variant>
        <vt:i4>452</vt:i4>
      </vt:variant>
      <vt:variant>
        <vt:i4>0</vt:i4>
      </vt:variant>
      <vt:variant>
        <vt:i4>5</vt:i4>
      </vt:variant>
      <vt:variant>
        <vt:lpwstr/>
      </vt:variant>
      <vt:variant>
        <vt:lpwstr>_Toc321147604</vt:lpwstr>
      </vt:variant>
      <vt:variant>
        <vt:i4>1245232</vt:i4>
      </vt:variant>
      <vt:variant>
        <vt:i4>446</vt:i4>
      </vt:variant>
      <vt:variant>
        <vt:i4>0</vt:i4>
      </vt:variant>
      <vt:variant>
        <vt:i4>5</vt:i4>
      </vt:variant>
      <vt:variant>
        <vt:lpwstr/>
      </vt:variant>
      <vt:variant>
        <vt:lpwstr>_Toc321147603</vt:lpwstr>
      </vt:variant>
      <vt:variant>
        <vt:i4>1245232</vt:i4>
      </vt:variant>
      <vt:variant>
        <vt:i4>440</vt:i4>
      </vt:variant>
      <vt:variant>
        <vt:i4>0</vt:i4>
      </vt:variant>
      <vt:variant>
        <vt:i4>5</vt:i4>
      </vt:variant>
      <vt:variant>
        <vt:lpwstr/>
      </vt:variant>
      <vt:variant>
        <vt:lpwstr>_Toc321147602</vt:lpwstr>
      </vt:variant>
      <vt:variant>
        <vt:i4>1245232</vt:i4>
      </vt:variant>
      <vt:variant>
        <vt:i4>434</vt:i4>
      </vt:variant>
      <vt:variant>
        <vt:i4>0</vt:i4>
      </vt:variant>
      <vt:variant>
        <vt:i4>5</vt:i4>
      </vt:variant>
      <vt:variant>
        <vt:lpwstr/>
      </vt:variant>
      <vt:variant>
        <vt:lpwstr>_Toc321147601</vt:lpwstr>
      </vt:variant>
      <vt:variant>
        <vt:i4>1245232</vt:i4>
      </vt:variant>
      <vt:variant>
        <vt:i4>428</vt:i4>
      </vt:variant>
      <vt:variant>
        <vt:i4>0</vt:i4>
      </vt:variant>
      <vt:variant>
        <vt:i4>5</vt:i4>
      </vt:variant>
      <vt:variant>
        <vt:lpwstr/>
      </vt:variant>
      <vt:variant>
        <vt:lpwstr>_Toc321147600</vt:lpwstr>
      </vt:variant>
      <vt:variant>
        <vt:i4>1703987</vt:i4>
      </vt:variant>
      <vt:variant>
        <vt:i4>422</vt:i4>
      </vt:variant>
      <vt:variant>
        <vt:i4>0</vt:i4>
      </vt:variant>
      <vt:variant>
        <vt:i4>5</vt:i4>
      </vt:variant>
      <vt:variant>
        <vt:lpwstr/>
      </vt:variant>
      <vt:variant>
        <vt:lpwstr>_Toc321147599</vt:lpwstr>
      </vt:variant>
      <vt:variant>
        <vt:i4>1703987</vt:i4>
      </vt:variant>
      <vt:variant>
        <vt:i4>416</vt:i4>
      </vt:variant>
      <vt:variant>
        <vt:i4>0</vt:i4>
      </vt:variant>
      <vt:variant>
        <vt:i4>5</vt:i4>
      </vt:variant>
      <vt:variant>
        <vt:lpwstr/>
      </vt:variant>
      <vt:variant>
        <vt:lpwstr>_Toc321147598</vt:lpwstr>
      </vt:variant>
      <vt:variant>
        <vt:i4>1703987</vt:i4>
      </vt:variant>
      <vt:variant>
        <vt:i4>410</vt:i4>
      </vt:variant>
      <vt:variant>
        <vt:i4>0</vt:i4>
      </vt:variant>
      <vt:variant>
        <vt:i4>5</vt:i4>
      </vt:variant>
      <vt:variant>
        <vt:lpwstr/>
      </vt:variant>
      <vt:variant>
        <vt:lpwstr>_Toc321147597</vt:lpwstr>
      </vt:variant>
      <vt:variant>
        <vt:i4>1703987</vt:i4>
      </vt:variant>
      <vt:variant>
        <vt:i4>404</vt:i4>
      </vt:variant>
      <vt:variant>
        <vt:i4>0</vt:i4>
      </vt:variant>
      <vt:variant>
        <vt:i4>5</vt:i4>
      </vt:variant>
      <vt:variant>
        <vt:lpwstr/>
      </vt:variant>
      <vt:variant>
        <vt:lpwstr>_Toc321147596</vt:lpwstr>
      </vt:variant>
      <vt:variant>
        <vt:i4>1703987</vt:i4>
      </vt:variant>
      <vt:variant>
        <vt:i4>398</vt:i4>
      </vt:variant>
      <vt:variant>
        <vt:i4>0</vt:i4>
      </vt:variant>
      <vt:variant>
        <vt:i4>5</vt:i4>
      </vt:variant>
      <vt:variant>
        <vt:lpwstr/>
      </vt:variant>
      <vt:variant>
        <vt:lpwstr>_Toc321147595</vt:lpwstr>
      </vt:variant>
      <vt:variant>
        <vt:i4>1703987</vt:i4>
      </vt:variant>
      <vt:variant>
        <vt:i4>392</vt:i4>
      </vt:variant>
      <vt:variant>
        <vt:i4>0</vt:i4>
      </vt:variant>
      <vt:variant>
        <vt:i4>5</vt:i4>
      </vt:variant>
      <vt:variant>
        <vt:lpwstr/>
      </vt:variant>
      <vt:variant>
        <vt:lpwstr>_Toc321147594</vt:lpwstr>
      </vt:variant>
      <vt:variant>
        <vt:i4>1703987</vt:i4>
      </vt:variant>
      <vt:variant>
        <vt:i4>386</vt:i4>
      </vt:variant>
      <vt:variant>
        <vt:i4>0</vt:i4>
      </vt:variant>
      <vt:variant>
        <vt:i4>5</vt:i4>
      </vt:variant>
      <vt:variant>
        <vt:lpwstr/>
      </vt:variant>
      <vt:variant>
        <vt:lpwstr>_Toc321147593</vt:lpwstr>
      </vt:variant>
      <vt:variant>
        <vt:i4>1703987</vt:i4>
      </vt:variant>
      <vt:variant>
        <vt:i4>377</vt:i4>
      </vt:variant>
      <vt:variant>
        <vt:i4>0</vt:i4>
      </vt:variant>
      <vt:variant>
        <vt:i4>5</vt:i4>
      </vt:variant>
      <vt:variant>
        <vt:lpwstr/>
      </vt:variant>
      <vt:variant>
        <vt:lpwstr>_Toc321147592</vt:lpwstr>
      </vt:variant>
      <vt:variant>
        <vt:i4>1703987</vt:i4>
      </vt:variant>
      <vt:variant>
        <vt:i4>371</vt:i4>
      </vt:variant>
      <vt:variant>
        <vt:i4>0</vt:i4>
      </vt:variant>
      <vt:variant>
        <vt:i4>5</vt:i4>
      </vt:variant>
      <vt:variant>
        <vt:lpwstr/>
      </vt:variant>
      <vt:variant>
        <vt:lpwstr>_Toc321147591</vt:lpwstr>
      </vt:variant>
      <vt:variant>
        <vt:i4>1703987</vt:i4>
      </vt:variant>
      <vt:variant>
        <vt:i4>365</vt:i4>
      </vt:variant>
      <vt:variant>
        <vt:i4>0</vt:i4>
      </vt:variant>
      <vt:variant>
        <vt:i4>5</vt:i4>
      </vt:variant>
      <vt:variant>
        <vt:lpwstr/>
      </vt:variant>
      <vt:variant>
        <vt:lpwstr>_Toc321147590</vt:lpwstr>
      </vt:variant>
      <vt:variant>
        <vt:i4>1769523</vt:i4>
      </vt:variant>
      <vt:variant>
        <vt:i4>359</vt:i4>
      </vt:variant>
      <vt:variant>
        <vt:i4>0</vt:i4>
      </vt:variant>
      <vt:variant>
        <vt:i4>5</vt:i4>
      </vt:variant>
      <vt:variant>
        <vt:lpwstr/>
      </vt:variant>
      <vt:variant>
        <vt:lpwstr>_Toc321147589</vt:lpwstr>
      </vt:variant>
      <vt:variant>
        <vt:i4>1769523</vt:i4>
      </vt:variant>
      <vt:variant>
        <vt:i4>353</vt:i4>
      </vt:variant>
      <vt:variant>
        <vt:i4>0</vt:i4>
      </vt:variant>
      <vt:variant>
        <vt:i4>5</vt:i4>
      </vt:variant>
      <vt:variant>
        <vt:lpwstr/>
      </vt:variant>
      <vt:variant>
        <vt:lpwstr>_Toc321147588</vt:lpwstr>
      </vt:variant>
      <vt:variant>
        <vt:i4>1769523</vt:i4>
      </vt:variant>
      <vt:variant>
        <vt:i4>347</vt:i4>
      </vt:variant>
      <vt:variant>
        <vt:i4>0</vt:i4>
      </vt:variant>
      <vt:variant>
        <vt:i4>5</vt:i4>
      </vt:variant>
      <vt:variant>
        <vt:lpwstr/>
      </vt:variant>
      <vt:variant>
        <vt:lpwstr>_Toc321147587</vt:lpwstr>
      </vt:variant>
      <vt:variant>
        <vt:i4>1769523</vt:i4>
      </vt:variant>
      <vt:variant>
        <vt:i4>341</vt:i4>
      </vt:variant>
      <vt:variant>
        <vt:i4>0</vt:i4>
      </vt:variant>
      <vt:variant>
        <vt:i4>5</vt:i4>
      </vt:variant>
      <vt:variant>
        <vt:lpwstr/>
      </vt:variant>
      <vt:variant>
        <vt:lpwstr>_Toc321147586</vt:lpwstr>
      </vt:variant>
      <vt:variant>
        <vt:i4>1769523</vt:i4>
      </vt:variant>
      <vt:variant>
        <vt:i4>335</vt:i4>
      </vt:variant>
      <vt:variant>
        <vt:i4>0</vt:i4>
      </vt:variant>
      <vt:variant>
        <vt:i4>5</vt:i4>
      </vt:variant>
      <vt:variant>
        <vt:lpwstr/>
      </vt:variant>
      <vt:variant>
        <vt:lpwstr>_Toc321147585</vt:lpwstr>
      </vt:variant>
      <vt:variant>
        <vt:i4>1769523</vt:i4>
      </vt:variant>
      <vt:variant>
        <vt:i4>329</vt:i4>
      </vt:variant>
      <vt:variant>
        <vt:i4>0</vt:i4>
      </vt:variant>
      <vt:variant>
        <vt:i4>5</vt:i4>
      </vt:variant>
      <vt:variant>
        <vt:lpwstr/>
      </vt:variant>
      <vt:variant>
        <vt:lpwstr>_Toc321147584</vt:lpwstr>
      </vt:variant>
      <vt:variant>
        <vt:i4>1703986</vt:i4>
      </vt:variant>
      <vt:variant>
        <vt:i4>320</vt:i4>
      </vt:variant>
      <vt:variant>
        <vt:i4>0</vt:i4>
      </vt:variant>
      <vt:variant>
        <vt:i4>5</vt:i4>
      </vt:variant>
      <vt:variant>
        <vt:lpwstr/>
      </vt:variant>
      <vt:variant>
        <vt:lpwstr>_Toc321147499</vt:lpwstr>
      </vt:variant>
      <vt:variant>
        <vt:i4>1703986</vt:i4>
      </vt:variant>
      <vt:variant>
        <vt:i4>314</vt:i4>
      </vt:variant>
      <vt:variant>
        <vt:i4>0</vt:i4>
      </vt:variant>
      <vt:variant>
        <vt:i4>5</vt:i4>
      </vt:variant>
      <vt:variant>
        <vt:lpwstr/>
      </vt:variant>
      <vt:variant>
        <vt:lpwstr>_Toc321147498</vt:lpwstr>
      </vt:variant>
      <vt:variant>
        <vt:i4>1703986</vt:i4>
      </vt:variant>
      <vt:variant>
        <vt:i4>308</vt:i4>
      </vt:variant>
      <vt:variant>
        <vt:i4>0</vt:i4>
      </vt:variant>
      <vt:variant>
        <vt:i4>5</vt:i4>
      </vt:variant>
      <vt:variant>
        <vt:lpwstr/>
      </vt:variant>
      <vt:variant>
        <vt:lpwstr>_Toc321147497</vt:lpwstr>
      </vt:variant>
      <vt:variant>
        <vt:i4>1703986</vt:i4>
      </vt:variant>
      <vt:variant>
        <vt:i4>302</vt:i4>
      </vt:variant>
      <vt:variant>
        <vt:i4>0</vt:i4>
      </vt:variant>
      <vt:variant>
        <vt:i4>5</vt:i4>
      </vt:variant>
      <vt:variant>
        <vt:lpwstr/>
      </vt:variant>
      <vt:variant>
        <vt:lpwstr>_Toc321147496</vt:lpwstr>
      </vt:variant>
      <vt:variant>
        <vt:i4>1703986</vt:i4>
      </vt:variant>
      <vt:variant>
        <vt:i4>296</vt:i4>
      </vt:variant>
      <vt:variant>
        <vt:i4>0</vt:i4>
      </vt:variant>
      <vt:variant>
        <vt:i4>5</vt:i4>
      </vt:variant>
      <vt:variant>
        <vt:lpwstr/>
      </vt:variant>
      <vt:variant>
        <vt:lpwstr>_Toc321147495</vt:lpwstr>
      </vt:variant>
      <vt:variant>
        <vt:i4>1703986</vt:i4>
      </vt:variant>
      <vt:variant>
        <vt:i4>290</vt:i4>
      </vt:variant>
      <vt:variant>
        <vt:i4>0</vt:i4>
      </vt:variant>
      <vt:variant>
        <vt:i4>5</vt:i4>
      </vt:variant>
      <vt:variant>
        <vt:lpwstr/>
      </vt:variant>
      <vt:variant>
        <vt:lpwstr>_Toc321147494</vt:lpwstr>
      </vt:variant>
      <vt:variant>
        <vt:i4>1703986</vt:i4>
      </vt:variant>
      <vt:variant>
        <vt:i4>284</vt:i4>
      </vt:variant>
      <vt:variant>
        <vt:i4>0</vt:i4>
      </vt:variant>
      <vt:variant>
        <vt:i4>5</vt:i4>
      </vt:variant>
      <vt:variant>
        <vt:lpwstr/>
      </vt:variant>
      <vt:variant>
        <vt:lpwstr>_Toc321147493</vt:lpwstr>
      </vt:variant>
      <vt:variant>
        <vt:i4>1703986</vt:i4>
      </vt:variant>
      <vt:variant>
        <vt:i4>278</vt:i4>
      </vt:variant>
      <vt:variant>
        <vt:i4>0</vt:i4>
      </vt:variant>
      <vt:variant>
        <vt:i4>5</vt:i4>
      </vt:variant>
      <vt:variant>
        <vt:lpwstr/>
      </vt:variant>
      <vt:variant>
        <vt:lpwstr>_Toc321147492</vt:lpwstr>
      </vt:variant>
      <vt:variant>
        <vt:i4>1703986</vt:i4>
      </vt:variant>
      <vt:variant>
        <vt:i4>272</vt:i4>
      </vt:variant>
      <vt:variant>
        <vt:i4>0</vt:i4>
      </vt:variant>
      <vt:variant>
        <vt:i4>5</vt:i4>
      </vt:variant>
      <vt:variant>
        <vt:lpwstr/>
      </vt:variant>
      <vt:variant>
        <vt:lpwstr>_Toc321147491</vt:lpwstr>
      </vt:variant>
      <vt:variant>
        <vt:i4>1703986</vt:i4>
      </vt:variant>
      <vt:variant>
        <vt:i4>266</vt:i4>
      </vt:variant>
      <vt:variant>
        <vt:i4>0</vt:i4>
      </vt:variant>
      <vt:variant>
        <vt:i4>5</vt:i4>
      </vt:variant>
      <vt:variant>
        <vt:lpwstr/>
      </vt:variant>
      <vt:variant>
        <vt:lpwstr>_Toc321147490</vt:lpwstr>
      </vt:variant>
      <vt:variant>
        <vt:i4>1769522</vt:i4>
      </vt:variant>
      <vt:variant>
        <vt:i4>260</vt:i4>
      </vt:variant>
      <vt:variant>
        <vt:i4>0</vt:i4>
      </vt:variant>
      <vt:variant>
        <vt:i4>5</vt:i4>
      </vt:variant>
      <vt:variant>
        <vt:lpwstr/>
      </vt:variant>
      <vt:variant>
        <vt:lpwstr>_Toc321147489</vt:lpwstr>
      </vt:variant>
      <vt:variant>
        <vt:i4>1769522</vt:i4>
      </vt:variant>
      <vt:variant>
        <vt:i4>254</vt:i4>
      </vt:variant>
      <vt:variant>
        <vt:i4>0</vt:i4>
      </vt:variant>
      <vt:variant>
        <vt:i4>5</vt:i4>
      </vt:variant>
      <vt:variant>
        <vt:lpwstr/>
      </vt:variant>
      <vt:variant>
        <vt:lpwstr>_Toc321147488</vt:lpwstr>
      </vt:variant>
      <vt:variant>
        <vt:i4>1769522</vt:i4>
      </vt:variant>
      <vt:variant>
        <vt:i4>248</vt:i4>
      </vt:variant>
      <vt:variant>
        <vt:i4>0</vt:i4>
      </vt:variant>
      <vt:variant>
        <vt:i4>5</vt:i4>
      </vt:variant>
      <vt:variant>
        <vt:lpwstr/>
      </vt:variant>
      <vt:variant>
        <vt:lpwstr>_Toc321147487</vt:lpwstr>
      </vt:variant>
      <vt:variant>
        <vt:i4>1769522</vt:i4>
      </vt:variant>
      <vt:variant>
        <vt:i4>242</vt:i4>
      </vt:variant>
      <vt:variant>
        <vt:i4>0</vt:i4>
      </vt:variant>
      <vt:variant>
        <vt:i4>5</vt:i4>
      </vt:variant>
      <vt:variant>
        <vt:lpwstr/>
      </vt:variant>
      <vt:variant>
        <vt:lpwstr>_Toc321147486</vt:lpwstr>
      </vt:variant>
      <vt:variant>
        <vt:i4>1769522</vt:i4>
      </vt:variant>
      <vt:variant>
        <vt:i4>236</vt:i4>
      </vt:variant>
      <vt:variant>
        <vt:i4>0</vt:i4>
      </vt:variant>
      <vt:variant>
        <vt:i4>5</vt:i4>
      </vt:variant>
      <vt:variant>
        <vt:lpwstr/>
      </vt:variant>
      <vt:variant>
        <vt:lpwstr>_Toc321147485</vt:lpwstr>
      </vt:variant>
      <vt:variant>
        <vt:i4>1769522</vt:i4>
      </vt:variant>
      <vt:variant>
        <vt:i4>230</vt:i4>
      </vt:variant>
      <vt:variant>
        <vt:i4>0</vt:i4>
      </vt:variant>
      <vt:variant>
        <vt:i4>5</vt:i4>
      </vt:variant>
      <vt:variant>
        <vt:lpwstr/>
      </vt:variant>
      <vt:variant>
        <vt:lpwstr>_Toc321147484</vt:lpwstr>
      </vt:variant>
      <vt:variant>
        <vt:i4>1769522</vt:i4>
      </vt:variant>
      <vt:variant>
        <vt:i4>224</vt:i4>
      </vt:variant>
      <vt:variant>
        <vt:i4>0</vt:i4>
      </vt:variant>
      <vt:variant>
        <vt:i4>5</vt:i4>
      </vt:variant>
      <vt:variant>
        <vt:lpwstr/>
      </vt:variant>
      <vt:variant>
        <vt:lpwstr>_Toc321147483</vt:lpwstr>
      </vt:variant>
      <vt:variant>
        <vt:i4>1769522</vt:i4>
      </vt:variant>
      <vt:variant>
        <vt:i4>218</vt:i4>
      </vt:variant>
      <vt:variant>
        <vt:i4>0</vt:i4>
      </vt:variant>
      <vt:variant>
        <vt:i4>5</vt:i4>
      </vt:variant>
      <vt:variant>
        <vt:lpwstr/>
      </vt:variant>
      <vt:variant>
        <vt:lpwstr>_Toc321147482</vt:lpwstr>
      </vt:variant>
      <vt:variant>
        <vt:i4>1769522</vt:i4>
      </vt:variant>
      <vt:variant>
        <vt:i4>212</vt:i4>
      </vt:variant>
      <vt:variant>
        <vt:i4>0</vt:i4>
      </vt:variant>
      <vt:variant>
        <vt:i4>5</vt:i4>
      </vt:variant>
      <vt:variant>
        <vt:lpwstr/>
      </vt:variant>
      <vt:variant>
        <vt:lpwstr>_Toc321147481</vt:lpwstr>
      </vt:variant>
      <vt:variant>
        <vt:i4>1769522</vt:i4>
      </vt:variant>
      <vt:variant>
        <vt:i4>206</vt:i4>
      </vt:variant>
      <vt:variant>
        <vt:i4>0</vt:i4>
      </vt:variant>
      <vt:variant>
        <vt:i4>5</vt:i4>
      </vt:variant>
      <vt:variant>
        <vt:lpwstr/>
      </vt:variant>
      <vt:variant>
        <vt:lpwstr>_Toc321147480</vt:lpwstr>
      </vt:variant>
      <vt:variant>
        <vt:i4>1310770</vt:i4>
      </vt:variant>
      <vt:variant>
        <vt:i4>200</vt:i4>
      </vt:variant>
      <vt:variant>
        <vt:i4>0</vt:i4>
      </vt:variant>
      <vt:variant>
        <vt:i4>5</vt:i4>
      </vt:variant>
      <vt:variant>
        <vt:lpwstr/>
      </vt:variant>
      <vt:variant>
        <vt:lpwstr>_Toc321147479</vt:lpwstr>
      </vt:variant>
      <vt:variant>
        <vt:i4>1310770</vt:i4>
      </vt:variant>
      <vt:variant>
        <vt:i4>194</vt:i4>
      </vt:variant>
      <vt:variant>
        <vt:i4>0</vt:i4>
      </vt:variant>
      <vt:variant>
        <vt:i4>5</vt:i4>
      </vt:variant>
      <vt:variant>
        <vt:lpwstr/>
      </vt:variant>
      <vt:variant>
        <vt:lpwstr>_Toc321147478</vt:lpwstr>
      </vt:variant>
      <vt:variant>
        <vt:i4>1310770</vt:i4>
      </vt:variant>
      <vt:variant>
        <vt:i4>188</vt:i4>
      </vt:variant>
      <vt:variant>
        <vt:i4>0</vt:i4>
      </vt:variant>
      <vt:variant>
        <vt:i4>5</vt:i4>
      </vt:variant>
      <vt:variant>
        <vt:lpwstr/>
      </vt:variant>
      <vt:variant>
        <vt:lpwstr>_Toc321147477</vt:lpwstr>
      </vt:variant>
      <vt:variant>
        <vt:i4>1310770</vt:i4>
      </vt:variant>
      <vt:variant>
        <vt:i4>182</vt:i4>
      </vt:variant>
      <vt:variant>
        <vt:i4>0</vt:i4>
      </vt:variant>
      <vt:variant>
        <vt:i4>5</vt:i4>
      </vt:variant>
      <vt:variant>
        <vt:lpwstr/>
      </vt:variant>
      <vt:variant>
        <vt:lpwstr>_Toc321147476</vt:lpwstr>
      </vt:variant>
      <vt:variant>
        <vt:i4>1310770</vt:i4>
      </vt:variant>
      <vt:variant>
        <vt:i4>176</vt:i4>
      </vt:variant>
      <vt:variant>
        <vt:i4>0</vt:i4>
      </vt:variant>
      <vt:variant>
        <vt:i4>5</vt:i4>
      </vt:variant>
      <vt:variant>
        <vt:lpwstr/>
      </vt:variant>
      <vt:variant>
        <vt:lpwstr>_Toc321147475</vt:lpwstr>
      </vt:variant>
      <vt:variant>
        <vt:i4>1310770</vt:i4>
      </vt:variant>
      <vt:variant>
        <vt:i4>170</vt:i4>
      </vt:variant>
      <vt:variant>
        <vt:i4>0</vt:i4>
      </vt:variant>
      <vt:variant>
        <vt:i4>5</vt:i4>
      </vt:variant>
      <vt:variant>
        <vt:lpwstr/>
      </vt:variant>
      <vt:variant>
        <vt:lpwstr>_Toc321147474</vt:lpwstr>
      </vt:variant>
      <vt:variant>
        <vt:i4>1310770</vt:i4>
      </vt:variant>
      <vt:variant>
        <vt:i4>164</vt:i4>
      </vt:variant>
      <vt:variant>
        <vt:i4>0</vt:i4>
      </vt:variant>
      <vt:variant>
        <vt:i4>5</vt:i4>
      </vt:variant>
      <vt:variant>
        <vt:lpwstr/>
      </vt:variant>
      <vt:variant>
        <vt:lpwstr>_Toc321147473</vt:lpwstr>
      </vt:variant>
      <vt:variant>
        <vt:i4>1310770</vt:i4>
      </vt:variant>
      <vt:variant>
        <vt:i4>158</vt:i4>
      </vt:variant>
      <vt:variant>
        <vt:i4>0</vt:i4>
      </vt:variant>
      <vt:variant>
        <vt:i4>5</vt:i4>
      </vt:variant>
      <vt:variant>
        <vt:lpwstr/>
      </vt:variant>
      <vt:variant>
        <vt:lpwstr>_Toc321147472</vt:lpwstr>
      </vt:variant>
      <vt:variant>
        <vt:i4>1310770</vt:i4>
      </vt:variant>
      <vt:variant>
        <vt:i4>152</vt:i4>
      </vt:variant>
      <vt:variant>
        <vt:i4>0</vt:i4>
      </vt:variant>
      <vt:variant>
        <vt:i4>5</vt:i4>
      </vt:variant>
      <vt:variant>
        <vt:lpwstr/>
      </vt:variant>
      <vt:variant>
        <vt:lpwstr>_Toc321147471</vt:lpwstr>
      </vt:variant>
      <vt:variant>
        <vt:i4>1310770</vt:i4>
      </vt:variant>
      <vt:variant>
        <vt:i4>146</vt:i4>
      </vt:variant>
      <vt:variant>
        <vt:i4>0</vt:i4>
      </vt:variant>
      <vt:variant>
        <vt:i4>5</vt:i4>
      </vt:variant>
      <vt:variant>
        <vt:lpwstr/>
      </vt:variant>
      <vt:variant>
        <vt:lpwstr>_Toc321147470</vt:lpwstr>
      </vt:variant>
      <vt:variant>
        <vt:i4>1376306</vt:i4>
      </vt:variant>
      <vt:variant>
        <vt:i4>140</vt:i4>
      </vt:variant>
      <vt:variant>
        <vt:i4>0</vt:i4>
      </vt:variant>
      <vt:variant>
        <vt:i4>5</vt:i4>
      </vt:variant>
      <vt:variant>
        <vt:lpwstr/>
      </vt:variant>
      <vt:variant>
        <vt:lpwstr>_Toc321147469</vt:lpwstr>
      </vt:variant>
      <vt:variant>
        <vt:i4>1376306</vt:i4>
      </vt:variant>
      <vt:variant>
        <vt:i4>134</vt:i4>
      </vt:variant>
      <vt:variant>
        <vt:i4>0</vt:i4>
      </vt:variant>
      <vt:variant>
        <vt:i4>5</vt:i4>
      </vt:variant>
      <vt:variant>
        <vt:lpwstr/>
      </vt:variant>
      <vt:variant>
        <vt:lpwstr>_Toc321147468</vt:lpwstr>
      </vt:variant>
      <vt:variant>
        <vt:i4>1376306</vt:i4>
      </vt:variant>
      <vt:variant>
        <vt:i4>128</vt:i4>
      </vt:variant>
      <vt:variant>
        <vt:i4>0</vt:i4>
      </vt:variant>
      <vt:variant>
        <vt:i4>5</vt:i4>
      </vt:variant>
      <vt:variant>
        <vt:lpwstr/>
      </vt:variant>
      <vt:variant>
        <vt:lpwstr>_Toc321147467</vt:lpwstr>
      </vt:variant>
      <vt:variant>
        <vt:i4>1376306</vt:i4>
      </vt:variant>
      <vt:variant>
        <vt:i4>122</vt:i4>
      </vt:variant>
      <vt:variant>
        <vt:i4>0</vt:i4>
      </vt:variant>
      <vt:variant>
        <vt:i4>5</vt:i4>
      </vt:variant>
      <vt:variant>
        <vt:lpwstr/>
      </vt:variant>
      <vt:variant>
        <vt:lpwstr>_Toc321147466</vt:lpwstr>
      </vt:variant>
      <vt:variant>
        <vt:i4>1376306</vt:i4>
      </vt:variant>
      <vt:variant>
        <vt:i4>116</vt:i4>
      </vt:variant>
      <vt:variant>
        <vt:i4>0</vt:i4>
      </vt:variant>
      <vt:variant>
        <vt:i4>5</vt:i4>
      </vt:variant>
      <vt:variant>
        <vt:lpwstr/>
      </vt:variant>
      <vt:variant>
        <vt:lpwstr>_Toc321147465</vt:lpwstr>
      </vt:variant>
      <vt:variant>
        <vt:i4>1376306</vt:i4>
      </vt:variant>
      <vt:variant>
        <vt:i4>110</vt:i4>
      </vt:variant>
      <vt:variant>
        <vt:i4>0</vt:i4>
      </vt:variant>
      <vt:variant>
        <vt:i4>5</vt:i4>
      </vt:variant>
      <vt:variant>
        <vt:lpwstr/>
      </vt:variant>
      <vt:variant>
        <vt:lpwstr>_Toc321147464</vt:lpwstr>
      </vt:variant>
      <vt:variant>
        <vt:i4>1376306</vt:i4>
      </vt:variant>
      <vt:variant>
        <vt:i4>104</vt:i4>
      </vt:variant>
      <vt:variant>
        <vt:i4>0</vt:i4>
      </vt:variant>
      <vt:variant>
        <vt:i4>5</vt:i4>
      </vt:variant>
      <vt:variant>
        <vt:lpwstr/>
      </vt:variant>
      <vt:variant>
        <vt:lpwstr>_Toc321147463</vt:lpwstr>
      </vt:variant>
      <vt:variant>
        <vt:i4>1376306</vt:i4>
      </vt:variant>
      <vt:variant>
        <vt:i4>98</vt:i4>
      </vt:variant>
      <vt:variant>
        <vt:i4>0</vt:i4>
      </vt:variant>
      <vt:variant>
        <vt:i4>5</vt:i4>
      </vt:variant>
      <vt:variant>
        <vt:lpwstr/>
      </vt:variant>
      <vt:variant>
        <vt:lpwstr>_Toc321147462</vt:lpwstr>
      </vt:variant>
      <vt:variant>
        <vt:i4>1376306</vt:i4>
      </vt:variant>
      <vt:variant>
        <vt:i4>92</vt:i4>
      </vt:variant>
      <vt:variant>
        <vt:i4>0</vt:i4>
      </vt:variant>
      <vt:variant>
        <vt:i4>5</vt:i4>
      </vt:variant>
      <vt:variant>
        <vt:lpwstr/>
      </vt:variant>
      <vt:variant>
        <vt:lpwstr>_Toc321147461</vt:lpwstr>
      </vt:variant>
      <vt:variant>
        <vt:i4>1376306</vt:i4>
      </vt:variant>
      <vt:variant>
        <vt:i4>86</vt:i4>
      </vt:variant>
      <vt:variant>
        <vt:i4>0</vt:i4>
      </vt:variant>
      <vt:variant>
        <vt:i4>5</vt:i4>
      </vt:variant>
      <vt:variant>
        <vt:lpwstr/>
      </vt:variant>
      <vt:variant>
        <vt:lpwstr>_Toc321147460</vt:lpwstr>
      </vt:variant>
      <vt:variant>
        <vt:i4>1441842</vt:i4>
      </vt:variant>
      <vt:variant>
        <vt:i4>80</vt:i4>
      </vt:variant>
      <vt:variant>
        <vt:i4>0</vt:i4>
      </vt:variant>
      <vt:variant>
        <vt:i4>5</vt:i4>
      </vt:variant>
      <vt:variant>
        <vt:lpwstr/>
      </vt:variant>
      <vt:variant>
        <vt:lpwstr>_Toc321147459</vt:lpwstr>
      </vt:variant>
      <vt:variant>
        <vt:i4>1441842</vt:i4>
      </vt:variant>
      <vt:variant>
        <vt:i4>74</vt:i4>
      </vt:variant>
      <vt:variant>
        <vt:i4>0</vt:i4>
      </vt:variant>
      <vt:variant>
        <vt:i4>5</vt:i4>
      </vt:variant>
      <vt:variant>
        <vt:lpwstr/>
      </vt:variant>
      <vt:variant>
        <vt:lpwstr>_Toc321147458</vt:lpwstr>
      </vt:variant>
      <vt:variant>
        <vt:i4>1441842</vt:i4>
      </vt:variant>
      <vt:variant>
        <vt:i4>68</vt:i4>
      </vt:variant>
      <vt:variant>
        <vt:i4>0</vt:i4>
      </vt:variant>
      <vt:variant>
        <vt:i4>5</vt:i4>
      </vt:variant>
      <vt:variant>
        <vt:lpwstr/>
      </vt:variant>
      <vt:variant>
        <vt:lpwstr>_Toc321147457</vt:lpwstr>
      </vt:variant>
      <vt:variant>
        <vt:i4>1441842</vt:i4>
      </vt:variant>
      <vt:variant>
        <vt:i4>62</vt:i4>
      </vt:variant>
      <vt:variant>
        <vt:i4>0</vt:i4>
      </vt:variant>
      <vt:variant>
        <vt:i4>5</vt:i4>
      </vt:variant>
      <vt:variant>
        <vt:lpwstr/>
      </vt:variant>
      <vt:variant>
        <vt:lpwstr>_Toc321147456</vt:lpwstr>
      </vt:variant>
      <vt:variant>
        <vt:i4>1441842</vt:i4>
      </vt:variant>
      <vt:variant>
        <vt:i4>56</vt:i4>
      </vt:variant>
      <vt:variant>
        <vt:i4>0</vt:i4>
      </vt:variant>
      <vt:variant>
        <vt:i4>5</vt:i4>
      </vt:variant>
      <vt:variant>
        <vt:lpwstr/>
      </vt:variant>
      <vt:variant>
        <vt:lpwstr>_Toc321147455</vt:lpwstr>
      </vt:variant>
      <vt:variant>
        <vt:i4>1441842</vt:i4>
      </vt:variant>
      <vt:variant>
        <vt:i4>50</vt:i4>
      </vt:variant>
      <vt:variant>
        <vt:i4>0</vt:i4>
      </vt:variant>
      <vt:variant>
        <vt:i4>5</vt:i4>
      </vt:variant>
      <vt:variant>
        <vt:lpwstr/>
      </vt:variant>
      <vt:variant>
        <vt:lpwstr>_Toc321147454</vt:lpwstr>
      </vt:variant>
      <vt:variant>
        <vt:i4>1441842</vt:i4>
      </vt:variant>
      <vt:variant>
        <vt:i4>44</vt:i4>
      </vt:variant>
      <vt:variant>
        <vt:i4>0</vt:i4>
      </vt:variant>
      <vt:variant>
        <vt:i4>5</vt:i4>
      </vt:variant>
      <vt:variant>
        <vt:lpwstr/>
      </vt:variant>
      <vt:variant>
        <vt:lpwstr>_Toc321147453</vt:lpwstr>
      </vt:variant>
      <vt:variant>
        <vt:i4>1441842</vt:i4>
      </vt:variant>
      <vt:variant>
        <vt:i4>38</vt:i4>
      </vt:variant>
      <vt:variant>
        <vt:i4>0</vt:i4>
      </vt:variant>
      <vt:variant>
        <vt:i4>5</vt:i4>
      </vt:variant>
      <vt:variant>
        <vt:lpwstr/>
      </vt:variant>
      <vt:variant>
        <vt:lpwstr>_Toc321147452</vt:lpwstr>
      </vt:variant>
      <vt:variant>
        <vt:i4>1441842</vt:i4>
      </vt:variant>
      <vt:variant>
        <vt:i4>32</vt:i4>
      </vt:variant>
      <vt:variant>
        <vt:i4>0</vt:i4>
      </vt:variant>
      <vt:variant>
        <vt:i4>5</vt:i4>
      </vt:variant>
      <vt:variant>
        <vt:lpwstr/>
      </vt:variant>
      <vt:variant>
        <vt:lpwstr>_Toc321147451</vt:lpwstr>
      </vt:variant>
      <vt:variant>
        <vt:i4>1441842</vt:i4>
      </vt:variant>
      <vt:variant>
        <vt:i4>26</vt:i4>
      </vt:variant>
      <vt:variant>
        <vt:i4>0</vt:i4>
      </vt:variant>
      <vt:variant>
        <vt:i4>5</vt:i4>
      </vt:variant>
      <vt:variant>
        <vt:lpwstr/>
      </vt:variant>
      <vt:variant>
        <vt:lpwstr>_Toc321147450</vt:lpwstr>
      </vt:variant>
      <vt:variant>
        <vt:i4>1507378</vt:i4>
      </vt:variant>
      <vt:variant>
        <vt:i4>20</vt:i4>
      </vt:variant>
      <vt:variant>
        <vt:i4>0</vt:i4>
      </vt:variant>
      <vt:variant>
        <vt:i4>5</vt:i4>
      </vt:variant>
      <vt:variant>
        <vt:lpwstr/>
      </vt:variant>
      <vt:variant>
        <vt:lpwstr>_Toc321147449</vt:lpwstr>
      </vt:variant>
      <vt:variant>
        <vt:i4>1507378</vt:i4>
      </vt:variant>
      <vt:variant>
        <vt:i4>14</vt:i4>
      </vt:variant>
      <vt:variant>
        <vt:i4>0</vt:i4>
      </vt:variant>
      <vt:variant>
        <vt:i4>5</vt:i4>
      </vt:variant>
      <vt:variant>
        <vt:lpwstr/>
      </vt:variant>
      <vt:variant>
        <vt:lpwstr>_Toc321147448</vt:lpwstr>
      </vt:variant>
      <vt:variant>
        <vt:i4>1507378</vt:i4>
      </vt:variant>
      <vt:variant>
        <vt:i4>8</vt:i4>
      </vt:variant>
      <vt:variant>
        <vt:i4>0</vt:i4>
      </vt:variant>
      <vt:variant>
        <vt:i4>5</vt:i4>
      </vt:variant>
      <vt:variant>
        <vt:lpwstr/>
      </vt:variant>
      <vt:variant>
        <vt:lpwstr>_Toc321147447</vt:lpwstr>
      </vt:variant>
      <vt:variant>
        <vt:i4>4194390</vt:i4>
      </vt:variant>
      <vt:variant>
        <vt:i4>0</vt:i4>
      </vt:variant>
      <vt:variant>
        <vt:i4>0</vt:i4>
      </vt:variant>
      <vt:variant>
        <vt:i4>5</vt:i4>
      </vt:variant>
      <vt:variant>
        <vt:lpwstr>http://www.udot.utah.gov/go/research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UDOT Research Reports</dc:title>
  <dc:creator>S Bagley</dc:creator>
  <cp:lastModifiedBy>Alex Arndt</cp:lastModifiedBy>
  <cp:revision>2</cp:revision>
  <cp:lastPrinted>2014-06-27T23:09:00Z</cp:lastPrinted>
  <dcterms:created xsi:type="dcterms:W3CDTF">2017-05-01T17:56:00Z</dcterms:created>
  <dcterms:modified xsi:type="dcterms:W3CDTF">2017-05-01T17:56:00Z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WinEqns">
    <vt:bool>true</vt:bool>
  </property>
  <property fmtid="{D5CDD505-2E9C-101B-9397-08002B2CF9AE}" pid="5" name="_DocHome">
    <vt:i4>203030086</vt:i4>
  </property>
</Properties>
</file>