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160"/>
        <w:gridCol w:w="3330"/>
      </w:tblGrid>
      <w:tr w:rsidR="0077069B" w:rsidRPr="0077069B" w:rsidTr="001E3691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2C33CC" w:rsidRDefault="002C33C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77069B" w:rsidRDefault="00EE404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B598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51D8A" w:rsidRPr="008B598D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C33CC" w:rsidRPr="008B598D">
              <w:rPr>
                <w:rFonts w:ascii="Arial" w:hAnsi="Arial" w:cs="Arial"/>
                <w:sz w:val="20"/>
                <w:szCs w:val="20"/>
              </w:rPr>
              <w:t>, 201</w:t>
            </w:r>
            <w:r w:rsidR="006E013A" w:rsidRPr="008B598D">
              <w:rPr>
                <w:rFonts w:ascii="Arial" w:hAnsi="Arial" w:cs="Arial"/>
                <w:sz w:val="20"/>
                <w:szCs w:val="20"/>
              </w:rPr>
              <w:t>6</w:t>
            </w:r>
            <w:r w:rsidR="00551D8A" w:rsidRPr="008B598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A6CAB" w:rsidRDefault="006365A3" w:rsidP="008B59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1472"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6CAB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51D8A" w:rsidRPr="00FA6CAB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C33CC" w:rsidRPr="00FA6CAB">
              <w:rPr>
                <w:rFonts w:ascii="Arial" w:hAnsi="Arial" w:cs="Arial"/>
                <w:sz w:val="20"/>
                <w:szCs w:val="20"/>
              </w:rPr>
              <w:t>, 201</w:t>
            </w:r>
            <w:r w:rsidR="006E013A" w:rsidRPr="00FA6CAB">
              <w:rPr>
                <w:rFonts w:ascii="Arial" w:hAnsi="Arial" w:cs="Arial"/>
                <w:sz w:val="20"/>
                <w:szCs w:val="20"/>
              </w:rPr>
              <w:t>6</w:t>
            </w:r>
            <w:r w:rsidR="00551D8A" w:rsidRPr="00FA6CA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1D42BC" w:rsidRDefault="001D42BC" w:rsidP="00FA6CA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133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1D8A" w:rsidRPr="001D42BC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C33CC" w:rsidRPr="001D42BC">
              <w:rPr>
                <w:rFonts w:ascii="Arial" w:hAnsi="Arial" w:cs="Arial"/>
                <w:sz w:val="20"/>
                <w:szCs w:val="20"/>
              </w:rPr>
              <w:t>, 201</w:t>
            </w:r>
            <w:r w:rsidR="006E013A" w:rsidRPr="001D42BC">
              <w:rPr>
                <w:rFonts w:ascii="Arial" w:hAnsi="Arial" w:cs="Arial"/>
                <w:sz w:val="20"/>
                <w:szCs w:val="20"/>
              </w:rPr>
              <w:t>6</w:t>
            </w:r>
            <w:r w:rsidR="00551D8A" w:rsidRPr="001D42B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1D42BC" w:rsidRDefault="001D42BC" w:rsidP="006E013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1D42BC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3E72AB" w:rsidRPr="006E01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13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81472" w:rsidRPr="006E01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1D42BC">
              <w:rPr>
                <w:rFonts w:ascii="Arial" w:hAnsi="Arial" w:cs="Arial"/>
                <w:b/>
                <w:sz w:val="20"/>
                <w:szCs w:val="20"/>
              </w:rPr>
              <w:t>Quarter 4 (October 1</w:t>
            </w:r>
            <w:r w:rsidR="00551D8A" w:rsidRPr="001D42BC">
              <w:rPr>
                <w:rFonts w:ascii="Arial" w:hAnsi="Arial" w:cs="Arial"/>
                <w:b/>
                <w:sz w:val="20"/>
                <w:szCs w:val="20"/>
              </w:rPr>
              <w:t xml:space="preserve"> – December 31</w:t>
            </w:r>
            <w:r w:rsidR="002C33CC" w:rsidRPr="001D42BC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6E013A" w:rsidRPr="001D42B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51D8A" w:rsidRPr="001D42B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7069B" w:rsidRPr="0077069B" w:rsidTr="001E3691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1E3691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42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33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1E3691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37A29" w:rsidRPr="0077069B" w:rsidRDefault="001E3691" w:rsidP="00A37A29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PIN 4040, Program 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420</w:t>
            </w:r>
            <w:r w:rsidR="00447D24">
              <w:rPr>
                <w:rFonts w:ascii="Arial" w:hAnsi="Arial" w:cs="Arial"/>
                <w:b/>
                <w:sz w:val="24"/>
                <w:szCs w:val="24"/>
              </w:rPr>
              <w:t>72</w:t>
            </w:r>
            <w:r w:rsidR="00A37A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gridSpan w:val="2"/>
          </w:tcPr>
          <w:p w:rsidR="00A37A29" w:rsidRPr="0077069B" w:rsidRDefault="00535598" w:rsidP="00A37A2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</w:t>
            </w:r>
            <w:r w:rsidR="00A37A2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37A29" w:rsidRPr="0077069B" w:rsidRDefault="00A37A29" w:rsidP="00A37A29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37A29" w:rsidRPr="00A37A29" w:rsidRDefault="00A37A29" w:rsidP="00A37A2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37A29">
              <w:rPr>
                <w:rFonts w:ascii="Arial" w:hAnsi="Arial" w:cs="Arial"/>
                <w:sz w:val="20"/>
                <w:szCs w:val="20"/>
              </w:rPr>
              <w:t>Contract 16-9069</w:t>
            </w:r>
          </w:p>
        </w:tc>
        <w:tc>
          <w:tcPr>
            <w:tcW w:w="333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1E3691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42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A37A2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1E3691" w:rsidRPr="001E3691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 xml:space="preserve">June </w:t>
            </w:r>
            <w:r w:rsidR="00353C62" w:rsidRPr="001E3691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</w:t>
            </w:r>
            <w:r w:rsidR="00A37A29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7</w:t>
            </w:r>
          </w:p>
        </w:tc>
        <w:tc>
          <w:tcPr>
            <w:tcW w:w="3330" w:type="dxa"/>
            <w:vAlign w:val="center"/>
          </w:tcPr>
          <w:p w:rsidR="00535598" w:rsidRPr="0077069B" w:rsidRDefault="00535598" w:rsidP="00D11E4E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D11E4E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D11E4E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2A57EF" w:rsidRPr="003B40F9" w:rsidRDefault="00A37A29" w:rsidP="003B40F9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0F9">
              <w:rPr>
                <w:rFonts w:ascii="Arial" w:hAnsi="Arial" w:cs="Arial"/>
                <w:b/>
                <w:sz w:val="20"/>
                <w:szCs w:val="20"/>
              </w:rPr>
              <w:t xml:space="preserve">Current contract amount = </w:t>
            </w:r>
            <w:r w:rsidR="002A57EF" w:rsidRPr="003B40F9">
              <w:rPr>
                <w:rFonts w:ascii="Arial" w:hAnsi="Arial" w:cs="Arial"/>
                <w:b/>
                <w:sz w:val="20"/>
                <w:szCs w:val="20"/>
              </w:rPr>
              <w:t>$83,749</w:t>
            </w:r>
            <w:r w:rsidR="008B42A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A57EF" w:rsidRPr="003B40F9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  <w:p w:rsidR="002A57EF" w:rsidRPr="003B40F9" w:rsidRDefault="002A57EF" w:rsidP="003B40F9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0F9">
              <w:rPr>
                <w:rFonts w:ascii="Arial" w:hAnsi="Arial" w:cs="Arial"/>
                <w:b/>
                <w:sz w:val="20"/>
                <w:szCs w:val="20"/>
              </w:rPr>
              <w:t>Remaining on contract = $</w:t>
            </w:r>
            <w:r w:rsidR="00551C70">
              <w:rPr>
                <w:rFonts w:ascii="Arial" w:hAnsi="Arial" w:cs="Arial"/>
                <w:b/>
                <w:sz w:val="20"/>
                <w:szCs w:val="20"/>
              </w:rPr>
              <w:t>38,179.49</w:t>
            </w:r>
          </w:p>
          <w:p w:rsidR="002A57EF" w:rsidRDefault="002A57EF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Remaining funds in acct = </w:t>
            </w:r>
            <w:r w:rsidRPr="002A57EF">
              <w:rPr>
                <w:rFonts w:ascii="Arial" w:hAnsi="Arial" w:cs="Arial"/>
                <w:sz w:val="20"/>
                <w:szCs w:val="20"/>
              </w:rPr>
              <w:t>$</w:t>
            </w:r>
            <w:r w:rsidR="00551C70">
              <w:rPr>
                <w:rFonts w:ascii="Arial" w:hAnsi="Arial" w:cs="Arial"/>
                <w:sz w:val="20"/>
                <w:szCs w:val="20"/>
              </w:rPr>
              <w:t>47,987.18</w:t>
            </w:r>
          </w:p>
          <w:p w:rsidR="00E50A95" w:rsidRPr="00B66A21" w:rsidRDefault="00A37A29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Approx. grand total = </w:t>
            </w:r>
            <w:r w:rsidR="00E50A95"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2A57EF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Spent on current contract =</w:t>
            </w:r>
          </w:p>
          <w:p w:rsidR="00E50A95" w:rsidRPr="00B66A21" w:rsidRDefault="002A57EF" w:rsidP="0038176F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8176F">
              <w:rPr>
                <w:rFonts w:ascii="Arial" w:hAnsi="Arial" w:cs="Arial"/>
                <w:sz w:val="20"/>
                <w:szCs w:val="20"/>
              </w:rPr>
              <w:t>44,643.22</w:t>
            </w:r>
            <w:bookmarkStart w:id="0" w:name="_GoBack"/>
            <w:bookmarkEnd w:id="0"/>
          </w:p>
        </w:tc>
        <w:tc>
          <w:tcPr>
            <w:tcW w:w="3420" w:type="dxa"/>
          </w:tcPr>
          <w:p w:rsidR="00874EF7" w:rsidRPr="00B66A21" w:rsidRDefault="00874EF7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:rsidR="0076705C" w:rsidRDefault="0076705C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Goals are ongoing</w:t>
            </w:r>
            <w:r w:rsidR="0049418E">
              <w:rPr>
                <w:rFonts w:ascii="Arial" w:hAnsi="Arial" w:cs="Arial"/>
                <w:sz w:val="20"/>
                <w:szCs w:val="20"/>
              </w:rPr>
              <w:t>,</w:t>
            </w:r>
            <w:r w:rsidR="002A57EF">
              <w:rPr>
                <w:rFonts w:ascii="Arial" w:hAnsi="Arial" w:cs="Arial"/>
                <w:sz w:val="20"/>
                <w:szCs w:val="20"/>
              </w:rPr>
              <w:t xml:space="preserve"> no end date;</w:t>
            </w:r>
          </w:p>
          <w:p w:rsidR="002A57EF" w:rsidRPr="00B66A21" w:rsidRDefault="002A57EF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Transitioning to new TPF-5(349)</w:t>
            </w:r>
          </w:p>
        </w:tc>
      </w:tr>
    </w:tbl>
    <w:p w:rsidR="00743C01" w:rsidRDefault="00743C01" w:rsidP="003B40F9">
      <w:pPr>
        <w:spacing w:after="0"/>
        <w:ind w:left="-720" w:right="-18"/>
        <w:rPr>
          <w:rFonts w:ascii="Arial" w:hAnsi="Arial" w:cs="Arial"/>
          <w:sz w:val="20"/>
          <w:szCs w:val="20"/>
        </w:rPr>
      </w:pPr>
    </w:p>
    <w:p w:rsidR="00B66A21" w:rsidRDefault="00B66A21" w:rsidP="003B40F9">
      <w:pPr>
        <w:spacing w:after="0"/>
        <w:ind w:left="-720" w:right="-18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6C62CB" w:rsidRDefault="00551C70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3B40F9">
              <w:rPr>
                <w:rFonts w:ascii="Arial" w:hAnsi="Arial" w:cs="Arial"/>
                <w:sz w:val="20"/>
                <w:szCs w:val="20"/>
              </w:rPr>
              <w:t>% total spent on current contract</w:t>
            </w:r>
          </w:p>
          <w:p w:rsidR="003B40F9" w:rsidRPr="00B66A21" w:rsidRDefault="00551C70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B40F9">
              <w:rPr>
                <w:rFonts w:ascii="Arial" w:hAnsi="Arial" w:cs="Arial"/>
                <w:sz w:val="20"/>
                <w:szCs w:val="20"/>
              </w:rPr>
              <w:t>% spent this quarter</w:t>
            </w:r>
          </w:p>
        </w:tc>
        <w:tc>
          <w:tcPr>
            <w:tcW w:w="3330" w:type="dxa"/>
          </w:tcPr>
          <w:p w:rsidR="00B53F3A" w:rsidRPr="00FA1804" w:rsidRDefault="00B53F3A" w:rsidP="003B40F9">
            <w:pPr>
              <w:ind w:righ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804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38176F">
              <w:rPr>
                <w:rFonts w:ascii="Arial" w:hAnsi="Arial" w:cs="Arial"/>
                <w:color w:val="000000"/>
                <w:sz w:val="20"/>
                <w:szCs w:val="20"/>
              </w:rPr>
              <w:t>5,999.88</w:t>
            </w:r>
          </w:p>
          <w:p w:rsidR="00EE404D" w:rsidRPr="00B66A21" w:rsidRDefault="00EE404D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7C1993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49418E" w:rsidRDefault="0049418E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62A53" w:rsidRDefault="00FA6CAB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Transitioning from old TPF to new.  Consuming remaining funds in old TPF account prior to beginning use of new TPF. Continued solicitation for members to the new TPF.</w:t>
            </w:r>
          </w:p>
          <w:p w:rsidR="00FA6CAB" w:rsidRDefault="00FA6CAB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62A53" w:rsidRDefault="00FA6CAB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Board </w:t>
            </w:r>
            <w:r w:rsidR="001D42BC">
              <w:rPr>
                <w:rFonts w:ascii="Arial" w:hAnsi="Arial" w:cs="Arial"/>
                <w:sz w:val="20"/>
                <w:szCs w:val="20"/>
              </w:rPr>
              <w:t>meeting being planned for Spring of 2017.</w:t>
            </w:r>
          </w:p>
          <w:p w:rsidR="00502F4D" w:rsidRDefault="00502F4D" w:rsidP="00062A5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9418E" w:rsidRDefault="0049418E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DB76FF" w:rsidRDefault="00FA6CAB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Transition to the new TPF.  Close solicitation period, determine </w:t>
            </w:r>
            <w:r w:rsidR="00537999">
              <w:rPr>
                <w:rFonts w:ascii="Arial" w:hAnsi="Arial" w:cs="Arial"/>
                <w:sz w:val="20"/>
                <w:szCs w:val="20"/>
              </w:rPr>
              <w:t>membership from that process.</w:t>
            </w:r>
          </w:p>
          <w:p w:rsidR="00DB76FF" w:rsidRDefault="00DB76FF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DB76FF" w:rsidRDefault="00537999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QAC Meeting </w:t>
            </w:r>
            <w:r w:rsidR="001D42BC">
              <w:rPr>
                <w:rFonts w:ascii="Arial" w:hAnsi="Arial" w:cs="Arial"/>
                <w:sz w:val="20"/>
                <w:szCs w:val="20"/>
              </w:rPr>
              <w:t>will be held in January/February 2017, will begin evaluation of the standards to be revised/proposed for the 2017 AASHTO SOM.  Review testing and training questions and practices and update.</w:t>
            </w:r>
          </w:p>
          <w:p w:rsidR="00537999" w:rsidRDefault="00537999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537999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Follow-up on p</w:t>
            </w:r>
            <w:r w:rsidR="00062A53">
              <w:rPr>
                <w:rFonts w:ascii="Arial" w:hAnsi="Arial" w:cs="Arial"/>
                <w:sz w:val="20"/>
                <w:szCs w:val="20"/>
              </w:rPr>
              <w:t>roposed revis</w:t>
            </w:r>
            <w:r>
              <w:rPr>
                <w:rFonts w:ascii="Arial" w:hAnsi="Arial" w:cs="Arial"/>
                <w:sz w:val="20"/>
                <w:szCs w:val="20"/>
              </w:rPr>
              <w:t>ions to AASHTO standards submitted to the 2016 SOM and results.</w:t>
            </w:r>
            <w:r w:rsidR="00062A5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30246" w:rsidRDefault="00E30246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E30246" w:rsidRDefault="00E30246" w:rsidP="0036279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2D47" w:rsidRDefault="00537999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transition from old TPF to new TPF.</w:t>
            </w:r>
          </w:p>
          <w:p w:rsidR="00062A53" w:rsidRPr="0049418E" w:rsidRDefault="00062A53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Pr="0049418E" w:rsidRDefault="00537999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Improvement of succession process for QAC chair position.</w:t>
            </w:r>
          </w:p>
          <w:p w:rsidR="0049418E" w:rsidRDefault="0049418E" w:rsidP="0028147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Circumstance affecting project or budget.  (Please describe any challenges encountered or anticipated that 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 forth in the agreement, along with recommended solutions to those problems).</w:t>
            </w:r>
          </w:p>
          <w:p w:rsidR="00F81502" w:rsidRDefault="00F81502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Pr="0049418E" w:rsidRDefault="00F81502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9418E">
              <w:rPr>
                <w:rFonts w:ascii="Arial" w:hAnsi="Arial" w:cs="Arial"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C70" w:rsidRDefault="00551C70" w:rsidP="00106C83">
      <w:pPr>
        <w:spacing w:after="0" w:line="240" w:lineRule="auto"/>
      </w:pPr>
      <w:r>
        <w:separator/>
      </w:r>
    </w:p>
  </w:endnote>
  <w:endnote w:type="continuationSeparator" w:id="0">
    <w:p w:rsidR="00551C70" w:rsidRDefault="00551C7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70" w:rsidRDefault="00551C70" w:rsidP="00E5618C">
    <w:pPr>
      <w:pStyle w:val="Footer"/>
      <w:ind w:left="-810"/>
    </w:pPr>
    <w:r>
      <w:t>TPF Program Standard Quarterly Reporting Format – 8/2011</w:t>
    </w:r>
  </w:p>
  <w:p w:rsidR="00551C70" w:rsidRDefault="00551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C70" w:rsidRDefault="00551C70" w:rsidP="00106C83">
      <w:pPr>
        <w:spacing w:after="0" w:line="240" w:lineRule="auto"/>
      </w:pPr>
      <w:r>
        <w:separator/>
      </w:r>
    </w:p>
  </w:footnote>
  <w:footnote w:type="continuationSeparator" w:id="0">
    <w:p w:rsidR="00551C70" w:rsidRDefault="00551C7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17F9B"/>
    <w:rsid w:val="00037FBC"/>
    <w:rsid w:val="00062A53"/>
    <w:rsid w:val="00067B63"/>
    <w:rsid w:val="000736BB"/>
    <w:rsid w:val="00094A20"/>
    <w:rsid w:val="000B665A"/>
    <w:rsid w:val="000D524E"/>
    <w:rsid w:val="000E4F5D"/>
    <w:rsid w:val="00106C83"/>
    <w:rsid w:val="00107E8E"/>
    <w:rsid w:val="001547D0"/>
    <w:rsid w:val="00161153"/>
    <w:rsid w:val="00175DBD"/>
    <w:rsid w:val="0018433C"/>
    <w:rsid w:val="001D42BC"/>
    <w:rsid w:val="001E3691"/>
    <w:rsid w:val="0021446D"/>
    <w:rsid w:val="0022310B"/>
    <w:rsid w:val="002302D3"/>
    <w:rsid w:val="00255DDE"/>
    <w:rsid w:val="00281472"/>
    <w:rsid w:val="00293FD8"/>
    <w:rsid w:val="002A57EF"/>
    <w:rsid w:val="002A79C8"/>
    <w:rsid w:val="002B3DE2"/>
    <w:rsid w:val="002B6E30"/>
    <w:rsid w:val="002C33CC"/>
    <w:rsid w:val="002E20C6"/>
    <w:rsid w:val="00353C62"/>
    <w:rsid w:val="00362797"/>
    <w:rsid w:val="00372D47"/>
    <w:rsid w:val="0038176F"/>
    <w:rsid w:val="0038705A"/>
    <w:rsid w:val="003A080E"/>
    <w:rsid w:val="003B40F9"/>
    <w:rsid w:val="003E72AB"/>
    <w:rsid w:val="003F579F"/>
    <w:rsid w:val="004035B1"/>
    <w:rsid w:val="004133EB"/>
    <w:rsid w:val="004144E6"/>
    <w:rsid w:val="004156B2"/>
    <w:rsid w:val="00437734"/>
    <w:rsid w:val="00447D24"/>
    <w:rsid w:val="00476F7E"/>
    <w:rsid w:val="0049418E"/>
    <w:rsid w:val="004B593C"/>
    <w:rsid w:val="004E14DC"/>
    <w:rsid w:val="004F020C"/>
    <w:rsid w:val="004F20F3"/>
    <w:rsid w:val="004F6976"/>
    <w:rsid w:val="00502F4D"/>
    <w:rsid w:val="00533265"/>
    <w:rsid w:val="00535598"/>
    <w:rsid w:val="00537999"/>
    <w:rsid w:val="0054625D"/>
    <w:rsid w:val="00547EE3"/>
    <w:rsid w:val="00551256"/>
    <w:rsid w:val="005518A3"/>
    <w:rsid w:val="00551C70"/>
    <w:rsid w:val="00551D8A"/>
    <w:rsid w:val="00581B36"/>
    <w:rsid w:val="00583E8E"/>
    <w:rsid w:val="005C5FE3"/>
    <w:rsid w:val="00601EBD"/>
    <w:rsid w:val="00603419"/>
    <w:rsid w:val="00625892"/>
    <w:rsid w:val="006365A3"/>
    <w:rsid w:val="00636DF0"/>
    <w:rsid w:val="00660E50"/>
    <w:rsid w:val="00682C5E"/>
    <w:rsid w:val="006C62CB"/>
    <w:rsid w:val="006E013A"/>
    <w:rsid w:val="006E2170"/>
    <w:rsid w:val="006E50CA"/>
    <w:rsid w:val="006F45BD"/>
    <w:rsid w:val="006F57C3"/>
    <w:rsid w:val="0072334E"/>
    <w:rsid w:val="00732A01"/>
    <w:rsid w:val="0073362A"/>
    <w:rsid w:val="00743C01"/>
    <w:rsid w:val="00745A19"/>
    <w:rsid w:val="0076705C"/>
    <w:rsid w:val="007679EC"/>
    <w:rsid w:val="0077069B"/>
    <w:rsid w:val="00790C4A"/>
    <w:rsid w:val="007935E8"/>
    <w:rsid w:val="007B741D"/>
    <w:rsid w:val="007C1993"/>
    <w:rsid w:val="007C5FFA"/>
    <w:rsid w:val="007D43F6"/>
    <w:rsid w:val="007E5BD2"/>
    <w:rsid w:val="007F091B"/>
    <w:rsid w:val="00813164"/>
    <w:rsid w:val="008254AD"/>
    <w:rsid w:val="00862DFC"/>
    <w:rsid w:val="00872F18"/>
    <w:rsid w:val="00874EF7"/>
    <w:rsid w:val="008B42AA"/>
    <w:rsid w:val="008B598D"/>
    <w:rsid w:val="008E414F"/>
    <w:rsid w:val="008F5A12"/>
    <w:rsid w:val="009030D7"/>
    <w:rsid w:val="00903E0F"/>
    <w:rsid w:val="009B2360"/>
    <w:rsid w:val="009B3E92"/>
    <w:rsid w:val="009D4A4B"/>
    <w:rsid w:val="009E074B"/>
    <w:rsid w:val="00A02EE8"/>
    <w:rsid w:val="00A37A29"/>
    <w:rsid w:val="00A43875"/>
    <w:rsid w:val="00A618F6"/>
    <w:rsid w:val="00A63677"/>
    <w:rsid w:val="00A6778F"/>
    <w:rsid w:val="00AE46B0"/>
    <w:rsid w:val="00B1019B"/>
    <w:rsid w:val="00B11B31"/>
    <w:rsid w:val="00B2185C"/>
    <w:rsid w:val="00B31F68"/>
    <w:rsid w:val="00B53F3A"/>
    <w:rsid w:val="00B66A21"/>
    <w:rsid w:val="00B96A78"/>
    <w:rsid w:val="00BB2486"/>
    <w:rsid w:val="00BD118F"/>
    <w:rsid w:val="00BE615E"/>
    <w:rsid w:val="00C13753"/>
    <w:rsid w:val="00C17DB3"/>
    <w:rsid w:val="00C57C57"/>
    <w:rsid w:val="00CE48AA"/>
    <w:rsid w:val="00D11E4E"/>
    <w:rsid w:val="00D175E4"/>
    <w:rsid w:val="00D31466"/>
    <w:rsid w:val="00D362B6"/>
    <w:rsid w:val="00D43771"/>
    <w:rsid w:val="00D4513A"/>
    <w:rsid w:val="00D45A7C"/>
    <w:rsid w:val="00D74CFF"/>
    <w:rsid w:val="00D834E5"/>
    <w:rsid w:val="00DA6D1D"/>
    <w:rsid w:val="00DB76FF"/>
    <w:rsid w:val="00DE34A5"/>
    <w:rsid w:val="00E22631"/>
    <w:rsid w:val="00E30246"/>
    <w:rsid w:val="00E35E0F"/>
    <w:rsid w:val="00E371D1"/>
    <w:rsid w:val="00E50261"/>
    <w:rsid w:val="00E508B9"/>
    <w:rsid w:val="00E50A95"/>
    <w:rsid w:val="00E53738"/>
    <w:rsid w:val="00E5618C"/>
    <w:rsid w:val="00EB36FC"/>
    <w:rsid w:val="00EC2C79"/>
    <w:rsid w:val="00ED5F67"/>
    <w:rsid w:val="00EE404D"/>
    <w:rsid w:val="00EE55BE"/>
    <w:rsid w:val="00EF08AE"/>
    <w:rsid w:val="00EF2234"/>
    <w:rsid w:val="00EF5790"/>
    <w:rsid w:val="00F07F50"/>
    <w:rsid w:val="00F42216"/>
    <w:rsid w:val="00F44E10"/>
    <w:rsid w:val="00F65B54"/>
    <w:rsid w:val="00F7183A"/>
    <w:rsid w:val="00F75944"/>
    <w:rsid w:val="00F81502"/>
    <w:rsid w:val="00F8550E"/>
    <w:rsid w:val="00FA1804"/>
    <w:rsid w:val="00FA6CAB"/>
    <w:rsid w:val="00FE3870"/>
    <w:rsid w:val="00FF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447D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447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D638-9F1A-4FAF-8EB9-6D1BE2AA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3</cp:revision>
  <cp:lastPrinted>2011-06-21T20:32:00Z</cp:lastPrinted>
  <dcterms:created xsi:type="dcterms:W3CDTF">2017-01-26T19:36:00Z</dcterms:created>
  <dcterms:modified xsi:type="dcterms:W3CDTF">2017-01-31T22:34:00Z</dcterms:modified>
</cp:coreProperties>
</file>