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F173B"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4F173B" w:rsidRPr="00CA7E3E">
              <w:rPr>
                <w:rFonts w:ascii="Arial" w:hAnsi="Arial" w:cs="Arial"/>
                <w:sz w:val="36"/>
                <w:szCs w:val="36"/>
                <w:u w:val="single"/>
              </w:rPr>
              <w:t>_</w:t>
            </w:r>
            <w:r w:rsidRPr="004F173B">
              <w:rPr>
                <w:rFonts w:ascii="Arial" w:hAnsi="Arial" w:cs="Arial"/>
                <w:sz w:val="36"/>
                <w:szCs w:val="36"/>
              </w:rPr>
              <w:t xml:space="preserve"> </w:t>
            </w:r>
            <w:r w:rsidRPr="004F173B">
              <w:rPr>
                <w:rFonts w:ascii="Arial" w:hAnsi="Arial" w:cs="Arial"/>
                <w:sz w:val="20"/>
                <w:szCs w:val="20"/>
              </w:rPr>
              <w:t>Quarter 1 (January 1 – March 31</w:t>
            </w:r>
            <w:r w:rsidR="005C75FE" w:rsidRPr="004F173B">
              <w:rPr>
                <w:rFonts w:ascii="Arial" w:hAnsi="Arial" w:cs="Arial"/>
                <w:sz w:val="20"/>
                <w:szCs w:val="20"/>
              </w:rPr>
              <w:t xml:space="preserve">, </w:t>
            </w:r>
            <w:r w:rsidR="003E4DE4" w:rsidRPr="004F173B">
              <w:rPr>
                <w:rFonts w:ascii="Arial" w:hAnsi="Arial" w:cs="Arial"/>
                <w:sz w:val="20"/>
                <w:szCs w:val="20"/>
              </w:rPr>
              <w:t>201</w:t>
            </w:r>
            <w:r w:rsidR="00A97CF7" w:rsidRPr="004F173B">
              <w:rPr>
                <w:rFonts w:ascii="Arial" w:hAnsi="Arial" w:cs="Arial"/>
                <w:sz w:val="20"/>
                <w:szCs w:val="20"/>
              </w:rPr>
              <w:t>6</w:t>
            </w:r>
            <w:r w:rsidRPr="004F173B">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215F63" w:rsidRPr="00CA7E3E">
              <w:rPr>
                <w:rFonts w:ascii="Arial" w:hAnsi="Arial" w:cs="Arial"/>
                <w:sz w:val="36"/>
                <w:szCs w:val="36"/>
                <w:u w:val="single"/>
              </w:rPr>
              <w:t>_</w:t>
            </w:r>
            <w:r w:rsidR="00C47C4A" w:rsidRPr="000556F2">
              <w:rPr>
                <w:rFonts w:ascii="Arial" w:hAnsi="Arial" w:cs="Arial"/>
                <w:sz w:val="36"/>
                <w:szCs w:val="36"/>
              </w:rPr>
              <w:t xml:space="preserve"> </w:t>
            </w:r>
            <w:r w:rsidRPr="00215F63">
              <w:rPr>
                <w:rFonts w:ascii="Arial" w:hAnsi="Arial" w:cs="Arial"/>
                <w:sz w:val="20"/>
                <w:szCs w:val="20"/>
              </w:rPr>
              <w:t>Quarter 2 (April 1 – June 30</w:t>
            </w:r>
            <w:r w:rsidR="002C4321" w:rsidRPr="00215F63">
              <w:rPr>
                <w:rFonts w:ascii="Arial" w:hAnsi="Arial" w:cs="Arial"/>
                <w:sz w:val="20"/>
                <w:szCs w:val="20"/>
              </w:rPr>
              <w:t>, 201</w:t>
            </w:r>
            <w:r w:rsidR="00A97CF7" w:rsidRPr="00215F63">
              <w:rPr>
                <w:rFonts w:ascii="Arial" w:hAnsi="Arial" w:cs="Arial"/>
                <w:sz w:val="20"/>
                <w:szCs w:val="20"/>
              </w:rPr>
              <w:t>6</w:t>
            </w:r>
            <w:r w:rsidRPr="00215F63">
              <w:rPr>
                <w:rFonts w:ascii="Arial" w:hAnsi="Arial" w:cs="Arial"/>
                <w:sz w:val="20"/>
                <w:szCs w:val="20"/>
              </w:rPr>
              <w:t>)</w:t>
            </w:r>
          </w:p>
          <w:p w:rsidR="000C209F" w:rsidRPr="00CA7E3E" w:rsidRDefault="00215F63" w:rsidP="00360664">
            <w:pPr>
              <w:spacing w:after="0" w:line="240" w:lineRule="auto"/>
              <w:ind w:right="-720"/>
              <w:rPr>
                <w:rFonts w:ascii="Arial" w:hAnsi="Arial" w:cs="Arial"/>
                <w:sz w:val="20"/>
                <w:szCs w:val="20"/>
              </w:rPr>
            </w:pPr>
            <w:r w:rsidRPr="00954BF6">
              <w:rPr>
                <w:rFonts w:ascii="Arial" w:hAnsi="Arial" w:cs="Arial"/>
                <w:b/>
                <w:sz w:val="36"/>
                <w:szCs w:val="36"/>
                <w:u w:val="single"/>
              </w:rPr>
              <w:t>x</w:t>
            </w:r>
            <w:r w:rsidR="001D763A" w:rsidRPr="00CA7E3E">
              <w:rPr>
                <w:rFonts w:ascii="Arial" w:hAnsi="Arial" w:cs="Arial"/>
                <w:sz w:val="36"/>
                <w:szCs w:val="36"/>
              </w:rPr>
              <w:t xml:space="preserve"> </w:t>
            </w:r>
            <w:r w:rsidR="000C209F" w:rsidRPr="00215F63">
              <w:rPr>
                <w:rFonts w:ascii="Arial" w:hAnsi="Arial" w:cs="Arial"/>
                <w:b/>
                <w:sz w:val="20"/>
                <w:szCs w:val="20"/>
              </w:rPr>
              <w:t>Quarter 3 (July 1 – September 30</w:t>
            </w:r>
            <w:r w:rsidR="002C4321" w:rsidRPr="00215F63">
              <w:rPr>
                <w:rFonts w:ascii="Arial" w:hAnsi="Arial" w:cs="Arial"/>
                <w:b/>
                <w:sz w:val="20"/>
                <w:szCs w:val="20"/>
              </w:rPr>
              <w:t>, 201</w:t>
            </w:r>
            <w:r w:rsidR="00A97CF7" w:rsidRPr="00215F63">
              <w:rPr>
                <w:rFonts w:ascii="Arial" w:hAnsi="Arial" w:cs="Arial"/>
                <w:b/>
                <w:sz w:val="20"/>
                <w:szCs w:val="20"/>
              </w:rPr>
              <w:t>6</w:t>
            </w:r>
            <w:r w:rsidR="000C209F" w:rsidRPr="00215F63">
              <w:rPr>
                <w:rFonts w:ascii="Arial" w:hAnsi="Arial" w:cs="Arial"/>
                <w:b/>
                <w:sz w:val="20"/>
                <w:szCs w:val="20"/>
              </w:rPr>
              <w:t>)</w:t>
            </w:r>
          </w:p>
          <w:p w:rsidR="000C209F" w:rsidRPr="00A97CF7" w:rsidRDefault="00A97CF7" w:rsidP="00A97CF7">
            <w:pPr>
              <w:spacing w:after="0" w:line="240" w:lineRule="auto"/>
              <w:ind w:right="-720"/>
              <w:rPr>
                <w:rFonts w:ascii="Arial" w:hAnsi="Arial" w:cs="Arial"/>
                <w:sz w:val="20"/>
                <w:szCs w:val="20"/>
              </w:rPr>
            </w:pPr>
            <w:r w:rsidRPr="00A97CF7">
              <w:rPr>
                <w:rFonts w:ascii="Arial" w:hAnsi="Arial" w:cs="Arial"/>
                <w:sz w:val="36"/>
                <w:szCs w:val="36"/>
                <w:u w:val="single"/>
              </w:rPr>
              <w:t>_</w:t>
            </w:r>
            <w:r w:rsidR="00532264" w:rsidRPr="00A97CF7">
              <w:rPr>
                <w:rFonts w:ascii="Arial" w:hAnsi="Arial" w:cs="Arial"/>
                <w:sz w:val="36"/>
                <w:szCs w:val="36"/>
              </w:rPr>
              <w:t xml:space="preserve"> </w:t>
            </w:r>
            <w:r w:rsidR="000C209F" w:rsidRPr="00A97CF7">
              <w:rPr>
                <w:rFonts w:ascii="Arial" w:hAnsi="Arial" w:cs="Arial"/>
                <w:sz w:val="20"/>
                <w:szCs w:val="20"/>
              </w:rPr>
              <w:t xml:space="preserve">Quarter </w:t>
            </w:r>
            <w:r w:rsidR="005C75FE" w:rsidRPr="00A97CF7">
              <w:rPr>
                <w:rFonts w:ascii="Arial" w:hAnsi="Arial" w:cs="Arial"/>
                <w:sz w:val="20"/>
                <w:szCs w:val="20"/>
              </w:rPr>
              <w:t>4 (October 1 – December 31</w:t>
            </w:r>
            <w:r w:rsidR="002C4321" w:rsidRPr="00A97CF7">
              <w:rPr>
                <w:rFonts w:ascii="Arial" w:hAnsi="Arial" w:cs="Arial"/>
                <w:sz w:val="20"/>
                <w:szCs w:val="20"/>
              </w:rPr>
              <w:t>, 201</w:t>
            </w:r>
            <w:r w:rsidRPr="00A97CF7">
              <w:rPr>
                <w:rFonts w:ascii="Arial" w:hAnsi="Arial" w:cs="Arial"/>
                <w:sz w:val="20"/>
                <w:szCs w:val="20"/>
              </w:rPr>
              <w:t>6</w:t>
            </w:r>
            <w:r w:rsidR="000C209F" w:rsidRPr="00A97CF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541ECB">
              <w:rPr>
                <w:rFonts w:ascii="Arial" w:hAnsi="Arial" w:cs="Arial"/>
                <w:sz w:val="24"/>
                <w:szCs w:val="24"/>
              </w:rPr>
              <w:t>C</w:t>
            </w:r>
            <w:r w:rsidRPr="00541ECB">
              <w:rPr>
                <w:rFonts w:ascii="Arial" w:hAnsi="Arial" w:cs="Arial"/>
                <w:sz w:val="24"/>
                <w:szCs w:val="24"/>
              </w:rPr>
              <w:t>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56196C" w:rsidP="00360664">
            <w:pPr>
              <w:spacing w:after="0" w:line="240" w:lineRule="auto"/>
              <w:ind w:right="-108"/>
              <w:rPr>
                <w:rFonts w:ascii="Arial" w:hAnsi="Arial" w:cs="Arial"/>
                <w:sz w:val="20"/>
                <w:szCs w:val="20"/>
              </w:rPr>
            </w:pPr>
            <w:r>
              <w:rPr>
                <w:rFonts w:ascii="Arial" w:hAnsi="Arial" w:cs="Arial"/>
                <w:sz w:val="20"/>
                <w:szCs w:val="20"/>
              </w:rPr>
              <w:t>Thomas Hales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56196C">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56196C">
              <w:rPr>
                <w:rFonts w:ascii="Arial" w:hAnsi="Arial" w:cs="Arial"/>
                <w:sz w:val="20"/>
                <w:szCs w:val="20"/>
              </w:rPr>
              <w:t>633</w:t>
            </w:r>
            <w:r w:rsidRPr="00360664">
              <w:rPr>
                <w:rFonts w:ascii="Arial" w:hAnsi="Arial" w:cs="Arial"/>
                <w:sz w:val="20"/>
                <w:szCs w:val="20"/>
              </w:rPr>
              <w:t>-</w:t>
            </w:r>
            <w:r w:rsidR="0056196C">
              <w:rPr>
                <w:rFonts w:ascii="Arial" w:hAnsi="Arial" w:cs="Arial"/>
                <w:sz w:val="20"/>
                <w:szCs w:val="20"/>
              </w:rPr>
              <w:t>6226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067968" w:rsidRPr="00067968">
                <w:rPr>
                  <w:rStyle w:val="Hyperlink"/>
                  <w:rFonts w:ascii="Arial" w:hAnsi="Arial" w:cs="Arial"/>
                  <w:color w:val="auto"/>
                  <w:sz w:val="20"/>
                  <w:szCs w:val="20"/>
                  <w:u w:val="none"/>
                </w:rPr>
                <w:t>tahales@utah.gov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November 30,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1292D" w:rsidRPr="004F173B">
              <w:rPr>
                <w:rFonts w:ascii="Arial" w:hAnsi="Arial" w:cs="Arial"/>
                <w:sz w:val="20"/>
                <w:szCs w:val="20"/>
              </w:rPr>
              <w:t>0</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$93,000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215F63" w:rsidRDefault="00A46661" w:rsidP="00360664">
            <w:pPr>
              <w:spacing w:after="0" w:line="240" w:lineRule="auto"/>
              <w:ind w:left="-108" w:right="-108"/>
              <w:jc w:val="center"/>
              <w:rPr>
                <w:rFonts w:ascii="Arial" w:hAnsi="Arial" w:cs="Arial"/>
                <w:sz w:val="20"/>
                <w:szCs w:val="20"/>
                <w:highlight w:val="yellow"/>
              </w:rPr>
            </w:pPr>
            <w:r w:rsidRPr="00A46661">
              <w:rPr>
                <w:rFonts w:ascii="Arial" w:hAnsi="Arial" w:cs="Arial"/>
                <w:sz w:val="20"/>
                <w:szCs w:val="20"/>
              </w:rPr>
              <w:t>25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215F63" w:rsidP="00D47A1D">
            <w:pPr>
              <w:spacing w:after="0" w:line="240" w:lineRule="auto"/>
              <w:ind w:left="-108" w:right="-108"/>
              <w:jc w:val="center"/>
              <w:rPr>
                <w:rFonts w:ascii="Arial" w:hAnsi="Arial" w:cs="Arial"/>
                <w:sz w:val="20"/>
                <w:szCs w:val="20"/>
              </w:rPr>
            </w:pPr>
            <w:r>
              <w:rPr>
                <w:rFonts w:ascii="Arial" w:hAnsi="Arial" w:cs="Arial"/>
                <w:sz w:val="20"/>
                <w:szCs w:val="20"/>
              </w:rPr>
              <w:t>16</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5806C7" w:rsidP="004F586D">
            <w:pPr>
              <w:spacing w:after="0" w:line="240" w:lineRule="auto"/>
              <w:rPr>
                <w:rFonts w:ascii="Arial" w:hAnsi="Arial" w:cs="Arial"/>
                <w:sz w:val="20"/>
                <w:szCs w:val="20"/>
              </w:rPr>
            </w:pPr>
            <w:r>
              <w:rPr>
                <w:rFonts w:ascii="Arial" w:hAnsi="Arial" w:cs="Arial"/>
                <w:sz w:val="20"/>
                <w:szCs w:val="20"/>
              </w:rPr>
              <w:t>Funded</w:t>
            </w:r>
            <w:r w:rsidR="00B56759">
              <w:rPr>
                <w:rFonts w:ascii="Arial" w:hAnsi="Arial" w:cs="Arial"/>
                <w:sz w:val="20"/>
                <w:szCs w:val="20"/>
              </w:rPr>
              <w:t xml:space="preserve"> contract</w:t>
            </w:r>
            <w:r>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EF7C5F" w:rsidRPr="004F173B" w:rsidRDefault="00EF7C5F" w:rsidP="000F615B">
            <w:pPr>
              <w:spacing w:after="0" w:line="240" w:lineRule="auto"/>
              <w:rPr>
                <w:rFonts w:ascii="Arial" w:hAnsi="Arial" w:cs="Arial"/>
                <w:sz w:val="20"/>
                <w:szCs w:val="20"/>
              </w:rPr>
            </w:pP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1D7F6C" w:rsidRPr="00637E5B" w:rsidRDefault="00A46661" w:rsidP="00716C86">
            <w:pPr>
              <w:spacing w:after="0" w:line="240" w:lineRule="auto"/>
              <w:rPr>
                <w:rFonts w:ascii="Arial" w:hAnsi="Arial" w:cs="Arial"/>
                <w:sz w:val="20"/>
                <w:szCs w:val="20"/>
              </w:rPr>
            </w:pPr>
            <w:r w:rsidRPr="00637E5B">
              <w:rPr>
                <w:rFonts w:ascii="Arial" w:hAnsi="Arial" w:cs="Arial"/>
                <w:sz w:val="20"/>
                <w:szCs w:val="20"/>
              </w:rPr>
              <w:t>Research efforts this quarter have focused almost exclusively on Task</w:t>
            </w:r>
            <w:r w:rsidR="00DE359D">
              <w:rPr>
                <w:rFonts w:ascii="Arial" w:hAnsi="Arial" w:cs="Arial"/>
                <w:sz w:val="20"/>
                <w:szCs w:val="20"/>
              </w:rPr>
              <w:t xml:space="preserve"> </w:t>
            </w:r>
            <w:r w:rsidRPr="00637E5B">
              <w:rPr>
                <w:rFonts w:ascii="Arial" w:hAnsi="Arial" w:cs="Arial"/>
                <w:sz w:val="20"/>
                <w:szCs w:val="20"/>
              </w:rPr>
              <w:t xml:space="preserve">4. Dr. Franke and his students have been working to implement the performance-based analyses procedure developed in Tasks 1-3 into the numerical computation tool. The tool now performs performance-based and pseudo-probabilistic assessment of liquefaction </w:t>
            </w:r>
            <w:r w:rsidR="001D7F6C" w:rsidRPr="00637E5B">
              <w:rPr>
                <w:rFonts w:ascii="Arial" w:hAnsi="Arial" w:cs="Arial"/>
                <w:sz w:val="20"/>
                <w:szCs w:val="20"/>
              </w:rPr>
              <w:t>t</w:t>
            </w:r>
            <w:r w:rsidRPr="00637E5B">
              <w:rPr>
                <w:rFonts w:ascii="Arial" w:hAnsi="Arial" w:cs="Arial"/>
                <w:sz w:val="20"/>
                <w:szCs w:val="20"/>
              </w:rPr>
              <w:t>riggering, lateral spread, and post liquefaction settlement for the CPT. Program</w:t>
            </w:r>
            <w:r w:rsidR="00DE359D">
              <w:rPr>
                <w:rFonts w:ascii="Arial" w:hAnsi="Arial" w:cs="Arial"/>
                <w:sz w:val="20"/>
                <w:szCs w:val="20"/>
              </w:rPr>
              <w:t>m</w:t>
            </w:r>
            <w:r w:rsidRPr="00637E5B">
              <w:rPr>
                <w:rFonts w:ascii="Arial" w:hAnsi="Arial" w:cs="Arial"/>
                <w:sz w:val="20"/>
                <w:szCs w:val="20"/>
              </w:rPr>
              <w:t xml:space="preserve">ing efforts have also focused on </w:t>
            </w:r>
            <w:r w:rsidR="001D7F6C" w:rsidRPr="00637E5B">
              <w:rPr>
                <w:rFonts w:ascii="Arial" w:hAnsi="Arial" w:cs="Arial"/>
                <w:sz w:val="20"/>
                <w:szCs w:val="20"/>
              </w:rPr>
              <w:t>implementing the new USG</w:t>
            </w:r>
            <w:r w:rsidRPr="00637E5B">
              <w:rPr>
                <w:rFonts w:ascii="Arial" w:hAnsi="Arial" w:cs="Arial"/>
                <w:sz w:val="20"/>
                <w:szCs w:val="20"/>
              </w:rPr>
              <w:t xml:space="preserve">S uniform </w:t>
            </w:r>
            <w:r w:rsidR="001D7F6C" w:rsidRPr="00637E5B">
              <w:rPr>
                <w:rFonts w:ascii="Arial" w:hAnsi="Arial" w:cs="Arial"/>
                <w:sz w:val="20"/>
                <w:szCs w:val="20"/>
              </w:rPr>
              <w:t>hazard</w:t>
            </w:r>
            <w:r w:rsidRPr="00637E5B">
              <w:rPr>
                <w:rFonts w:ascii="Arial" w:hAnsi="Arial" w:cs="Arial"/>
                <w:sz w:val="20"/>
                <w:szCs w:val="20"/>
              </w:rPr>
              <w:t xml:space="preserve"> </w:t>
            </w:r>
            <w:proofErr w:type="spellStart"/>
            <w:r w:rsidR="001D7F6C" w:rsidRPr="00637E5B">
              <w:rPr>
                <w:rFonts w:ascii="Arial" w:hAnsi="Arial" w:cs="Arial"/>
                <w:sz w:val="20"/>
                <w:szCs w:val="20"/>
              </w:rPr>
              <w:t>deaggregation</w:t>
            </w:r>
            <w:proofErr w:type="spellEnd"/>
            <w:r w:rsidR="001D7F6C" w:rsidRPr="00637E5B">
              <w:rPr>
                <w:rFonts w:ascii="Arial" w:hAnsi="Arial" w:cs="Arial"/>
                <w:sz w:val="20"/>
                <w:szCs w:val="20"/>
              </w:rPr>
              <w:t xml:space="preserve"> tool, which produces </w:t>
            </w:r>
            <w:proofErr w:type="spellStart"/>
            <w:r w:rsidR="001D7F6C" w:rsidRPr="00637E5B">
              <w:rPr>
                <w:rFonts w:ascii="Arial" w:hAnsi="Arial" w:cs="Arial"/>
                <w:sz w:val="20"/>
                <w:szCs w:val="20"/>
              </w:rPr>
              <w:t>deaggregation</w:t>
            </w:r>
            <w:proofErr w:type="spellEnd"/>
            <w:r w:rsidR="001D7F6C" w:rsidRPr="00637E5B">
              <w:rPr>
                <w:rFonts w:ascii="Arial" w:hAnsi="Arial" w:cs="Arial"/>
                <w:sz w:val="20"/>
                <w:szCs w:val="20"/>
              </w:rPr>
              <w:t xml:space="preserve"> files at specified return periods using the 2014 USGS seismic source model. The tool also incorporates uncertainty in site response when developing hazard curves for </w:t>
            </w:r>
            <w:proofErr w:type="spellStart"/>
            <w:r w:rsidR="001D7F6C" w:rsidRPr="00637E5B">
              <w:rPr>
                <w:rFonts w:ascii="Arial" w:hAnsi="Arial" w:cs="Arial"/>
                <w:sz w:val="20"/>
                <w:szCs w:val="20"/>
              </w:rPr>
              <w:t>a</w:t>
            </w:r>
            <w:r w:rsidR="001D7F6C" w:rsidRPr="00DE359D">
              <w:rPr>
                <w:rFonts w:ascii="Arial" w:hAnsi="Arial" w:cs="Arial"/>
                <w:sz w:val="20"/>
                <w:szCs w:val="20"/>
                <w:vertAlign w:val="subscript"/>
              </w:rPr>
              <w:t>max</w:t>
            </w:r>
            <w:proofErr w:type="spellEnd"/>
            <w:r w:rsidR="001D7F6C" w:rsidRPr="00637E5B">
              <w:rPr>
                <w:rFonts w:ascii="Arial" w:hAnsi="Arial" w:cs="Arial"/>
                <w:sz w:val="20"/>
                <w:szCs w:val="20"/>
              </w:rPr>
              <w:t>.</w:t>
            </w:r>
          </w:p>
          <w:p w:rsidR="004202CA" w:rsidRDefault="00637E5B" w:rsidP="00716C86">
            <w:pPr>
              <w:spacing w:after="0" w:line="240" w:lineRule="auto"/>
              <w:rPr>
                <w:rFonts w:ascii="Arial" w:hAnsi="Arial" w:cs="Arial"/>
                <w:sz w:val="20"/>
                <w:szCs w:val="20"/>
              </w:rPr>
            </w:pPr>
            <w:r w:rsidRPr="00637E5B">
              <w:rPr>
                <w:rFonts w:ascii="Arial" w:hAnsi="Arial" w:cs="Arial"/>
                <w:sz w:val="20"/>
                <w:szCs w:val="20"/>
              </w:rPr>
              <w:t xml:space="preserve">The name of the new tool is </w:t>
            </w:r>
            <w:proofErr w:type="spellStart"/>
            <w:r w:rsidRPr="00637E5B">
              <w:rPr>
                <w:rFonts w:ascii="Arial" w:hAnsi="Arial" w:cs="Arial"/>
                <w:sz w:val="20"/>
                <w:szCs w:val="20"/>
              </w:rPr>
              <w:t>CPTLiquefY</w:t>
            </w:r>
            <w:proofErr w:type="spellEnd"/>
            <w:r w:rsidRPr="00637E5B">
              <w:rPr>
                <w:rFonts w:ascii="Arial" w:hAnsi="Arial" w:cs="Arial"/>
                <w:sz w:val="20"/>
                <w:szCs w:val="20"/>
              </w:rPr>
              <w:t xml:space="preserve">. The tool </w:t>
            </w:r>
            <w:r w:rsidR="00ED35BF" w:rsidRPr="00637E5B">
              <w:rPr>
                <w:rFonts w:ascii="Arial" w:hAnsi="Arial" w:cs="Arial"/>
                <w:sz w:val="20"/>
                <w:szCs w:val="20"/>
              </w:rPr>
              <w:t>is approx</w:t>
            </w:r>
            <w:r w:rsidR="001D7F6C" w:rsidRPr="00637E5B">
              <w:rPr>
                <w:rFonts w:ascii="Arial" w:hAnsi="Arial" w:cs="Arial"/>
                <w:sz w:val="20"/>
                <w:szCs w:val="20"/>
              </w:rPr>
              <w:t>imately 9</w:t>
            </w:r>
            <w:r w:rsidR="00ED35BF" w:rsidRPr="00637E5B">
              <w:rPr>
                <w:rFonts w:ascii="Arial" w:hAnsi="Arial" w:cs="Arial"/>
                <w:sz w:val="20"/>
                <w:szCs w:val="20"/>
              </w:rPr>
              <w:t>0% developed to date.</w:t>
            </w:r>
          </w:p>
          <w:p w:rsidR="00D05555" w:rsidRDefault="00D05555" w:rsidP="00716C86">
            <w:pPr>
              <w:spacing w:after="0" w:line="240" w:lineRule="auto"/>
              <w:rPr>
                <w:rFonts w:ascii="Arial" w:hAnsi="Arial" w:cs="Arial"/>
                <w:sz w:val="20"/>
                <w:szCs w:val="20"/>
              </w:rPr>
            </w:pPr>
          </w:p>
          <w:p w:rsidR="00D05555" w:rsidRDefault="00D05555" w:rsidP="00716C86">
            <w:pPr>
              <w:spacing w:after="0" w:line="240" w:lineRule="auto"/>
              <w:rPr>
                <w:rFonts w:ascii="Arial" w:hAnsi="Arial" w:cs="Arial"/>
                <w:sz w:val="20"/>
                <w:szCs w:val="20"/>
              </w:rPr>
            </w:pPr>
            <w:r>
              <w:rPr>
                <w:rFonts w:ascii="Arial" w:hAnsi="Arial" w:cs="Arial"/>
                <w:sz w:val="20"/>
                <w:szCs w:val="20"/>
              </w:rPr>
              <w:lastRenderedPageBreak/>
              <w:t>A TAC web-conference was held in September, providing an update on progress to the study TAC members.</w:t>
            </w:r>
          </w:p>
          <w:p w:rsidR="00716C86" w:rsidRPr="0078688E" w:rsidRDefault="00716C86" w:rsidP="004202CA">
            <w:pPr>
              <w:spacing w:after="0" w:line="240" w:lineRule="auto"/>
              <w:rPr>
                <w:rFonts w:ascii="Arial" w:hAnsi="Arial" w:cs="Arial"/>
                <w:sz w:val="20"/>
                <w:szCs w:val="20"/>
              </w:rPr>
            </w:pPr>
            <w:bookmarkStart w:id="0" w:name="_GoBack"/>
            <w:bookmarkEnd w:id="0"/>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215F63" w:rsidP="00215F63">
            <w:pPr>
              <w:keepNext/>
              <w:keepLines/>
              <w:tabs>
                <w:tab w:val="left" w:pos="7567"/>
              </w:tabs>
              <w:spacing w:after="0" w:line="240" w:lineRule="auto"/>
              <w:rPr>
                <w:rFonts w:ascii="Arial" w:hAnsi="Arial" w:cs="Arial"/>
                <w:sz w:val="20"/>
                <w:szCs w:val="20"/>
              </w:rPr>
            </w:pPr>
            <w:r>
              <w:rPr>
                <w:rFonts w:ascii="Arial" w:hAnsi="Arial" w:cs="Arial"/>
                <w:sz w:val="20"/>
                <w:szCs w:val="20"/>
              </w:rPr>
              <w:tab/>
            </w:r>
          </w:p>
          <w:p w:rsidR="00926E5F" w:rsidRDefault="001D7F6C" w:rsidP="004202CA">
            <w:pPr>
              <w:spacing w:after="0" w:line="240" w:lineRule="auto"/>
              <w:rPr>
                <w:rFonts w:ascii="Arial" w:hAnsi="Arial" w:cs="Arial"/>
                <w:sz w:val="20"/>
                <w:szCs w:val="20"/>
              </w:rPr>
            </w:pPr>
            <w:r w:rsidRPr="00637E5B">
              <w:rPr>
                <w:rFonts w:ascii="Arial" w:hAnsi="Arial" w:cs="Arial"/>
                <w:sz w:val="20"/>
                <w:szCs w:val="20"/>
              </w:rPr>
              <w:t xml:space="preserve">BYU will </w:t>
            </w:r>
            <w:r w:rsidR="00637E5B" w:rsidRPr="00637E5B">
              <w:rPr>
                <w:rFonts w:ascii="Arial" w:hAnsi="Arial" w:cs="Arial"/>
                <w:sz w:val="20"/>
                <w:szCs w:val="20"/>
              </w:rPr>
              <w:t xml:space="preserve">perform validations with </w:t>
            </w:r>
            <w:proofErr w:type="spellStart"/>
            <w:r w:rsidR="00637E5B" w:rsidRPr="00637E5B">
              <w:rPr>
                <w:rFonts w:ascii="Arial" w:hAnsi="Arial" w:cs="Arial"/>
                <w:sz w:val="20"/>
                <w:szCs w:val="20"/>
              </w:rPr>
              <w:t>CPTLiquefY</w:t>
            </w:r>
            <w:proofErr w:type="spellEnd"/>
            <w:r w:rsidR="00637E5B" w:rsidRPr="00637E5B">
              <w:rPr>
                <w:rFonts w:ascii="Arial" w:hAnsi="Arial" w:cs="Arial"/>
                <w:sz w:val="20"/>
                <w:szCs w:val="20"/>
              </w:rPr>
              <w:t>. Comparisons will be performed between performance-based and pseudo-probabilistic liquefaction hazard calculations.</w:t>
            </w:r>
            <w:r w:rsidR="00637E5B">
              <w:rPr>
                <w:rFonts w:ascii="Arial" w:hAnsi="Arial" w:cs="Arial"/>
                <w:sz w:val="20"/>
                <w:szCs w:val="20"/>
              </w:rPr>
              <w:t xml:space="preserve"> </w:t>
            </w:r>
          </w:p>
          <w:p w:rsidR="004202CA" w:rsidRPr="0078688E" w:rsidRDefault="004202CA" w:rsidP="004202CA">
            <w:pPr>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637E5B" w:rsidRDefault="00637E5B" w:rsidP="00D52F90">
            <w:pPr>
              <w:spacing w:after="0" w:line="240" w:lineRule="auto"/>
              <w:rPr>
                <w:rFonts w:ascii="Arial" w:hAnsi="Arial" w:cs="Arial"/>
                <w:sz w:val="20"/>
                <w:szCs w:val="20"/>
              </w:rPr>
            </w:pPr>
            <w:r>
              <w:rPr>
                <w:rFonts w:ascii="Arial" w:hAnsi="Arial" w:cs="Arial"/>
                <w:sz w:val="20"/>
                <w:szCs w:val="20"/>
              </w:rPr>
              <w:t xml:space="preserve">An analytical tool to perform performance-based liquefaction hazard evaluation using the CPT has been developed. </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ED35BF" w:rsidP="00360664">
            <w:pPr>
              <w:spacing w:after="0" w:line="240" w:lineRule="auto"/>
              <w:rPr>
                <w:rFonts w:ascii="Arial" w:hAnsi="Arial" w:cs="Arial"/>
                <w:sz w:val="20"/>
                <w:szCs w:val="20"/>
              </w:rPr>
            </w:pPr>
            <w:r w:rsidRPr="00637E5B">
              <w:rPr>
                <w:rFonts w:ascii="Arial" w:hAnsi="Arial" w:cs="Arial"/>
                <w:sz w:val="20"/>
                <w:szCs w:val="20"/>
              </w:rPr>
              <w:t>None to report.</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ED35BF" w:rsidP="00360664">
            <w:pPr>
              <w:spacing w:after="0" w:line="240" w:lineRule="auto"/>
              <w:rPr>
                <w:rFonts w:ascii="Arial" w:hAnsi="Arial" w:cs="Arial"/>
                <w:sz w:val="20"/>
                <w:szCs w:val="20"/>
              </w:rPr>
            </w:pPr>
            <w:r w:rsidRPr="00637E5B">
              <w:rPr>
                <w:rFonts w:ascii="Arial" w:hAnsi="Arial" w:cs="Arial"/>
                <w:sz w:val="20"/>
                <w:szCs w:val="20"/>
              </w:rPr>
              <w:t>None to report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F9" w:rsidRDefault="00F955F9" w:rsidP="00106C83">
      <w:pPr>
        <w:spacing w:after="0" w:line="240" w:lineRule="auto"/>
      </w:pPr>
      <w:r>
        <w:separator/>
      </w:r>
    </w:p>
  </w:endnote>
  <w:endnote w:type="continuationSeparator" w:id="0">
    <w:p w:rsidR="00F955F9" w:rsidRDefault="00F955F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02" w:rsidRDefault="001F3C02" w:rsidP="00E371D1">
    <w:pPr>
      <w:pStyle w:val="Footer"/>
      <w:ind w:left="-810"/>
    </w:pPr>
    <w:r>
      <w:t>TPF Program Standard Quarterly Reporting Format – 7/2011</w:t>
    </w:r>
  </w:p>
  <w:p w:rsidR="001F3C02" w:rsidRDefault="001F3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F9" w:rsidRDefault="00F955F9" w:rsidP="00106C83">
      <w:pPr>
        <w:spacing w:after="0" w:line="240" w:lineRule="auto"/>
      </w:pPr>
      <w:r>
        <w:separator/>
      </w:r>
    </w:p>
  </w:footnote>
  <w:footnote w:type="continuationSeparator" w:id="0">
    <w:p w:rsidR="00F955F9" w:rsidRDefault="00F955F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05F4"/>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615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4E36"/>
    <w:rsid w:val="00165AF3"/>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C03A1"/>
    <w:rsid w:val="001C0A2C"/>
    <w:rsid w:val="001C0E72"/>
    <w:rsid w:val="001C1DDE"/>
    <w:rsid w:val="001C1E3F"/>
    <w:rsid w:val="001C6EFD"/>
    <w:rsid w:val="001C7724"/>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2101B"/>
    <w:rsid w:val="00221214"/>
    <w:rsid w:val="00225004"/>
    <w:rsid w:val="0023315F"/>
    <w:rsid w:val="00236961"/>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2CA"/>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4EBA"/>
    <w:rsid w:val="00475B6A"/>
    <w:rsid w:val="00476BA3"/>
    <w:rsid w:val="00480AC3"/>
    <w:rsid w:val="004828D8"/>
    <w:rsid w:val="004846CC"/>
    <w:rsid w:val="004913CE"/>
    <w:rsid w:val="00492C17"/>
    <w:rsid w:val="004974E1"/>
    <w:rsid w:val="004A3ABB"/>
    <w:rsid w:val="004A5173"/>
    <w:rsid w:val="004B003D"/>
    <w:rsid w:val="004B3E34"/>
    <w:rsid w:val="004D5EEE"/>
    <w:rsid w:val="004D6151"/>
    <w:rsid w:val="004D6DF5"/>
    <w:rsid w:val="004E14DC"/>
    <w:rsid w:val="004E4852"/>
    <w:rsid w:val="004E4A6C"/>
    <w:rsid w:val="004E6402"/>
    <w:rsid w:val="004E771A"/>
    <w:rsid w:val="004F173B"/>
    <w:rsid w:val="004F586D"/>
    <w:rsid w:val="00501478"/>
    <w:rsid w:val="005030A0"/>
    <w:rsid w:val="00504F10"/>
    <w:rsid w:val="005066DA"/>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7E5B"/>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5420"/>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16C86"/>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7DF3"/>
    <w:rsid w:val="0096036D"/>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56759"/>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033F"/>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555"/>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72D13"/>
    <w:rsid w:val="00D73308"/>
    <w:rsid w:val="00D73367"/>
    <w:rsid w:val="00D74CFF"/>
    <w:rsid w:val="00D8797B"/>
    <w:rsid w:val="00D905D6"/>
    <w:rsid w:val="00D91105"/>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359D"/>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39FD"/>
    <w:rsid w:val="00F84450"/>
    <w:rsid w:val="00F84E5A"/>
    <w:rsid w:val="00F91EE4"/>
    <w:rsid w:val="00F93966"/>
    <w:rsid w:val="00F955F9"/>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EB81-36D0-45ED-9D02-AC06F692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976</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26</cp:revision>
  <cp:lastPrinted>2011-06-21T20:32:00Z</cp:lastPrinted>
  <dcterms:created xsi:type="dcterms:W3CDTF">2016-11-02T00:59:00Z</dcterms:created>
  <dcterms:modified xsi:type="dcterms:W3CDTF">2016-11-02T01:11:00Z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