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A44721" w:rsidRDefault="000C209F" w:rsidP="00360664">
            <w:pPr>
              <w:spacing w:after="0" w:line="240" w:lineRule="auto"/>
              <w:ind w:left="-108" w:right="-720"/>
              <w:rPr>
                <w:rFonts w:ascii="Arial" w:hAnsi="Arial" w:cs="Arial"/>
                <w:sz w:val="20"/>
                <w:szCs w:val="20"/>
              </w:rPr>
            </w:pPr>
            <w:r w:rsidRPr="00A44721">
              <w:rPr>
                <w:rFonts w:ascii="Arial" w:hAnsi="Arial" w:cs="Arial"/>
                <w:sz w:val="36"/>
                <w:szCs w:val="36"/>
              </w:rPr>
              <w:t xml:space="preserve"> </w:t>
            </w:r>
            <w:r w:rsidR="00A44721" w:rsidRPr="00A44721">
              <w:rPr>
                <w:rFonts w:ascii="Arial" w:hAnsi="Arial" w:cs="Arial"/>
                <w:sz w:val="36"/>
                <w:szCs w:val="36"/>
                <w:u w:val="single"/>
              </w:rPr>
              <w:t>_</w:t>
            </w:r>
            <w:r w:rsidRPr="00A44721">
              <w:rPr>
                <w:rFonts w:ascii="Arial" w:hAnsi="Arial" w:cs="Arial"/>
                <w:sz w:val="36"/>
                <w:szCs w:val="36"/>
              </w:rPr>
              <w:t xml:space="preserve"> </w:t>
            </w:r>
            <w:r w:rsidRPr="00A44721">
              <w:rPr>
                <w:rFonts w:ascii="Arial" w:hAnsi="Arial" w:cs="Arial"/>
                <w:sz w:val="20"/>
                <w:szCs w:val="20"/>
              </w:rPr>
              <w:t>Quarter 1 (January 1 – March 31</w:t>
            </w:r>
            <w:r w:rsidR="005C75FE" w:rsidRPr="00A44721">
              <w:rPr>
                <w:rFonts w:ascii="Arial" w:hAnsi="Arial" w:cs="Arial"/>
                <w:sz w:val="20"/>
                <w:szCs w:val="20"/>
              </w:rPr>
              <w:t xml:space="preserve">, </w:t>
            </w:r>
            <w:r w:rsidR="004E46AD" w:rsidRPr="00A44721">
              <w:rPr>
                <w:rFonts w:ascii="Arial" w:hAnsi="Arial" w:cs="Arial"/>
                <w:sz w:val="20"/>
                <w:szCs w:val="20"/>
              </w:rPr>
              <w:t>201</w:t>
            </w:r>
            <w:r w:rsidR="00087797" w:rsidRPr="00A44721">
              <w:rPr>
                <w:rFonts w:ascii="Arial" w:hAnsi="Arial" w:cs="Arial"/>
                <w:sz w:val="20"/>
                <w:szCs w:val="20"/>
              </w:rPr>
              <w:t>6</w:t>
            </w:r>
            <w:r w:rsidRPr="00A44721">
              <w:rPr>
                <w:rFonts w:ascii="Arial" w:hAnsi="Arial" w:cs="Arial"/>
                <w:sz w:val="20"/>
                <w:szCs w:val="20"/>
              </w:rPr>
              <w:t>)</w:t>
            </w:r>
          </w:p>
          <w:p w:rsidR="000C209F" w:rsidRPr="00351BD8" w:rsidRDefault="000C209F" w:rsidP="00360664">
            <w:pPr>
              <w:spacing w:after="0" w:line="240" w:lineRule="auto"/>
              <w:ind w:left="-108" w:right="-108"/>
              <w:rPr>
                <w:rFonts w:ascii="Arial" w:hAnsi="Arial" w:cs="Arial"/>
                <w:sz w:val="20"/>
                <w:szCs w:val="20"/>
              </w:rPr>
            </w:pPr>
            <w:r w:rsidRPr="00351BD8">
              <w:rPr>
                <w:rFonts w:ascii="Arial" w:hAnsi="Arial" w:cs="Arial"/>
                <w:sz w:val="36"/>
                <w:szCs w:val="36"/>
              </w:rPr>
              <w:t xml:space="preserve"> </w:t>
            </w:r>
            <w:r w:rsidR="00351BD8" w:rsidRPr="00351BD8">
              <w:rPr>
                <w:rFonts w:ascii="Arial" w:hAnsi="Arial" w:cs="Arial"/>
                <w:sz w:val="36"/>
                <w:szCs w:val="36"/>
              </w:rPr>
              <w:t>_</w:t>
            </w:r>
            <w:r w:rsidR="00B5625E" w:rsidRPr="00351BD8">
              <w:rPr>
                <w:rFonts w:ascii="Arial" w:hAnsi="Arial" w:cs="Arial"/>
                <w:sz w:val="36"/>
                <w:szCs w:val="36"/>
              </w:rPr>
              <w:t xml:space="preserve"> </w:t>
            </w:r>
            <w:r w:rsidRPr="00351BD8">
              <w:rPr>
                <w:rFonts w:ascii="Arial" w:hAnsi="Arial" w:cs="Arial"/>
                <w:sz w:val="20"/>
                <w:szCs w:val="20"/>
              </w:rPr>
              <w:t>Quarter 2 (April 1 – June 30</w:t>
            </w:r>
            <w:r w:rsidR="002C4321" w:rsidRPr="00351BD8">
              <w:rPr>
                <w:rFonts w:ascii="Arial" w:hAnsi="Arial" w:cs="Arial"/>
                <w:sz w:val="20"/>
                <w:szCs w:val="20"/>
              </w:rPr>
              <w:t>, 201</w:t>
            </w:r>
            <w:r w:rsidR="00087797" w:rsidRPr="00351BD8">
              <w:rPr>
                <w:rFonts w:ascii="Arial" w:hAnsi="Arial" w:cs="Arial"/>
                <w:sz w:val="20"/>
                <w:szCs w:val="20"/>
              </w:rPr>
              <w:t>6</w:t>
            </w:r>
            <w:r w:rsidRPr="00351BD8">
              <w:rPr>
                <w:rFonts w:ascii="Arial" w:hAnsi="Arial" w:cs="Arial"/>
                <w:sz w:val="20"/>
                <w:szCs w:val="20"/>
              </w:rPr>
              <w:t>)</w:t>
            </w:r>
          </w:p>
          <w:p w:rsidR="000C209F" w:rsidRPr="00351BD8" w:rsidRDefault="00351BD8" w:rsidP="00360664">
            <w:pPr>
              <w:spacing w:after="0" w:line="240" w:lineRule="auto"/>
              <w:ind w:right="-720"/>
              <w:rPr>
                <w:rFonts w:ascii="Arial" w:hAnsi="Arial" w:cs="Arial"/>
                <w:b/>
                <w:sz w:val="20"/>
                <w:szCs w:val="20"/>
              </w:rPr>
            </w:pPr>
            <w:r w:rsidRPr="00351BD8">
              <w:rPr>
                <w:rFonts w:ascii="Arial" w:hAnsi="Arial" w:cs="Arial"/>
                <w:b/>
                <w:sz w:val="36"/>
                <w:szCs w:val="36"/>
                <w:u w:val="single"/>
              </w:rPr>
              <w:t>x</w:t>
            </w:r>
            <w:r w:rsidR="000C209F" w:rsidRPr="00351BD8">
              <w:rPr>
                <w:rFonts w:ascii="Arial" w:hAnsi="Arial" w:cs="Arial"/>
                <w:b/>
                <w:sz w:val="36"/>
                <w:szCs w:val="36"/>
              </w:rPr>
              <w:t xml:space="preserve"> </w:t>
            </w:r>
            <w:r w:rsidR="000C209F" w:rsidRPr="00351BD8">
              <w:rPr>
                <w:rFonts w:ascii="Arial" w:hAnsi="Arial" w:cs="Arial"/>
                <w:b/>
                <w:sz w:val="20"/>
                <w:szCs w:val="20"/>
              </w:rPr>
              <w:t>Quarter 3 (July 1 – September 30</w:t>
            </w:r>
            <w:r w:rsidR="002C4321" w:rsidRPr="00351BD8">
              <w:rPr>
                <w:rFonts w:ascii="Arial" w:hAnsi="Arial" w:cs="Arial"/>
                <w:b/>
                <w:sz w:val="20"/>
                <w:szCs w:val="20"/>
              </w:rPr>
              <w:t>, 201</w:t>
            </w:r>
            <w:r w:rsidR="00087797" w:rsidRPr="00351BD8">
              <w:rPr>
                <w:rFonts w:ascii="Arial" w:hAnsi="Arial" w:cs="Arial"/>
                <w:b/>
                <w:sz w:val="20"/>
                <w:szCs w:val="20"/>
              </w:rPr>
              <w:t>6</w:t>
            </w:r>
            <w:r w:rsidR="000C209F" w:rsidRPr="00351BD8">
              <w:rPr>
                <w:rFonts w:ascii="Arial" w:hAnsi="Arial" w:cs="Arial"/>
                <w:b/>
                <w:sz w:val="20"/>
                <w:szCs w:val="20"/>
              </w:rPr>
              <w:t>)</w:t>
            </w:r>
          </w:p>
          <w:p w:rsidR="000C209F" w:rsidRPr="00087797" w:rsidRDefault="00087797" w:rsidP="00087797">
            <w:pPr>
              <w:spacing w:after="0" w:line="240" w:lineRule="auto"/>
              <w:ind w:right="-720"/>
              <w:rPr>
                <w:rFonts w:ascii="Arial" w:hAnsi="Arial" w:cs="Arial"/>
                <w:sz w:val="20"/>
                <w:szCs w:val="20"/>
              </w:rPr>
            </w:pPr>
            <w:r w:rsidRPr="00FE7EF8">
              <w:rPr>
                <w:rFonts w:ascii="Arial" w:hAnsi="Arial" w:cs="Arial"/>
                <w:sz w:val="36"/>
                <w:szCs w:val="36"/>
              </w:rPr>
              <w:t>_</w:t>
            </w:r>
            <w:r w:rsidR="002718CD" w:rsidRPr="00087797">
              <w:rPr>
                <w:rFonts w:ascii="Arial" w:hAnsi="Arial" w:cs="Arial"/>
                <w:sz w:val="36"/>
                <w:szCs w:val="36"/>
              </w:rPr>
              <w:t xml:space="preserve"> </w:t>
            </w:r>
            <w:r w:rsidR="000C209F" w:rsidRPr="00087797">
              <w:rPr>
                <w:rFonts w:ascii="Arial" w:hAnsi="Arial" w:cs="Arial"/>
                <w:sz w:val="20"/>
                <w:szCs w:val="20"/>
              </w:rPr>
              <w:t xml:space="preserve">Quarter </w:t>
            </w:r>
            <w:r w:rsidR="005C75FE" w:rsidRPr="00087797">
              <w:rPr>
                <w:rFonts w:ascii="Arial" w:hAnsi="Arial" w:cs="Arial"/>
                <w:sz w:val="20"/>
                <w:szCs w:val="20"/>
              </w:rPr>
              <w:t>4 (October 1 – December 31</w:t>
            </w:r>
            <w:r w:rsidR="002C4321" w:rsidRPr="00087797">
              <w:rPr>
                <w:rFonts w:ascii="Arial" w:hAnsi="Arial" w:cs="Arial"/>
                <w:sz w:val="20"/>
                <w:szCs w:val="20"/>
              </w:rPr>
              <w:t>, 201</w:t>
            </w:r>
            <w:r>
              <w:rPr>
                <w:rFonts w:ascii="Arial" w:hAnsi="Arial" w:cs="Arial"/>
                <w:sz w:val="20"/>
                <w:szCs w:val="20"/>
              </w:rPr>
              <w:t>6</w:t>
            </w:r>
            <w:r w:rsidR="000C209F" w:rsidRPr="00087797">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F63F5E">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F63F5E">
              <w:rPr>
                <w:rFonts w:ascii="Arial" w:hAnsi="Arial" w:cs="Arial"/>
                <w:sz w:val="20"/>
                <w:szCs w:val="20"/>
              </w:rPr>
              <w:t>December 30</w:t>
            </w:r>
            <w:r w:rsidR="0013366A" w:rsidRPr="00BA017A">
              <w:rPr>
                <w:rFonts w:ascii="Arial" w:hAnsi="Arial" w:cs="Arial"/>
                <w:sz w:val="20"/>
                <w:szCs w:val="20"/>
              </w:rPr>
              <w:t>,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471D8B"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471D8B">
              <w:rPr>
                <w:rFonts w:ascii="Arial" w:hAnsi="Arial" w:cs="Arial"/>
                <w:sz w:val="20"/>
                <w:szCs w:val="20"/>
              </w:rPr>
              <w:t>1</w:t>
            </w: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6D152C">
            <w:pPr>
              <w:spacing w:after="0" w:line="240" w:lineRule="auto"/>
              <w:ind w:left="-108" w:right="-108"/>
              <w:jc w:val="center"/>
              <w:rPr>
                <w:rFonts w:ascii="Arial" w:hAnsi="Arial" w:cs="Arial"/>
                <w:sz w:val="20"/>
                <w:szCs w:val="20"/>
              </w:rPr>
            </w:pPr>
            <w:r w:rsidRPr="00BA017A">
              <w:rPr>
                <w:rFonts w:ascii="Arial" w:hAnsi="Arial" w:cs="Arial"/>
                <w:sz w:val="20"/>
                <w:szCs w:val="20"/>
              </w:rPr>
              <w:t>$</w:t>
            </w:r>
            <w:r w:rsidR="006D152C">
              <w:rPr>
                <w:rFonts w:ascii="Arial" w:hAnsi="Arial" w:cs="Arial"/>
                <w:sz w:val="20"/>
                <w:szCs w:val="20"/>
              </w:rPr>
              <w:t>61</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rsidR="000C209F" w:rsidRPr="00BA017A" w:rsidRDefault="002037B0" w:rsidP="00360664">
            <w:pPr>
              <w:spacing w:after="0" w:line="240" w:lineRule="auto"/>
              <w:ind w:left="-108" w:right="-108"/>
              <w:jc w:val="center"/>
              <w:rPr>
                <w:rFonts w:ascii="Arial" w:hAnsi="Arial" w:cs="Arial"/>
                <w:sz w:val="20"/>
                <w:szCs w:val="20"/>
              </w:rPr>
            </w:pPr>
            <w:r>
              <w:rPr>
                <w:rFonts w:ascii="Arial" w:hAnsi="Arial" w:cs="Arial"/>
                <w:sz w:val="20"/>
                <w:szCs w:val="20"/>
              </w:rPr>
              <w:t>60</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237C6A"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rsidR="000C209F" w:rsidRPr="00BA017A" w:rsidRDefault="000C209F" w:rsidP="00237C6A">
            <w:pPr>
              <w:spacing w:after="0" w:line="240" w:lineRule="auto"/>
              <w:ind w:right="-108"/>
              <w:jc w:val="center"/>
              <w:rPr>
                <w:rFonts w:ascii="Arial" w:hAnsi="Arial" w:cs="Arial"/>
                <w:sz w:val="20"/>
                <w:szCs w:val="20"/>
              </w:rPr>
            </w:pPr>
            <w:r w:rsidRPr="00BA017A">
              <w:rPr>
                <w:rFonts w:ascii="Arial" w:hAnsi="Arial" w:cs="Arial"/>
                <w:sz w:val="20"/>
                <w:szCs w:val="20"/>
              </w:rPr>
              <w:t>$</w:t>
            </w:r>
            <w:r w:rsidR="00237C6A">
              <w:rPr>
                <w:rFonts w:ascii="Arial" w:hAnsi="Arial" w:cs="Arial"/>
                <w:sz w:val="20"/>
                <w:szCs w:val="20"/>
              </w:rPr>
              <w:t>0</w:t>
            </w:r>
          </w:p>
        </w:tc>
        <w:tc>
          <w:tcPr>
            <w:tcW w:w="3420" w:type="dxa"/>
          </w:tcPr>
          <w:p w:rsidR="000C209F" w:rsidRPr="00BA017A" w:rsidRDefault="00237C6A" w:rsidP="006D152C">
            <w:pPr>
              <w:spacing w:after="0" w:line="240" w:lineRule="auto"/>
              <w:ind w:left="-108" w:right="-108"/>
              <w:jc w:val="center"/>
              <w:rPr>
                <w:rFonts w:ascii="Arial" w:hAnsi="Arial" w:cs="Arial"/>
                <w:sz w:val="20"/>
                <w:szCs w:val="20"/>
              </w:rPr>
            </w:pPr>
            <w:r>
              <w:rPr>
                <w:rFonts w:ascii="Arial" w:hAnsi="Arial" w:cs="Arial"/>
                <w:sz w:val="20"/>
                <w:szCs w:val="20"/>
              </w:rPr>
              <w:t>9</w:t>
            </w:r>
            <w:r w:rsidR="006D152C">
              <w:rPr>
                <w:rFonts w:ascii="Arial" w:hAnsi="Arial" w:cs="Arial"/>
                <w:sz w:val="20"/>
                <w:szCs w:val="20"/>
              </w:rPr>
              <w:t>5</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w:t>
            </w:r>
            <w:proofErr w:type="spellStart"/>
            <w:r w:rsidR="00D119D4" w:rsidRPr="00BA017A">
              <w:rPr>
                <w:rFonts w:ascii="Arial" w:hAnsi="Arial" w:cs="Arial"/>
                <w:sz w:val="20"/>
                <w:szCs w:val="20"/>
              </w:rPr>
              <w:t>tele</w:t>
            </w:r>
            <w:proofErr w:type="spellEnd"/>
            <w:r w:rsidR="00D119D4" w:rsidRPr="00BA017A">
              <w:rPr>
                <w:rFonts w:ascii="Arial" w:hAnsi="Arial" w:cs="Arial"/>
                <w:sz w:val="20"/>
                <w:szCs w:val="20"/>
              </w:rPr>
              <w:t>-conference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Progress this Quarter (includes meetings, work plan status, contract status, significant progress, etc.):</w:t>
            </w:r>
          </w:p>
          <w:p w:rsidR="0075666E" w:rsidRDefault="0075666E" w:rsidP="00630F0C">
            <w:pPr>
              <w:spacing w:after="0" w:line="240" w:lineRule="auto"/>
              <w:rPr>
                <w:rFonts w:ascii="Arial" w:hAnsi="Arial" w:cs="Arial"/>
                <w:sz w:val="20"/>
                <w:szCs w:val="20"/>
              </w:rPr>
            </w:pPr>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C0697F">
              <w:rPr>
                <w:rFonts w:ascii="Arial" w:hAnsi="Arial" w:cs="Arial"/>
                <w:sz w:val="20"/>
                <w:szCs w:val="20"/>
              </w:rPr>
              <w:t>100% complete</w:t>
            </w:r>
            <w:r w:rsidR="00400E6C">
              <w:rPr>
                <w:rFonts w:ascii="Arial" w:hAnsi="Arial" w:cs="Arial"/>
                <w:sz w:val="20"/>
                <w:szCs w:val="20"/>
              </w:rPr>
              <w:t>.</w:t>
            </w:r>
            <w:r w:rsidR="00C57337">
              <w:rPr>
                <w:rFonts w:ascii="Arial" w:hAnsi="Arial" w:cs="Arial"/>
                <w:sz w:val="20"/>
                <w:szCs w:val="20"/>
              </w:rPr>
              <w:t xml:space="preserve">  </w:t>
            </w:r>
            <w:r w:rsidR="00F0699C">
              <w:rPr>
                <w:rFonts w:ascii="Arial" w:hAnsi="Arial" w:cs="Arial"/>
                <w:sz w:val="20"/>
                <w:szCs w:val="20"/>
              </w:rPr>
              <w:t>S</w:t>
            </w:r>
            <w:r w:rsidR="00C57337">
              <w:rPr>
                <w:rFonts w:ascii="Arial" w:hAnsi="Arial" w:cs="Arial"/>
                <w:sz w:val="20"/>
                <w:szCs w:val="20"/>
              </w:rPr>
              <w:t>ummary report was reviewed by the TAC</w:t>
            </w:r>
            <w:r w:rsidR="0054002B">
              <w:rPr>
                <w:rFonts w:ascii="Arial" w:hAnsi="Arial" w:cs="Arial"/>
                <w:sz w:val="20"/>
                <w:szCs w:val="20"/>
              </w:rPr>
              <w:t xml:space="preserve"> and revised by BYU</w:t>
            </w:r>
            <w:r w:rsidR="00C57337">
              <w:rPr>
                <w:rFonts w:ascii="Arial" w:hAnsi="Arial" w:cs="Arial"/>
                <w:sz w:val="20"/>
                <w:szCs w:val="20"/>
              </w:rPr>
              <w: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F0699C">
              <w:rPr>
                <w:rFonts w:ascii="Arial" w:hAnsi="Arial" w:cs="Arial"/>
                <w:sz w:val="20"/>
                <w:szCs w:val="20"/>
              </w:rPr>
              <w:t>5</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F0699C">
              <w:rPr>
                <w:rFonts w:ascii="Arial" w:hAnsi="Arial" w:cs="Arial"/>
                <w:sz w:val="20"/>
                <w:szCs w:val="20"/>
              </w:rPr>
              <w:t>2</w:t>
            </w:r>
            <w:r w:rsidR="004A130B">
              <w:rPr>
                <w:rFonts w:ascii="Arial" w:hAnsi="Arial" w:cs="Arial"/>
                <w:sz w:val="20"/>
                <w:szCs w:val="20"/>
              </w:rPr>
              <w:t>0% complete.  BYU prepared portions of the final report.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6147C0">
              <w:rPr>
                <w:rFonts w:ascii="Arial" w:hAnsi="Arial" w:cs="Arial"/>
                <w:sz w:val="20"/>
                <w:szCs w:val="20"/>
              </w:rPr>
              <w:t>4</w:t>
            </w:r>
            <w:r w:rsidR="00C10962" w:rsidRPr="000B0226">
              <w:rPr>
                <w:rFonts w:ascii="Arial" w:hAnsi="Arial" w:cs="Arial"/>
                <w:sz w:val="20"/>
                <w:szCs w:val="20"/>
              </w:rPr>
              <w:t>0</w:t>
            </w:r>
            <w:r w:rsidR="00C006F1" w:rsidRPr="000B0226">
              <w:rPr>
                <w:rFonts w:ascii="Arial" w:hAnsi="Arial" w:cs="Arial"/>
                <w:sz w:val="20"/>
                <w:szCs w:val="20"/>
              </w:rPr>
              <w:t>% complete.</w:t>
            </w:r>
          </w:p>
          <w:p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A654AE">
              <w:rPr>
                <w:rFonts w:ascii="Arial" w:hAnsi="Arial" w:cs="Arial"/>
                <w:sz w:val="20"/>
                <w:szCs w:val="20"/>
              </w:rPr>
              <w:t>No adjustment</w:t>
            </w:r>
            <w:r w:rsidR="00212271">
              <w:rPr>
                <w:rFonts w:ascii="Arial" w:hAnsi="Arial" w:cs="Arial"/>
                <w:sz w:val="20"/>
                <w:szCs w:val="20"/>
              </w:rPr>
              <w:t>.</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Anticipated work next quarter</w:t>
            </w:r>
            <w:r w:rsidRPr="009D13DC">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C46B55">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p>
          <w:p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C46B55">
              <w:rPr>
                <w:rFonts w:ascii="Arial" w:hAnsi="Arial" w:cs="Arial"/>
                <w:sz w:val="20"/>
                <w:szCs w:val="20"/>
              </w:rPr>
              <w:t>Continue preparing portions of the final report.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056C80" w:rsidRPr="000B0226">
              <w:rPr>
                <w:rFonts w:ascii="Arial" w:hAnsi="Arial" w:cs="Arial"/>
                <w:sz w:val="20"/>
                <w:szCs w:val="20"/>
              </w:rPr>
              <w:t xml:space="preserve">additional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r w:rsidR="004A130B">
              <w:rPr>
                <w:rFonts w:ascii="Arial" w:hAnsi="Arial" w:cs="Arial"/>
                <w:sz w:val="20"/>
                <w:szCs w:val="20"/>
              </w:rPr>
              <w:t xml:space="preserve">  Consider </w:t>
            </w:r>
            <w:r w:rsidR="004A130B" w:rsidRPr="004A130B">
              <w:rPr>
                <w:rFonts w:ascii="Arial" w:hAnsi="Arial" w:cs="Arial"/>
                <w:sz w:val="20"/>
                <w:szCs w:val="20"/>
              </w:rPr>
              <w:t xml:space="preserve">having Dr. Rollins travel to each participating </w:t>
            </w:r>
            <w:r w:rsidR="004A130B">
              <w:rPr>
                <w:rFonts w:ascii="Arial" w:hAnsi="Arial" w:cs="Arial"/>
                <w:sz w:val="20"/>
                <w:szCs w:val="20"/>
              </w:rPr>
              <w:t xml:space="preserve">state to present final results </w:t>
            </w:r>
            <w:r w:rsidR="004A130B" w:rsidRPr="004A130B">
              <w:rPr>
                <w:rFonts w:ascii="Arial" w:hAnsi="Arial" w:cs="Arial"/>
                <w:sz w:val="20"/>
                <w:szCs w:val="20"/>
              </w:rPr>
              <w:t>as states consider how best to implement the research results.</w:t>
            </w:r>
          </w:p>
          <w:p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F60468">
              <w:rPr>
                <w:rFonts w:ascii="Arial" w:hAnsi="Arial" w:cs="Arial"/>
                <w:sz w:val="20"/>
                <w:szCs w:val="20"/>
              </w:rPr>
              <w:t>Consider extending the contract end date to allow for report completion and reviews.</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1"/>
      </w:tblGrid>
      <w:tr w:rsidR="000C209F" w:rsidRPr="00BA017A" w:rsidTr="0065129D">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C03E25" w:rsidRDefault="00C03E25" w:rsidP="00360664">
            <w:pPr>
              <w:spacing w:after="0" w:line="240" w:lineRule="auto"/>
              <w:rPr>
                <w:rFonts w:ascii="Arial" w:hAnsi="Arial" w:cs="Arial"/>
                <w:b/>
                <w:sz w:val="20"/>
                <w:szCs w:val="20"/>
              </w:rPr>
            </w:pPr>
          </w:p>
          <w:p w:rsidR="00C03E25" w:rsidRPr="00C03E25" w:rsidRDefault="00C03E25" w:rsidP="00360664">
            <w:pPr>
              <w:spacing w:after="0" w:line="240" w:lineRule="auto"/>
              <w:rPr>
                <w:rFonts w:ascii="Arial" w:hAnsi="Arial" w:cs="Arial"/>
                <w:sz w:val="20"/>
                <w:szCs w:val="20"/>
              </w:rPr>
            </w:pPr>
            <w:r>
              <w:rPr>
                <w:rFonts w:ascii="Arial" w:hAnsi="Arial" w:cs="Arial"/>
                <w:sz w:val="20"/>
                <w:szCs w:val="20"/>
              </w:rPr>
              <w:t>Using displacement and acceleration data measured at each ring of the laminar shear box, the cyclic shear strain and cyclic shear stress were computed for</w:t>
            </w:r>
            <w:r w:rsidR="00E125CE">
              <w:rPr>
                <w:rFonts w:ascii="Arial" w:hAnsi="Arial" w:cs="Arial"/>
                <w:sz w:val="20"/>
                <w:szCs w:val="20"/>
              </w:rPr>
              <w:t xml:space="preserve"> each cycle of loading at the elevation of the pore pressure transducers for nine of the shaking tests performed.  Cyclic shear stress vs. shear strain curves were then used to compute the shear modulus for each cycle and the shear modulus was normalized by the shear modulus at a strain of 0.0001 strain based on shear wave velocity tests. Fig. 1 provides a plot of the G/Go vs. cyclic shear strain data points obtained from the laminar shear box tests where the excess pore pressure ratio, </w:t>
            </w:r>
            <w:proofErr w:type="spellStart"/>
            <w:r w:rsidR="00E125CE">
              <w:rPr>
                <w:rFonts w:ascii="Arial" w:hAnsi="Arial" w:cs="Arial"/>
                <w:sz w:val="20"/>
                <w:szCs w:val="20"/>
              </w:rPr>
              <w:t>R</w:t>
            </w:r>
            <w:r w:rsidR="00E125CE" w:rsidRPr="00E125CE">
              <w:rPr>
                <w:rFonts w:ascii="Arial" w:hAnsi="Arial" w:cs="Arial"/>
                <w:sz w:val="20"/>
                <w:szCs w:val="20"/>
                <w:vertAlign w:val="subscript"/>
              </w:rPr>
              <w:t>u</w:t>
            </w:r>
            <w:proofErr w:type="spellEnd"/>
            <w:r w:rsidR="00E125CE">
              <w:rPr>
                <w:rFonts w:ascii="Arial" w:hAnsi="Arial" w:cs="Arial"/>
                <w:sz w:val="20"/>
                <w:szCs w:val="20"/>
              </w:rPr>
              <w:t>, was less than 60%.  The</w:t>
            </w:r>
            <w:r w:rsidR="002B084F">
              <w:rPr>
                <w:rFonts w:ascii="Arial" w:hAnsi="Arial" w:cs="Arial"/>
                <w:sz w:val="20"/>
                <w:szCs w:val="20"/>
              </w:rPr>
              <w:t>se</w:t>
            </w:r>
            <w:r w:rsidR="00E125CE">
              <w:rPr>
                <w:rFonts w:ascii="Arial" w:hAnsi="Arial" w:cs="Arial"/>
                <w:sz w:val="20"/>
                <w:szCs w:val="20"/>
              </w:rPr>
              <w:t xml:space="preserve"> data points </w:t>
            </w:r>
            <w:r w:rsidR="002B084F">
              <w:rPr>
                <w:rFonts w:ascii="Arial" w:hAnsi="Arial" w:cs="Arial"/>
                <w:sz w:val="20"/>
                <w:szCs w:val="20"/>
              </w:rPr>
              <w:t xml:space="preserve">are </w:t>
            </w:r>
            <w:r w:rsidR="00E125CE">
              <w:rPr>
                <w:rFonts w:ascii="Arial" w:hAnsi="Arial" w:cs="Arial"/>
                <w:sz w:val="20"/>
                <w:szCs w:val="20"/>
              </w:rPr>
              <w:t>shown in comparison with the typical range of data for sand</w:t>
            </w:r>
            <w:r w:rsidR="002B084F">
              <w:rPr>
                <w:rFonts w:ascii="Arial" w:hAnsi="Arial" w:cs="Arial"/>
                <w:sz w:val="20"/>
                <w:szCs w:val="20"/>
              </w:rPr>
              <w:t>s</w:t>
            </w:r>
            <w:r w:rsidR="00E125CE">
              <w:rPr>
                <w:rFonts w:ascii="Arial" w:hAnsi="Arial" w:cs="Arial"/>
                <w:sz w:val="20"/>
                <w:szCs w:val="20"/>
              </w:rPr>
              <w:t xml:space="preserve"> with </w:t>
            </w:r>
            <w:proofErr w:type="gramStart"/>
            <w:r w:rsidR="00E125CE">
              <w:rPr>
                <w:rFonts w:ascii="Arial" w:hAnsi="Arial" w:cs="Arial"/>
                <w:sz w:val="20"/>
                <w:szCs w:val="20"/>
              </w:rPr>
              <w:t>an</w:t>
            </w:r>
            <w:proofErr w:type="gramEnd"/>
            <w:r w:rsidR="00E125CE">
              <w:rPr>
                <w:rFonts w:ascii="Arial" w:hAnsi="Arial" w:cs="Arial"/>
                <w:sz w:val="20"/>
                <w:szCs w:val="20"/>
              </w:rPr>
              <w:t xml:space="preserve"> </w:t>
            </w:r>
            <w:proofErr w:type="spellStart"/>
            <w:r w:rsidR="00E125CE">
              <w:rPr>
                <w:rFonts w:ascii="Arial" w:hAnsi="Arial" w:cs="Arial"/>
                <w:sz w:val="20"/>
                <w:szCs w:val="20"/>
              </w:rPr>
              <w:t>Ru</w:t>
            </w:r>
            <w:proofErr w:type="spellEnd"/>
            <w:r w:rsidR="00E125CE">
              <w:rPr>
                <w:rFonts w:ascii="Arial" w:hAnsi="Arial" w:cs="Arial"/>
                <w:sz w:val="20"/>
                <w:szCs w:val="20"/>
              </w:rPr>
              <w:t xml:space="preserve">=0 developed from </w:t>
            </w:r>
            <w:proofErr w:type="spellStart"/>
            <w:r w:rsidR="00E125CE">
              <w:rPr>
                <w:rFonts w:ascii="Arial" w:hAnsi="Arial" w:cs="Arial"/>
                <w:sz w:val="20"/>
                <w:szCs w:val="20"/>
              </w:rPr>
              <w:t>triaxial</w:t>
            </w:r>
            <w:proofErr w:type="spellEnd"/>
            <w:r w:rsidR="00E125CE">
              <w:rPr>
                <w:rFonts w:ascii="Arial" w:hAnsi="Arial" w:cs="Arial"/>
                <w:sz w:val="20"/>
                <w:szCs w:val="20"/>
              </w:rPr>
              <w:t xml:space="preserve"> shear tests by</w:t>
            </w:r>
            <w:r w:rsidR="002B084F">
              <w:rPr>
                <w:rFonts w:ascii="Arial" w:hAnsi="Arial" w:cs="Arial"/>
                <w:sz w:val="20"/>
                <w:szCs w:val="20"/>
              </w:rPr>
              <w:t xml:space="preserve"> Seed et al (1986) in </w:t>
            </w:r>
            <w:r w:rsidR="00E125CE">
              <w:rPr>
                <w:rFonts w:ascii="Arial" w:hAnsi="Arial" w:cs="Arial"/>
                <w:sz w:val="20"/>
                <w:szCs w:val="20"/>
              </w:rPr>
              <w:t>Fig.1</w:t>
            </w:r>
            <w:r w:rsidR="002B084F">
              <w:rPr>
                <w:rFonts w:ascii="Arial" w:hAnsi="Arial" w:cs="Arial"/>
                <w:sz w:val="20"/>
                <w:szCs w:val="20"/>
              </w:rPr>
              <w:t>.</w:t>
            </w:r>
            <w:r w:rsidR="00E125CE">
              <w:rPr>
                <w:rFonts w:ascii="Arial" w:hAnsi="Arial" w:cs="Arial"/>
                <w:sz w:val="20"/>
                <w:szCs w:val="20"/>
              </w:rPr>
              <w:t xml:space="preserve">   </w:t>
            </w:r>
          </w:p>
          <w:p w:rsidR="0065129D" w:rsidRDefault="0065129D" w:rsidP="00360664">
            <w:pPr>
              <w:spacing w:after="0" w:line="240" w:lineRule="auto"/>
              <w:rPr>
                <w:rFonts w:ascii="Arial" w:hAnsi="Arial" w:cs="Arial"/>
                <w:b/>
                <w:sz w:val="20"/>
                <w:szCs w:val="20"/>
              </w:rPr>
            </w:pPr>
          </w:p>
          <w:p w:rsidR="009E7D51" w:rsidRDefault="00C03E25" w:rsidP="00360664">
            <w:pPr>
              <w:spacing w:after="0" w:line="240" w:lineRule="auto"/>
              <w:rPr>
                <w:rFonts w:ascii="Arial" w:hAnsi="Arial" w:cs="Arial"/>
                <w:b/>
                <w:sz w:val="20"/>
                <w:szCs w:val="20"/>
              </w:rPr>
            </w:pPr>
            <w:r w:rsidRPr="00B00AC2">
              <w:rPr>
                <w:rFonts w:ascii="Arial" w:hAnsi="Arial" w:cs="Arial"/>
                <w:b/>
                <w:noProof/>
                <w:sz w:val="20"/>
                <w:szCs w:val="20"/>
              </w:rPr>
              <mc:AlternateContent>
                <mc:Choice Requires="wps">
                  <w:drawing>
                    <wp:anchor distT="0" distB="0" distL="114300" distR="114300" simplePos="0" relativeHeight="251672064" behindDoc="0" locked="0" layoutInCell="1" allowOverlap="1" wp14:anchorId="5D71DA8D" wp14:editId="73DA286A">
                      <wp:simplePos x="0" y="0"/>
                      <wp:positionH relativeFrom="column">
                        <wp:posOffset>2357120</wp:posOffset>
                      </wp:positionH>
                      <wp:positionV relativeFrom="paragraph">
                        <wp:posOffset>537210</wp:posOffset>
                      </wp:positionV>
                      <wp:extent cx="603250" cy="194310"/>
                      <wp:effectExtent l="38100" t="0" r="25400" b="53340"/>
                      <wp:wrapNone/>
                      <wp:docPr id="8" name="Freeform 18"/>
                      <wp:cNvGraphicFramePr/>
                      <a:graphic xmlns:a="http://schemas.openxmlformats.org/drawingml/2006/main">
                        <a:graphicData uri="http://schemas.microsoft.com/office/word/2010/wordprocessingShape">
                          <wps:wsp>
                            <wps:cNvSpPr/>
                            <wps:spPr>
                              <a:xfrm>
                                <a:off x="0" y="0"/>
                                <a:ext cx="603250" cy="194310"/>
                              </a:xfrm>
                              <a:custGeom>
                                <a:avLst/>
                                <a:gdLst>
                                  <a:gd name="connsiteX0" fmla="*/ 685800 w 685800"/>
                                  <a:gd name="connsiteY0" fmla="*/ 7620 h 137160"/>
                                  <a:gd name="connsiteX1" fmla="*/ 259080 w 685800"/>
                                  <a:gd name="connsiteY1" fmla="*/ 0 h 137160"/>
                                  <a:gd name="connsiteX2" fmla="*/ 22860 w 685800"/>
                                  <a:gd name="connsiteY2" fmla="*/ 137160 h 137160"/>
                                  <a:gd name="connsiteX3" fmla="*/ 0 w 685800"/>
                                  <a:gd name="connsiteY3" fmla="*/ 137160 h 137160"/>
                                  <a:gd name="connsiteX0" fmla="*/ 685800 w 685800"/>
                                  <a:gd name="connsiteY0" fmla="*/ 0 h 129540"/>
                                  <a:gd name="connsiteX1" fmla="*/ 406220 w 685800"/>
                                  <a:gd name="connsiteY1" fmla="*/ 2540 h 129540"/>
                                  <a:gd name="connsiteX2" fmla="*/ 22860 w 685800"/>
                                  <a:gd name="connsiteY2" fmla="*/ 129540 h 129540"/>
                                  <a:gd name="connsiteX3" fmla="*/ 0 w 685800"/>
                                  <a:gd name="connsiteY3" fmla="*/ 129540 h 129540"/>
                                </a:gdLst>
                                <a:ahLst/>
                                <a:cxnLst>
                                  <a:cxn ang="0">
                                    <a:pos x="connsiteX0" y="connsiteY0"/>
                                  </a:cxn>
                                  <a:cxn ang="0">
                                    <a:pos x="connsiteX1" y="connsiteY1"/>
                                  </a:cxn>
                                  <a:cxn ang="0">
                                    <a:pos x="connsiteX2" y="connsiteY2"/>
                                  </a:cxn>
                                  <a:cxn ang="0">
                                    <a:pos x="connsiteX3" y="connsiteY3"/>
                                  </a:cxn>
                                </a:cxnLst>
                                <a:rect l="l" t="t" r="r" b="b"/>
                                <a:pathLst>
                                  <a:path w="685800" h="129540">
                                    <a:moveTo>
                                      <a:pt x="685800" y="0"/>
                                    </a:moveTo>
                                    <a:lnTo>
                                      <a:pt x="406220" y="2540"/>
                                    </a:lnTo>
                                    <a:lnTo>
                                      <a:pt x="22860" y="129540"/>
                                    </a:lnTo>
                                    <a:lnTo>
                                      <a:pt x="0" y="129540"/>
                                    </a:lnTo>
                                  </a:path>
                                </a:pathLst>
                              </a:custGeom>
                              <a:noFill/>
                              <a:ln>
                                <a:solidFill>
                                  <a:schemeClr val="tx1"/>
                                </a:solidFill>
                                <a:tailEnd type="triangle" w="med" len="lg"/>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5="http://schemas.microsoft.com/office/word/2012/wordml" xmlns:cx="http://schemas.microsoft.com/office/drawing/2014/chartex">
                  <w:pict>
                    <v:shape w14:anchorId="1F6B279F" id="Freeform 18" o:spid="_x0000_s1026" style="position:absolute;margin-left:185.6pt;margin-top:42.3pt;width:47.5pt;height:15.3pt;z-index:251672064;visibility:visible;mso-wrap-style:square;mso-wrap-distance-left:9pt;mso-wrap-distance-top:0;mso-wrap-distance-right:9pt;mso-wrap-distance-bottom:0;mso-position-horizontal:absolute;mso-position-horizontal-relative:text;mso-position-vertical:absolute;mso-position-vertical-relative:text;v-text-anchor:middle" coordsize="68580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" path="m685800,l406220,2540,22860,129540,,129540e" filled="f" strokecolor="black [3213]" strokeweight="2pt">
                      <v:stroke endarrow="block" endarrowlength="long"/>
                      <v:path arrowok="t" o:connecttype="custom" o:connectlocs="603250,0;357323,3810;20108,194310;0,194310" o:connectangles="0,0,0,0"/>
                    </v:shape>
                  </w:pict>
                </mc:Fallback>
              </mc:AlternateContent>
            </w:r>
            <w:r w:rsidRPr="00B00AC2">
              <w:rPr>
                <w:rFonts w:ascii="Arial" w:hAnsi="Arial" w:cs="Arial"/>
                <w:b/>
                <w:noProof/>
                <w:sz w:val="20"/>
                <w:szCs w:val="20"/>
              </w:rPr>
              <mc:AlternateContent>
                <mc:Choice Requires="wps">
                  <w:drawing>
                    <wp:anchor distT="0" distB="0" distL="114300" distR="114300" simplePos="0" relativeHeight="251671040" behindDoc="0" locked="0" layoutInCell="1" allowOverlap="1" wp14:anchorId="134D5881" wp14:editId="19491938">
                      <wp:simplePos x="0" y="0"/>
                      <wp:positionH relativeFrom="column">
                        <wp:posOffset>3002280</wp:posOffset>
                      </wp:positionH>
                      <wp:positionV relativeFrom="paragraph">
                        <wp:posOffset>260985</wp:posOffset>
                      </wp:positionV>
                      <wp:extent cx="1714500" cy="645795"/>
                      <wp:effectExtent l="0" t="0" r="0" b="0"/>
                      <wp:wrapNone/>
                      <wp:docPr id="7" name="TextBox 13"/>
                      <wp:cNvGraphicFramePr/>
                      <a:graphic xmlns:a="http://schemas.openxmlformats.org/drawingml/2006/main">
                        <a:graphicData uri="http://schemas.microsoft.com/office/word/2010/wordprocessingShape">
                          <wps:wsp>
                            <wps:cNvSpPr txBox="1"/>
                            <wps:spPr>
                              <a:xfrm>
                                <a:off x="0" y="0"/>
                                <a:ext cx="1714500" cy="645795"/>
                              </a:xfrm>
                              <a:prstGeom prst="rect">
                                <a:avLst/>
                              </a:prstGeom>
                              <a:solidFill>
                                <a:schemeClr val="bg1"/>
                              </a:solidFill>
                            </wps:spPr>
                            <wps:txbx>
                              <w:txbxContent>
                                <w:p w:rsidR="00B00AC2" w:rsidRDefault="00B00AC2" w:rsidP="00B00AC2">
                                  <w:pPr>
                                    <w:pStyle w:val="NormalWeb"/>
                                    <w:spacing w:before="0" w:beforeAutospacing="0" w:after="0" w:afterAutospacing="0"/>
                                  </w:pPr>
                                  <w:r>
                                    <w:rPr>
                                      <w:rFonts w:asciiTheme="minorHAnsi" w:hAnsi="Calibri" w:cstheme="minorBidi"/>
                                      <w:color w:val="000000" w:themeColor="text1"/>
                                      <w:kern w:val="24"/>
                                    </w:rPr>
                                    <w:t xml:space="preserve">Range of Data for Sands </w:t>
                                  </w:r>
                                  <w:r>
                                    <w:rPr>
                                      <w:rFonts w:asciiTheme="minorHAnsi" w:hAnsi="Calibri" w:cstheme="minorBidi"/>
                                      <w:color w:val="2D1EEE"/>
                                      <w:kern w:val="24"/>
                                    </w:rPr>
                                    <w:t>No Liquefaction</w:t>
                                  </w:r>
                                </w:p>
                                <w:p w:rsidR="00B00AC2" w:rsidRDefault="00B00AC2" w:rsidP="00B00AC2">
                                  <w:pPr>
                                    <w:pStyle w:val="NormalWeb"/>
                                    <w:spacing w:before="0" w:beforeAutospacing="0" w:after="0" w:afterAutospacing="0"/>
                                  </w:pPr>
                                  <w:r>
                                    <w:rPr>
                                      <w:rFonts w:asciiTheme="minorHAnsi" w:hAnsi="Calibri" w:cstheme="minorBidi"/>
                                      <w:color w:val="000000" w:themeColor="text1"/>
                                      <w:kern w:val="24"/>
                                    </w:rPr>
                                    <w:t>Seed et al. (1986)</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134D5881" id="_x0000_t202" coordsize="21600,21600" o:spt="202" path="m,l,21600r21600,l21600,xe">
                      <v:stroke joinstyle="miter"/>
                      <v:path gradientshapeok="t" o:connecttype="rect"/>
                    </v:shapetype>
                    <v:shape id="TextBox 13" o:spid="_x0000_s1026" type="#_x0000_t202" style="position:absolute;margin-left:236.4pt;margin-top:20.55pt;width:135pt;height:5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" fillcolor="white [3212]" stroked="f">
                      <v:textbox style="mso-fit-shape-to-text:t">
                        <w:txbxContent>
                          <w:p w:rsidR="00B00AC2" w:rsidRDefault="00B00AC2" w:rsidP="00B00AC2">
                            <w:pPr>
                              <w:pStyle w:val="NormalWeb"/>
                              <w:spacing w:before="0" w:beforeAutospacing="0" w:after="0" w:afterAutospacing="0"/>
                            </w:pPr>
                            <w:r>
                              <w:rPr>
                                <w:rFonts w:asciiTheme="minorHAnsi" w:hAnsi="Calibri" w:cstheme="minorBidi"/>
                                <w:color w:val="000000" w:themeColor="text1"/>
                                <w:kern w:val="24"/>
                              </w:rPr>
                              <w:t xml:space="preserve">Range of Data for Sands </w:t>
                            </w:r>
                            <w:r>
                              <w:rPr>
                                <w:rFonts w:asciiTheme="minorHAnsi" w:hAnsi="Calibri" w:cstheme="minorBidi"/>
                                <w:color w:val="2D1EEE"/>
                                <w:kern w:val="24"/>
                              </w:rPr>
                              <w:t>No Liquefaction</w:t>
                            </w:r>
                          </w:p>
                          <w:p w:rsidR="00B00AC2" w:rsidRDefault="00B00AC2" w:rsidP="00B00AC2">
                            <w:pPr>
                              <w:pStyle w:val="NormalWeb"/>
                              <w:spacing w:before="0" w:beforeAutospacing="0" w:after="0" w:afterAutospacing="0"/>
                            </w:pPr>
                            <w:r>
                              <w:rPr>
                                <w:rFonts w:asciiTheme="minorHAnsi" w:hAnsi="Calibri" w:cstheme="minorBidi"/>
                                <w:color w:val="000000" w:themeColor="text1"/>
                                <w:kern w:val="24"/>
                              </w:rPr>
                              <w:t>Seed et al. (1986)</w:t>
                            </w:r>
                          </w:p>
                        </w:txbxContent>
                      </v:textbox>
                    </v:shape>
                  </w:pict>
                </mc:Fallback>
              </mc:AlternateContent>
            </w:r>
            <w:r w:rsidRPr="00B00AC2">
              <w:rPr>
                <w:rFonts w:ascii="Arial" w:hAnsi="Arial" w:cs="Arial"/>
                <w:b/>
                <w:noProof/>
                <w:sz w:val="20"/>
                <w:szCs w:val="20"/>
              </w:rPr>
              <mc:AlternateContent>
                <mc:Choice Requires="wps">
                  <w:drawing>
                    <wp:anchor distT="0" distB="0" distL="114300" distR="114300" simplePos="0" relativeHeight="251673088" behindDoc="0" locked="0" layoutInCell="1" allowOverlap="1" wp14:anchorId="24593058" wp14:editId="0CA05FE3">
                      <wp:simplePos x="0" y="0"/>
                      <wp:positionH relativeFrom="column">
                        <wp:posOffset>2336165</wp:posOffset>
                      </wp:positionH>
                      <wp:positionV relativeFrom="paragraph">
                        <wp:posOffset>556260</wp:posOffset>
                      </wp:positionV>
                      <wp:extent cx="370840" cy="712470"/>
                      <wp:effectExtent l="38100" t="0" r="29210" b="49530"/>
                      <wp:wrapNone/>
                      <wp:docPr id="9" name="Straight Arrow Connector 21"/>
                      <wp:cNvGraphicFramePr/>
                      <a:graphic xmlns:a="http://schemas.openxmlformats.org/drawingml/2006/main">
                        <a:graphicData uri="http://schemas.microsoft.com/office/word/2010/wordprocessingShape">
                          <wps:wsp>
                            <wps:cNvCnPr/>
                            <wps:spPr>
                              <a:xfrm flipH="1">
                                <a:off x="0" y="0"/>
                                <a:ext cx="370840" cy="712470"/>
                              </a:xfrm>
                              <a:prstGeom prst="straightConnector1">
                                <a:avLst/>
                              </a:prstGeom>
                              <a:ln w="2540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2EA38DF3" id="_x0000_t32" coordsize="21600,21600" o:spt="32" o:oned="t" path="m,l21600,21600e" filled="f">
                      <v:path arrowok="t" fillok="f" o:connecttype="none"/>
                      <o:lock v:ext="edit" shapetype="t"/>
                    </v:shapetype>
                    <v:shape id="Straight Arrow Connector 21" o:spid="_x0000_s1026" type="#_x0000_t32" style="position:absolute;margin-left:183.95pt;margin-top:43.8pt;width:29.2pt;height:56.1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" strokecolor="black [3213]" strokeweight="2pt">
                      <v:stroke endarrow="block" endarrowlength="long"/>
                    </v:shape>
                  </w:pict>
                </mc:Fallback>
              </mc:AlternateContent>
            </w:r>
            <w:r w:rsidR="0065129D" w:rsidRPr="0065129D">
              <w:rPr>
                <w:rFonts w:ascii="Arial" w:hAnsi="Arial" w:cs="Arial"/>
                <w:b/>
                <w:noProof/>
                <w:sz w:val="20"/>
                <w:szCs w:val="20"/>
              </w:rPr>
              <w:drawing>
                <wp:inline distT="0" distB="0" distL="0" distR="0" wp14:anchorId="7F8B389D" wp14:editId="1B07E53C">
                  <wp:extent cx="5935980" cy="36042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3604260"/>
                          </a:xfrm>
                          <a:prstGeom prst="rect">
                            <a:avLst/>
                          </a:prstGeom>
                          <a:noFill/>
                          <a:ln>
                            <a:noFill/>
                          </a:ln>
                        </pic:spPr>
                      </pic:pic>
                    </a:graphicData>
                  </a:graphic>
                </wp:inline>
              </w:drawing>
            </w:r>
          </w:p>
          <w:p w:rsidR="009E7D51" w:rsidRDefault="009E7D51" w:rsidP="00360664">
            <w:pPr>
              <w:spacing w:after="0" w:line="240" w:lineRule="auto"/>
              <w:rPr>
                <w:rFonts w:ascii="Arial" w:hAnsi="Arial" w:cs="Arial"/>
                <w:b/>
                <w:sz w:val="20"/>
                <w:szCs w:val="20"/>
              </w:rPr>
            </w:pPr>
          </w:p>
          <w:p w:rsidR="00A459A9" w:rsidRDefault="00B00AC2" w:rsidP="00477D92">
            <w:pPr>
              <w:tabs>
                <w:tab w:val="left" w:pos="1690"/>
              </w:tabs>
              <w:spacing w:after="0" w:line="240" w:lineRule="auto"/>
              <w:rPr>
                <w:rFonts w:ascii="Arial" w:hAnsi="Arial" w:cs="Arial"/>
                <w:b/>
                <w:sz w:val="20"/>
                <w:szCs w:val="20"/>
              </w:rPr>
            </w:pPr>
            <w:r>
              <w:rPr>
                <w:rFonts w:ascii="Arial" w:hAnsi="Arial" w:cs="Arial"/>
                <w:b/>
                <w:sz w:val="20"/>
                <w:szCs w:val="20"/>
              </w:rPr>
              <w:t>Fig. 1</w:t>
            </w:r>
            <w:r w:rsidR="00485BCB">
              <w:rPr>
                <w:rFonts w:ascii="Arial" w:hAnsi="Arial" w:cs="Arial"/>
                <w:b/>
                <w:sz w:val="20"/>
                <w:szCs w:val="20"/>
              </w:rPr>
              <w:t>.</w:t>
            </w:r>
            <w:r>
              <w:rPr>
                <w:rFonts w:ascii="Arial" w:hAnsi="Arial" w:cs="Arial"/>
                <w:b/>
                <w:sz w:val="20"/>
                <w:szCs w:val="20"/>
              </w:rPr>
              <w:t xml:space="preserve"> G/G</w:t>
            </w:r>
            <w:r w:rsidRPr="001D7748">
              <w:rPr>
                <w:rFonts w:ascii="Arial" w:hAnsi="Arial" w:cs="Arial"/>
                <w:b/>
                <w:sz w:val="20"/>
                <w:szCs w:val="20"/>
                <w:vertAlign w:val="subscript"/>
              </w:rPr>
              <w:t>o</w:t>
            </w:r>
            <w:r>
              <w:rPr>
                <w:rFonts w:ascii="Arial" w:hAnsi="Arial" w:cs="Arial"/>
                <w:b/>
                <w:sz w:val="20"/>
                <w:szCs w:val="20"/>
              </w:rPr>
              <w:t xml:space="preserve"> </w:t>
            </w:r>
            <w:proofErr w:type="spellStart"/>
            <w:r>
              <w:rPr>
                <w:rFonts w:ascii="Arial" w:hAnsi="Arial" w:cs="Arial"/>
                <w:b/>
                <w:sz w:val="20"/>
                <w:szCs w:val="20"/>
              </w:rPr>
              <w:t>vs</w:t>
            </w:r>
            <w:proofErr w:type="spellEnd"/>
            <w:r>
              <w:rPr>
                <w:rFonts w:ascii="Arial" w:hAnsi="Arial" w:cs="Arial"/>
                <w:b/>
                <w:sz w:val="20"/>
                <w:szCs w:val="20"/>
              </w:rPr>
              <w:t xml:space="preserve"> cyclic shear strain </w:t>
            </w:r>
            <w:r w:rsidR="0065129D">
              <w:rPr>
                <w:rFonts w:ascii="Arial" w:hAnsi="Arial" w:cs="Arial"/>
                <w:b/>
                <w:sz w:val="20"/>
                <w:szCs w:val="20"/>
              </w:rPr>
              <w:t>data points</w:t>
            </w:r>
            <w:r>
              <w:rPr>
                <w:rFonts w:ascii="Arial" w:hAnsi="Arial" w:cs="Arial"/>
                <w:b/>
                <w:sz w:val="20"/>
                <w:szCs w:val="20"/>
              </w:rPr>
              <w:t xml:space="preserve"> from laminar shear box tes</w:t>
            </w:r>
            <w:r w:rsidR="001D7748">
              <w:rPr>
                <w:rFonts w:ascii="Arial" w:hAnsi="Arial" w:cs="Arial"/>
                <w:b/>
                <w:sz w:val="20"/>
                <w:szCs w:val="20"/>
              </w:rPr>
              <w:t xml:space="preserve">ts with </w:t>
            </w:r>
            <w:proofErr w:type="spellStart"/>
            <w:r w:rsidR="001D7748">
              <w:rPr>
                <w:rFonts w:ascii="Arial" w:hAnsi="Arial" w:cs="Arial"/>
                <w:b/>
                <w:sz w:val="20"/>
                <w:szCs w:val="20"/>
              </w:rPr>
              <w:t>R</w:t>
            </w:r>
            <w:r w:rsidR="001D7748" w:rsidRPr="001D7748">
              <w:rPr>
                <w:rFonts w:ascii="Arial" w:hAnsi="Arial" w:cs="Arial"/>
                <w:b/>
                <w:sz w:val="20"/>
                <w:szCs w:val="20"/>
                <w:vertAlign w:val="subscript"/>
              </w:rPr>
              <w:t>u</w:t>
            </w:r>
            <w:proofErr w:type="spellEnd"/>
            <w:r w:rsidR="001D7748">
              <w:rPr>
                <w:rFonts w:ascii="Arial" w:hAnsi="Arial" w:cs="Arial"/>
                <w:b/>
                <w:sz w:val="20"/>
                <w:szCs w:val="20"/>
              </w:rPr>
              <w:t>&lt;60%</w:t>
            </w:r>
            <w:r>
              <w:rPr>
                <w:rFonts w:ascii="Arial" w:hAnsi="Arial" w:cs="Arial"/>
                <w:b/>
                <w:sz w:val="20"/>
                <w:szCs w:val="20"/>
              </w:rPr>
              <w:t xml:space="preserve"> in comparison with curves</w:t>
            </w:r>
            <w:r w:rsidR="001D7748">
              <w:rPr>
                <w:rFonts w:ascii="Arial" w:hAnsi="Arial" w:cs="Arial"/>
                <w:b/>
                <w:sz w:val="20"/>
                <w:szCs w:val="20"/>
              </w:rPr>
              <w:t xml:space="preserve"> developed from cyclic </w:t>
            </w:r>
            <w:proofErr w:type="spellStart"/>
            <w:r w:rsidR="001D7748">
              <w:rPr>
                <w:rFonts w:ascii="Arial" w:hAnsi="Arial" w:cs="Arial"/>
                <w:b/>
                <w:sz w:val="20"/>
                <w:szCs w:val="20"/>
              </w:rPr>
              <w:t>triaxial</w:t>
            </w:r>
            <w:proofErr w:type="spellEnd"/>
            <w:r w:rsidR="001D7748">
              <w:rPr>
                <w:rFonts w:ascii="Arial" w:hAnsi="Arial" w:cs="Arial"/>
                <w:b/>
                <w:sz w:val="20"/>
                <w:szCs w:val="20"/>
              </w:rPr>
              <w:t xml:space="preserve"> shear tests </w:t>
            </w:r>
            <w:r w:rsidR="0065129D">
              <w:rPr>
                <w:rFonts w:ascii="Arial" w:hAnsi="Arial" w:cs="Arial"/>
                <w:b/>
                <w:sz w:val="20"/>
                <w:szCs w:val="20"/>
              </w:rPr>
              <w:t xml:space="preserve">with </w:t>
            </w:r>
            <w:proofErr w:type="spellStart"/>
            <w:r w:rsidR="0065129D">
              <w:rPr>
                <w:rFonts w:ascii="Arial" w:hAnsi="Arial" w:cs="Arial"/>
                <w:b/>
                <w:sz w:val="20"/>
                <w:szCs w:val="20"/>
              </w:rPr>
              <w:t>R</w:t>
            </w:r>
            <w:r w:rsidR="0065129D" w:rsidRPr="0065129D">
              <w:rPr>
                <w:rFonts w:ascii="Arial" w:hAnsi="Arial" w:cs="Arial"/>
                <w:b/>
                <w:sz w:val="20"/>
                <w:szCs w:val="20"/>
                <w:vertAlign w:val="subscript"/>
              </w:rPr>
              <w:t>u</w:t>
            </w:r>
            <w:proofErr w:type="spellEnd"/>
            <w:r w:rsidR="0065129D">
              <w:rPr>
                <w:rFonts w:ascii="Arial" w:hAnsi="Arial" w:cs="Arial"/>
                <w:b/>
                <w:sz w:val="20"/>
                <w:szCs w:val="20"/>
              </w:rPr>
              <w:t xml:space="preserve"> = 0%</w:t>
            </w:r>
            <w:r w:rsidR="00C03E25">
              <w:rPr>
                <w:rFonts w:ascii="Arial" w:hAnsi="Arial" w:cs="Arial"/>
                <w:b/>
                <w:sz w:val="20"/>
                <w:szCs w:val="20"/>
              </w:rPr>
              <w:t xml:space="preserve"> </w:t>
            </w:r>
            <w:r w:rsidR="001D7748">
              <w:rPr>
                <w:rFonts w:ascii="Arial" w:hAnsi="Arial" w:cs="Arial"/>
                <w:b/>
                <w:sz w:val="20"/>
                <w:szCs w:val="20"/>
              </w:rPr>
              <w:t>(Seed et al 1986)</w:t>
            </w:r>
            <w:r>
              <w:rPr>
                <w:rFonts w:ascii="Arial" w:hAnsi="Arial" w:cs="Arial"/>
                <w:b/>
                <w:sz w:val="20"/>
                <w:szCs w:val="20"/>
              </w:rPr>
              <w:t xml:space="preserve"> </w:t>
            </w:r>
          </w:p>
          <w:p w:rsidR="002B084F" w:rsidRDefault="002B084F" w:rsidP="00477D92">
            <w:pPr>
              <w:tabs>
                <w:tab w:val="left" w:pos="1690"/>
              </w:tabs>
              <w:spacing w:after="0" w:line="240" w:lineRule="auto"/>
              <w:rPr>
                <w:rFonts w:ascii="Arial" w:hAnsi="Arial" w:cs="Arial"/>
                <w:sz w:val="20"/>
                <w:szCs w:val="20"/>
              </w:rPr>
            </w:pPr>
            <w:r w:rsidRPr="002B084F">
              <w:rPr>
                <w:rFonts w:ascii="Arial" w:hAnsi="Arial" w:cs="Arial"/>
                <w:sz w:val="20"/>
                <w:szCs w:val="20"/>
              </w:rPr>
              <w:lastRenderedPageBreak/>
              <w:t xml:space="preserve">The agreement between the data points and the curves developed by Seed et al (1986) is generally </w:t>
            </w:r>
            <w:r>
              <w:rPr>
                <w:rFonts w:ascii="Arial" w:hAnsi="Arial" w:cs="Arial"/>
                <w:sz w:val="20"/>
                <w:szCs w:val="20"/>
              </w:rPr>
              <w:t>quite</w:t>
            </w:r>
            <w:r w:rsidRPr="002B084F">
              <w:rPr>
                <w:rFonts w:ascii="Arial" w:hAnsi="Arial" w:cs="Arial"/>
                <w:sz w:val="20"/>
                <w:szCs w:val="20"/>
              </w:rPr>
              <w:t xml:space="preserve"> good</w:t>
            </w:r>
            <w:r>
              <w:rPr>
                <w:rFonts w:ascii="Arial" w:hAnsi="Arial" w:cs="Arial"/>
                <w:sz w:val="20"/>
                <w:szCs w:val="20"/>
              </w:rPr>
              <w:t xml:space="preserve"> and confirms the general validity of the approach taken.</w:t>
            </w:r>
          </w:p>
          <w:p w:rsidR="002B084F" w:rsidRDefault="002B084F" w:rsidP="00477D92">
            <w:pPr>
              <w:tabs>
                <w:tab w:val="left" w:pos="1690"/>
              </w:tabs>
              <w:spacing w:after="0" w:line="240" w:lineRule="auto"/>
              <w:rPr>
                <w:rFonts w:ascii="Arial" w:hAnsi="Arial" w:cs="Arial"/>
                <w:sz w:val="20"/>
                <w:szCs w:val="20"/>
              </w:rPr>
            </w:pPr>
          </w:p>
          <w:p w:rsidR="002B084F" w:rsidRPr="002B084F" w:rsidRDefault="002B084F" w:rsidP="00477D92">
            <w:pPr>
              <w:tabs>
                <w:tab w:val="left" w:pos="1690"/>
              </w:tabs>
              <w:spacing w:after="0" w:line="240" w:lineRule="auto"/>
              <w:rPr>
                <w:rFonts w:ascii="Arial" w:hAnsi="Arial" w:cs="Arial"/>
                <w:sz w:val="20"/>
                <w:szCs w:val="20"/>
              </w:rPr>
            </w:pPr>
            <w:r>
              <w:rPr>
                <w:rFonts w:ascii="Arial" w:hAnsi="Arial" w:cs="Arial"/>
                <w:sz w:val="20"/>
                <w:szCs w:val="20"/>
              </w:rPr>
              <w:t>A similar set of G/G</w:t>
            </w:r>
            <w:r w:rsidRPr="002B084F">
              <w:rPr>
                <w:rFonts w:ascii="Arial" w:hAnsi="Arial" w:cs="Arial"/>
                <w:sz w:val="20"/>
                <w:szCs w:val="20"/>
                <w:vertAlign w:val="subscript"/>
              </w:rPr>
              <w:t>o</w:t>
            </w:r>
            <w:r>
              <w:rPr>
                <w:rFonts w:ascii="Arial" w:hAnsi="Arial" w:cs="Arial"/>
                <w:sz w:val="20"/>
                <w:szCs w:val="20"/>
              </w:rPr>
              <w:t xml:space="preserve"> </w:t>
            </w:r>
            <w:proofErr w:type="spellStart"/>
            <w:r>
              <w:rPr>
                <w:rFonts w:ascii="Arial" w:hAnsi="Arial" w:cs="Arial"/>
                <w:sz w:val="20"/>
                <w:szCs w:val="20"/>
              </w:rPr>
              <w:t>vs</w:t>
            </w:r>
            <w:proofErr w:type="spellEnd"/>
            <w:r>
              <w:rPr>
                <w:rFonts w:ascii="Arial" w:hAnsi="Arial" w:cs="Arial"/>
                <w:sz w:val="20"/>
                <w:szCs w:val="20"/>
              </w:rPr>
              <w:t xml:space="preserve"> cyclic shear strain data points was also obtained for cases where </w:t>
            </w:r>
            <w:proofErr w:type="spellStart"/>
            <w:r>
              <w:rPr>
                <w:rFonts w:ascii="Arial" w:hAnsi="Arial" w:cs="Arial"/>
                <w:sz w:val="20"/>
                <w:szCs w:val="20"/>
              </w:rPr>
              <w:t>R</w:t>
            </w:r>
            <w:r w:rsidRPr="002B084F">
              <w:rPr>
                <w:rFonts w:ascii="Arial" w:hAnsi="Arial" w:cs="Arial"/>
                <w:sz w:val="20"/>
                <w:szCs w:val="20"/>
                <w:vertAlign w:val="subscript"/>
              </w:rPr>
              <w:t>u</w:t>
            </w:r>
            <w:proofErr w:type="spellEnd"/>
            <w:r>
              <w:rPr>
                <w:rFonts w:ascii="Arial" w:hAnsi="Arial" w:cs="Arial"/>
                <w:sz w:val="20"/>
                <w:szCs w:val="20"/>
              </w:rPr>
              <w:t xml:space="preserve"> was greater than 60% or liquefied (</w:t>
            </w:r>
            <w:proofErr w:type="spellStart"/>
            <w:r>
              <w:rPr>
                <w:rFonts w:ascii="Arial" w:hAnsi="Arial" w:cs="Arial"/>
                <w:sz w:val="20"/>
                <w:szCs w:val="20"/>
              </w:rPr>
              <w:t>R</w:t>
            </w:r>
            <w:r w:rsidRPr="002B084F">
              <w:rPr>
                <w:rFonts w:ascii="Arial" w:hAnsi="Arial" w:cs="Arial"/>
                <w:sz w:val="20"/>
                <w:szCs w:val="20"/>
                <w:vertAlign w:val="subscript"/>
              </w:rPr>
              <w:t>u</w:t>
            </w:r>
            <w:proofErr w:type="spellEnd"/>
            <w:r>
              <w:rPr>
                <w:rFonts w:ascii="Arial" w:hAnsi="Arial" w:cs="Arial"/>
                <w:sz w:val="20"/>
                <w:szCs w:val="20"/>
              </w:rPr>
              <w:t xml:space="preserve">=100%) in most cases.  These data points are plotted </w:t>
            </w:r>
            <w:r w:rsidR="00C96F6E">
              <w:rPr>
                <w:rFonts w:ascii="Arial" w:hAnsi="Arial" w:cs="Arial"/>
                <w:sz w:val="20"/>
                <w:szCs w:val="20"/>
              </w:rPr>
              <w:t xml:space="preserve">in comparison with the G/Go </w:t>
            </w:r>
            <w:proofErr w:type="spellStart"/>
            <w:r w:rsidR="00C96F6E">
              <w:rPr>
                <w:rFonts w:ascii="Arial" w:hAnsi="Arial" w:cs="Arial"/>
                <w:sz w:val="20"/>
                <w:szCs w:val="20"/>
              </w:rPr>
              <w:t>vs</w:t>
            </w:r>
            <w:proofErr w:type="spellEnd"/>
            <w:r w:rsidR="00C96F6E">
              <w:rPr>
                <w:rFonts w:ascii="Arial" w:hAnsi="Arial" w:cs="Arial"/>
                <w:sz w:val="20"/>
                <w:szCs w:val="20"/>
              </w:rPr>
              <w:t xml:space="preserve"> </w:t>
            </w:r>
            <w:r>
              <w:rPr>
                <w:rFonts w:ascii="Arial" w:hAnsi="Arial" w:cs="Arial"/>
                <w:sz w:val="20"/>
                <w:szCs w:val="20"/>
              </w:rPr>
              <w:t xml:space="preserve">cyclic shear strain curves developed by Seed et al (1986).  In contrast with the results in Fig. 1, the data points all fall below the G/Go range for </w:t>
            </w:r>
            <w:r w:rsidR="006420DB">
              <w:rPr>
                <w:rFonts w:ascii="Arial" w:hAnsi="Arial" w:cs="Arial"/>
                <w:sz w:val="20"/>
                <w:szCs w:val="20"/>
              </w:rPr>
              <w:t xml:space="preserve">non-liquefied sand as would be expected.  The data points extend to greater strain levels than are reasonable to obtain with a cyclic </w:t>
            </w:r>
            <w:proofErr w:type="spellStart"/>
            <w:r w:rsidR="006420DB">
              <w:rPr>
                <w:rFonts w:ascii="Arial" w:hAnsi="Arial" w:cs="Arial"/>
                <w:sz w:val="20"/>
                <w:szCs w:val="20"/>
              </w:rPr>
              <w:t>triaxial</w:t>
            </w:r>
            <w:proofErr w:type="spellEnd"/>
            <w:r w:rsidR="006420DB">
              <w:rPr>
                <w:rFonts w:ascii="Arial" w:hAnsi="Arial" w:cs="Arial"/>
                <w:sz w:val="20"/>
                <w:szCs w:val="20"/>
              </w:rPr>
              <w:t xml:space="preserve"> test. The G/Go data points typically lie within the range of 10% to 1%.  To provide additional data points for liquefied G/Go data points at smaller strain levels, shear wave velocity measurements after a number of blast induced liquefaction tests are plotted at a strain level of 0.0001%.  Once again the G/Go data points are considerably lower than the curve for non-liquefied sand and have an average value of 16%</w:t>
            </w:r>
            <w:r w:rsidR="009454F4">
              <w:rPr>
                <w:rFonts w:ascii="Arial" w:hAnsi="Arial" w:cs="Arial"/>
                <w:sz w:val="20"/>
                <w:szCs w:val="20"/>
              </w:rPr>
              <w:t>.</w:t>
            </w:r>
            <w:r w:rsidR="00D923B0">
              <w:rPr>
                <w:rFonts w:ascii="Arial" w:hAnsi="Arial" w:cs="Arial"/>
                <w:sz w:val="20"/>
                <w:szCs w:val="20"/>
              </w:rPr>
              <w:t xml:space="preserve"> Likewise velocity data with </w:t>
            </w:r>
            <w:proofErr w:type="gramStart"/>
            <w:r w:rsidR="00D923B0">
              <w:rPr>
                <w:rFonts w:ascii="Arial" w:hAnsi="Arial" w:cs="Arial"/>
                <w:sz w:val="20"/>
                <w:szCs w:val="20"/>
              </w:rPr>
              <w:t>an</w:t>
            </w:r>
            <w:proofErr w:type="gramEnd"/>
            <w:r w:rsidR="00D923B0">
              <w:rPr>
                <w:rFonts w:ascii="Arial" w:hAnsi="Arial" w:cs="Arial"/>
                <w:sz w:val="20"/>
                <w:szCs w:val="20"/>
              </w:rPr>
              <w:t xml:space="preserve"> </w:t>
            </w:r>
            <w:proofErr w:type="spellStart"/>
            <w:r w:rsidR="00D923B0">
              <w:rPr>
                <w:rFonts w:ascii="Arial" w:hAnsi="Arial" w:cs="Arial"/>
                <w:sz w:val="20"/>
                <w:szCs w:val="20"/>
              </w:rPr>
              <w:t>Ru</w:t>
            </w:r>
            <w:proofErr w:type="spellEnd"/>
            <w:r w:rsidR="00D923B0">
              <w:rPr>
                <w:rFonts w:ascii="Arial" w:hAnsi="Arial" w:cs="Arial"/>
                <w:sz w:val="20"/>
                <w:szCs w:val="20"/>
              </w:rPr>
              <w:t xml:space="preserve"> of 60% have a G/Go value of about 40%.  These curves provide </w:t>
            </w:r>
            <w:r w:rsidR="009454F4">
              <w:rPr>
                <w:rFonts w:ascii="Arial" w:hAnsi="Arial" w:cs="Arial"/>
                <w:sz w:val="20"/>
                <w:szCs w:val="20"/>
              </w:rPr>
              <w:t>guidance on the effect of pore pressure ratio on the G/Go curves.</w:t>
            </w:r>
            <w:r w:rsidR="006420DB">
              <w:rPr>
                <w:rFonts w:ascii="Arial" w:hAnsi="Arial" w:cs="Arial"/>
                <w:sz w:val="20"/>
                <w:szCs w:val="20"/>
              </w:rPr>
              <w:t xml:space="preserve">   </w:t>
            </w:r>
            <w:r>
              <w:rPr>
                <w:rFonts w:ascii="Arial" w:hAnsi="Arial" w:cs="Arial"/>
                <w:sz w:val="20"/>
                <w:szCs w:val="20"/>
              </w:rPr>
              <w:t xml:space="preserve">  </w:t>
            </w:r>
          </w:p>
          <w:p w:rsidR="002B084F" w:rsidRDefault="002B084F" w:rsidP="00477D92">
            <w:pPr>
              <w:tabs>
                <w:tab w:val="left" w:pos="1690"/>
              </w:tabs>
              <w:spacing w:after="0" w:line="240" w:lineRule="auto"/>
              <w:rPr>
                <w:rFonts w:ascii="Arial" w:hAnsi="Arial" w:cs="Arial"/>
                <w:b/>
                <w:sz w:val="20"/>
                <w:szCs w:val="20"/>
              </w:rPr>
            </w:pPr>
          </w:p>
          <w:p w:rsidR="009E7D51" w:rsidRDefault="00D923B0" w:rsidP="00477D92">
            <w:pPr>
              <w:tabs>
                <w:tab w:val="left" w:pos="1690"/>
              </w:tabs>
              <w:spacing w:after="0" w:line="240" w:lineRule="auto"/>
              <w:rPr>
                <w:rFonts w:ascii="Arial" w:hAnsi="Arial" w:cs="Arial"/>
                <w:b/>
                <w:sz w:val="20"/>
                <w:szCs w:val="20"/>
              </w:rPr>
            </w:pPr>
            <w:r>
              <w:rPr>
                <w:noProof/>
              </w:rPr>
              <mc:AlternateContent>
                <mc:Choice Requires="wps">
                  <w:drawing>
                    <wp:anchor distT="0" distB="0" distL="114300" distR="114300" simplePos="0" relativeHeight="251674112" behindDoc="0" locked="0" layoutInCell="1" allowOverlap="1" wp14:anchorId="18F1EE90" wp14:editId="1459D3E5">
                      <wp:simplePos x="0" y="0"/>
                      <wp:positionH relativeFrom="column">
                        <wp:posOffset>518160</wp:posOffset>
                      </wp:positionH>
                      <wp:positionV relativeFrom="paragraph">
                        <wp:posOffset>1868170</wp:posOffset>
                      </wp:positionV>
                      <wp:extent cx="53340" cy="53340"/>
                      <wp:effectExtent l="0" t="0" r="22860" b="22860"/>
                      <wp:wrapNone/>
                      <wp:docPr id="11" name="Oval 11"/>
                      <wp:cNvGraphicFramePr/>
                      <a:graphic xmlns:a="http://schemas.openxmlformats.org/drawingml/2006/main">
                        <a:graphicData uri="http://schemas.microsoft.com/office/word/2010/wordprocessingShape">
                          <wps:wsp>
                            <wps:cNvSpPr/>
                            <wps:spPr>
                              <a:xfrm>
                                <a:off x="0" y="0"/>
                                <a:ext cx="53340" cy="533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14502FC5" id="Oval 11" o:spid="_x0000_s1026" style="position:absolute;margin-left:40.8pt;margin-top:147.1pt;width:4.2pt;height:4.2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" fillcolor="#4f81bd [3204]" strokecolor="#243f60 [1604]" strokeweight="2pt"/>
                  </w:pict>
                </mc:Fallback>
              </mc:AlternateContent>
            </w:r>
            <w:r w:rsidR="0065129D">
              <w:rPr>
                <w:noProof/>
              </w:rPr>
              <w:drawing>
                <wp:inline distT="0" distB="0" distL="0" distR="0" wp14:anchorId="5522B9E7" wp14:editId="3042B839">
                  <wp:extent cx="5943600" cy="350901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E7D51" w:rsidRPr="009E7D51">
              <w:rPr>
                <w:rFonts w:ascii="Arial" w:hAnsi="Arial" w:cs="Arial"/>
                <w:b/>
                <w:noProof/>
                <w:sz w:val="20"/>
                <w:szCs w:val="20"/>
              </w:rPr>
              <mc:AlternateContent>
                <mc:Choice Requires="wps">
                  <w:drawing>
                    <wp:anchor distT="0" distB="0" distL="114300" distR="114300" simplePos="0" relativeHeight="251670016" behindDoc="0" locked="0" layoutInCell="1" allowOverlap="1" wp14:anchorId="0AA22C5D" wp14:editId="0A8CB478">
                      <wp:simplePos x="0" y="0"/>
                      <wp:positionH relativeFrom="column">
                        <wp:posOffset>1635125</wp:posOffset>
                      </wp:positionH>
                      <wp:positionV relativeFrom="paragraph">
                        <wp:posOffset>2418715</wp:posOffset>
                      </wp:positionV>
                      <wp:extent cx="1070653" cy="276999"/>
                      <wp:effectExtent l="0" t="0" r="0" b="0"/>
                      <wp:wrapNone/>
                      <wp:docPr id="3" name="TextBox 40"/>
                      <wp:cNvGraphicFramePr/>
                      <a:graphic xmlns:a="http://schemas.openxmlformats.org/drawingml/2006/main">
                        <a:graphicData uri="http://schemas.microsoft.com/office/word/2010/wordprocessingShape">
                          <wps:wsp>
                            <wps:cNvSpPr txBox="1"/>
                            <wps:spPr>
                              <a:xfrm rot="334892">
                                <a:off x="0" y="0"/>
                                <a:ext cx="1070653" cy="276999"/>
                              </a:xfrm>
                              <a:prstGeom prst="rect">
                                <a:avLst/>
                              </a:prstGeom>
                              <a:noFill/>
                            </wps:spPr>
                            <wps:txbx>
                              <w:txbxContent>
                                <w:p w:rsidR="009E7D51" w:rsidRDefault="009E7D51" w:rsidP="009E7D51">
                                  <w:pPr>
                                    <w:pStyle w:val="NormalWeb"/>
                                    <w:spacing w:before="0" w:beforeAutospacing="0" w:after="0" w:afterAutospacing="0"/>
                                  </w:pPr>
                                  <w:r>
                                    <w:rPr>
                                      <w:rFonts w:asciiTheme="minorHAnsi" w:hAnsi="Calibri" w:cstheme="minorBidi"/>
                                      <w:color w:val="000000" w:themeColor="text1"/>
                                      <w:kern w:val="24"/>
                                    </w:rPr>
                                    <w:t>R</w:t>
                                  </w:r>
                                  <w:r>
                                    <w:rPr>
                                      <w:rFonts w:asciiTheme="minorHAnsi" w:hAnsi="Calibri" w:cstheme="minorBidi"/>
                                      <w:color w:val="000000" w:themeColor="text1"/>
                                      <w:kern w:val="24"/>
                                      <w:position w:val="-6"/>
                                      <w:vertAlign w:val="subscript"/>
                                    </w:rPr>
                                    <w:t>u</w:t>
                                  </w:r>
                                  <w:r>
                                    <w:rPr>
                                      <w:rFonts w:asciiTheme="minorHAnsi" w:hAnsi="Calibri" w:cstheme="minorBidi"/>
                                      <w:color w:val="000000" w:themeColor="text1"/>
                                      <w:kern w:val="24"/>
                                    </w:rPr>
                                    <w:t xml:space="preserve"> = 100%</w:t>
                                  </w:r>
                                </w:p>
                              </w:txbxContent>
                            </wps:txbx>
                            <wps:bodyPr wrap="square" rtlCol="0">
                              <a:spAutoFit/>
                            </wps:bodyPr>
                          </wps:wsp>
                        </a:graphicData>
                      </a:graphic>
                    </wp:anchor>
                  </w:drawing>
                </mc:Choice>
                <mc:Fallback xmlns:w16se="http://schemas.microsoft.com/office/word/2015/wordml/symex" xmlns:w15="http://schemas.microsoft.com/office/word/2012/wordml" xmlns:cx="http://schemas.microsoft.com/office/drawing/2014/chartex">
                  <w:pict>
                    <v:shape w14:anchorId="0AA22C5D" id="TextBox 40" o:spid="_x0000_s1027" type="#_x0000_t202" style="position:absolute;margin-left:128.75pt;margin-top:190.45pt;width:84.3pt;height:21.8pt;rotation:365791fd;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" filled="f" stroked="f">
                      <v:textbox style="mso-fit-shape-to-text:t">
                        <w:txbxContent>
                          <w:p w:rsidR="009E7D51" w:rsidRDefault="009E7D51" w:rsidP="009E7D51">
                            <w:pPr>
                              <w:pStyle w:val="NormalWeb"/>
                              <w:spacing w:before="0" w:beforeAutospacing="0" w:after="0" w:afterAutospacing="0"/>
                            </w:pPr>
                            <w:r>
                              <w:rPr>
                                <w:rFonts w:asciiTheme="minorHAnsi" w:hAnsi="Calibri" w:cstheme="minorBidi"/>
                                <w:color w:val="000000" w:themeColor="text1"/>
                                <w:kern w:val="24"/>
                              </w:rPr>
                              <w:t>R</w:t>
                            </w:r>
                            <w:r>
                              <w:rPr>
                                <w:rFonts w:asciiTheme="minorHAnsi" w:hAnsi="Calibri" w:cstheme="minorBidi"/>
                                <w:color w:val="000000" w:themeColor="text1"/>
                                <w:kern w:val="24"/>
                                <w:position w:val="-6"/>
                                <w:vertAlign w:val="subscript"/>
                              </w:rPr>
                              <w:t>u</w:t>
                            </w:r>
                            <w:r>
                              <w:rPr>
                                <w:rFonts w:asciiTheme="minorHAnsi" w:hAnsi="Calibri" w:cstheme="minorBidi"/>
                                <w:color w:val="000000" w:themeColor="text1"/>
                                <w:kern w:val="24"/>
                              </w:rPr>
                              <w:t xml:space="preserve"> = 100%</w:t>
                            </w:r>
                          </w:p>
                        </w:txbxContent>
                      </v:textbox>
                    </v:shape>
                  </w:pict>
                </mc:Fallback>
              </mc:AlternateContent>
            </w:r>
            <w:r w:rsidR="009E7D51" w:rsidRPr="009E7D51">
              <w:rPr>
                <w:rFonts w:ascii="Arial" w:hAnsi="Arial" w:cs="Arial"/>
                <w:b/>
                <w:noProof/>
                <w:sz w:val="20"/>
                <w:szCs w:val="20"/>
              </w:rPr>
              <mc:AlternateContent>
                <mc:Choice Requires="wps">
                  <w:drawing>
                    <wp:anchor distT="0" distB="0" distL="114300" distR="114300" simplePos="0" relativeHeight="251651584" behindDoc="0" locked="0" layoutInCell="1" allowOverlap="1" wp14:anchorId="52F41A69" wp14:editId="79A61E89">
                      <wp:simplePos x="0" y="0"/>
                      <wp:positionH relativeFrom="column">
                        <wp:posOffset>2997200</wp:posOffset>
                      </wp:positionH>
                      <wp:positionV relativeFrom="paragraph">
                        <wp:posOffset>802005</wp:posOffset>
                      </wp:positionV>
                      <wp:extent cx="603250" cy="194310"/>
                      <wp:effectExtent l="38100" t="0" r="25400" b="53340"/>
                      <wp:wrapNone/>
                      <wp:docPr id="19" name="Freeform 18"/>
                      <wp:cNvGraphicFramePr/>
                      <a:graphic xmlns:a="http://schemas.openxmlformats.org/drawingml/2006/main">
                        <a:graphicData uri="http://schemas.microsoft.com/office/word/2010/wordprocessingShape">
                          <wps:wsp>
                            <wps:cNvSpPr/>
                            <wps:spPr>
                              <a:xfrm>
                                <a:off x="0" y="0"/>
                                <a:ext cx="603250" cy="194310"/>
                              </a:xfrm>
                              <a:custGeom>
                                <a:avLst/>
                                <a:gdLst>
                                  <a:gd name="connsiteX0" fmla="*/ 685800 w 685800"/>
                                  <a:gd name="connsiteY0" fmla="*/ 7620 h 137160"/>
                                  <a:gd name="connsiteX1" fmla="*/ 259080 w 685800"/>
                                  <a:gd name="connsiteY1" fmla="*/ 0 h 137160"/>
                                  <a:gd name="connsiteX2" fmla="*/ 22860 w 685800"/>
                                  <a:gd name="connsiteY2" fmla="*/ 137160 h 137160"/>
                                  <a:gd name="connsiteX3" fmla="*/ 0 w 685800"/>
                                  <a:gd name="connsiteY3" fmla="*/ 137160 h 137160"/>
                                  <a:gd name="connsiteX0" fmla="*/ 685800 w 685800"/>
                                  <a:gd name="connsiteY0" fmla="*/ 0 h 129540"/>
                                  <a:gd name="connsiteX1" fmla="*/ 406220 w 685800"/>
                                  <a:gd name="connsiteY1" fmla="*/ 2540 h 129540"/>
                                  <a:gd name="connsiteX2" fmla="*/ 22860 w 685800"/>
                                  <a:gd name="connsiteY2" fmla="*/ 129540 h 129540"/>
                                  <a:gd name="connsiteX3" fmla="*/ 0 w 685800"/>
                                  <a:gd name="connsiteY3" fmla="*/ 129540 h 129540"/>
                                </a:gdLst>
                                <a:ahLst/>
                                <a:cxnLst>
                                  <a:cxn ang="0">
                                    <a:pos x="connsiteX0" y="connsiteY0"/>
                                  </a:cxn>
                                  <a:cxn ang="0">
                                    <a:pos x="connsiteX1" y="connsiteY1"/>
                                  </a:cxn>
                                  <a:cxn ang="0">
                                    <a:pos x="connsiteX2" y="connsiteY2"/>
                                  </a:cxn>
                                  <a:cxn ang="0">
                                    <a:pos x="connsiteX3" y="connsiteY3"/>
                                  </a:cxn>
                                </a:cxnLst>
                                <a:rect l="l" t="t" r="r" b="b"/>
                                <a:pathLst>
                                  <a:path w="685800" h="129540">
                                    <a:moveTo>
                                      <a:pt x="685800" y="0"/>
                                    </a:moveTo>
                                    <a:lnTo>
                                      <a:pt x="406220" y="2540"/>
                                    </a:lnTo>
                                    <a:lnTo>
                                      <a:pt x="22860" y="129540"/>
                                    </a:lnTo>
                                    <a:lnTo>
                                      <a:pt x="0" y="129540"/>
                                    </a:lnTo>
                                  </a:path>
                                </a:pathLst>
                              </a:custGeom>
                              <a:noFill/>
                              <a:ln>
                                <a:solidFill>
                                  <a:schemeClr val="tx1"/>
                                </a:solidFill>
                                <a:tailEnd type="triangle" w="med" len="lg"/>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5="http://schemas.microsoft.com/office/word/2012/wordml" xmlns:cx="http://schemas.microsoft.com/office/drawing/2014/chartex">
                  <w:pict>
                    <v:shape w14:anchorId="51125262" id="Freeform 18" o:spid="_x0000_s1026" style="position:absolute;margin-left:236pt;margin-top:63.15pt;width:47.5pt;height:15.3pt;z-index:251651584;visibility:visible;mso-wrap-style:square;mso-wrap-distance-left:9pt;mso-wrap-distance-top:0;mso-wrap-distance-right:9pt;mso-wrap-distance-bottom:0;mso-position-horizontal:absolute;mso-position-horizontal-relative:text;mso-position-vertical:absolute;mso-position-vertical-relative:text;v-text-anchor:middle" coordsize="68580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" path="m685800,l406220,2540,22860,129540,,129540e" filled="f" strokecolor="black [3213]" strokeweight="2pt">
                      <v:stroke endarrow="block" endarrowlength="long"/>
                      <v:path arrowok="t" o:connecttype="custom" o:connectlocs="603250,0;357323,3810;20108,194310;0,194310" o:connectangles="0,0,0,0"/>
                    </v:shape>
                  </w:pict>
                </mc:Fallback>
              </mc:AlternateContent>
            </w:r>
            <w:r w:rsidR="009E7D51" w:rsidRPr="009E7D51">
              <w:rPr>
                <w:rFonts w:ascii="Arial" w:hAnsi="Arial" w:cs="Arial"/>
                <w:b/>
                <w:noProof/>
                <w:sz w:val="20"/>
                <w:szCs w:val="20"/>
              </w:rPr>
              <mc:AlternateContent>
                <mc:Choice Requires="wps">
                  <w:drawing>
                    <wp:anchor distT="0" distB="0" distL="114300" distR="114300" simplePos="0" relativeHeight="251661824" behindDoc="0" locked="0" layoutInCell="1" allowOverlap="1" wp14:anchorId="74EE594A" wp14:editId="76E45EE5">
                      <wp:simplePos x="0" y="0"/>
                      <wp:positionH relativeFrom="column">
                        <wp:posOffset>2976245</wp:posOffset>
                      </wp:positionH>
                      <wp:positionV relativeFrom="paragraph">
                        <wp:posOffset>821055</wp:posOffset>
                      </wp:positionV>
                      <wp:extent cx="370840" cy="712470"/>
                      <wp:effectExtent l="38100" t="0" r="29210" b="49530"/>
                      <wp:wrapNone/>
                      <wp:docPr id="22" name="Straight Arrow Connector 21"/>
                      <wp:cNvGraphicFramePr/>
                      <a:graphic xmlns:a="http://schemas.openxmlformats.org/drawingml/2006/main">
                        <a:graphicData uri="http://schemas.microsoft.com/office/word/2010/wordprocessingShape">
                          <wps:wsp>
                            <wps:cNvCnPr/>
                            <wps:spPr>
                              <a:xfrm flipH="1">
                                <a:off x="0" y="0"/>
                                <a:ext cx="370840" cy="712470"/>
                              </a:xfrm>
                              <a:prstGeom prst="straightConnector1">
                                <a:avLst/>
                              </a:prstGeom>
                              <a:ln w="2540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1F650D2B" id="Straight Arrow Connector 21" o:spid="_x0000_s1026" type="#_x0000_t32" style="position:absolute;margin-left:234.35pt;margin-top:64.65pt;width:29.2pt;height:56.1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" strokecolor="black [3213]" strokeweight="2pt">
                      <v:stroke endarrow="block" endarrowlength="long"/>
                    </v:shape>
                  </w:pict>
                </mc:Fallback>
              </mc:AlternateContent>
            </w:r>
            <w:r w:rsidR="009E7D51" w:rsidRPr="009E7D51">
              <w:rPr>
                <w:rFonts w:ascii="Arial" w:hAnsi="Arial" w:cs="Arial"/>
                <w:b/>
                <w:noProof/>
                <w:sz w:val="20"/>
                <w:szCs w:val="20"/>
              </w:rPr>
              <mc:AlternateContent>
                <mc:Choice Requires="wps">
                  <w:drawing>
                    <wp:anchor distT="0" distB="0" distL="114300" distR="114300" simplePos="0" relativeHeight="251642368" behindDoc="0" locked="0" layoutInCell="1" allowOverlap="1" wp14:anchorId="32197080" wp14:editId="14FDBB57">
                      <wp:simplePos x="0" y="0"/>
                      <wp:positionH relativeFrom="column">
                        <wp:posOffset>3642360</wp:posOffset>
                      </wp:positionH>
                      <wp:positionV relativeFrom="paragraph">
                        <wp:posOffset>525780</wp:posOffset>
                      </wp:positionV>
                      <wp:extent cx="1714500" cy="645795"/>
                      <wp:effectExtent l="0" t="0" r="0" b="0"/>
                      <wp:wrapNone/>
                      <wp:docPr id="14" name="TextBox 13"/>
                      <wp:cNvGraphicFramePr/>
                      <a:graphic xmlns:a="http://schemas.openxmlformats.org/drawingml/2006/main">
                        <a:graphicData uri="http://schemas.microsoft.com/office/word/2010/wordprocessingShape">
                          <wps:wsp>
                            <wps:cNvSpPr txBox="1"/>
                            <wps:spPr>
                              <a:xfrm>
                                <a:off x="0" y="0"/>
                                <a:ext cx="1714500" cy="645795"/>
                              </a:xfrm>
                              <a:prstGeom prst="rect">
                                <a:avLst/>
                              </a:prstGeom>
                              <a:solidFill>
                                <a:schemeClr val="bg1"/>
                              </a:solidFill>
                            </wps:spPr>
                            <wps:txbx>
                              <w:txbxContent>
                                <w:p w:rsidR="009E7D51" w:rsidRDefault="009E7D51" w:rsidP="009E7D51">
                                  <w:pPr>
                                    <w:pStyle w:val="NormalWeb"/>
                                    <w:spacing w:before="0" w:beforeAutospacing="0" w:after="0" w:afterAutospacing="0"/>
                                  </w:pPr>
                                  <w:r>
                                    <w:rPr>
                                      <w:rFonts w:asciiTheme="minorHAnsi" w:hAnsi="Calibri" w:cstheme="minorBidi"/>
                                      <w:color w:val="000000" w:themeColor="text1"/>
                                      <w:kern w:val="24"/>
                                    </w:rPr>
                                    <w:t xml:space="preserve">Range of Data for Sands </w:t>
                                  </w:r>
                                  <w:r>
                                    <w:rPr>
                                      <w:rFonts w:asciiTheme="minorHAnsi" w:hAnsi="Calibri" w:cstheme="minorBidi"/>
                                      <w:color w:val="2D1EEE"/>
                                      <w:kern w:val="24"/>
                                    </w:rPr>
                                    <w:t>No Liquefaction</w:t>
                                  </w:r>
                                </w:p>
                                <w:p w:rsidR="009E7D51" w:rsidRDefault="009E7D51" w:rsidP="009E7D51">
                                  <w:pPr>
                                    <w:pStyle w:val="NormalWeb"/>
                                    <w:spacing w:before="0" w:beforeAutospacing="0" w:after="0" w:afterAutospacing="0"/>
                                  </w:pPr>
                                  <w:r>
                                    <w:rPr>
                                      <w:rFonts w:asciiTheme="minorHAnsi" w:hAnsi="Calibri" w:cstheme="minorBidi"/>
                                      <w:color w:val="000000" w:themeColor="text1"/>
                                      <w:kern w:val="24"/>
                                    </w:rPr>
                                    <w:t>Seed et al. (1986)</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2197080" id="_x0000_s1028" type="#_x0000_t202" style="position:absolute;margin-left:286.8pt;margin-top:41.4pt;width:135pt;height:50.85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" fillcolor="white [3212]" stroked="f">
                      <v:textbox style="mso-fit-shape-to-text:t">
                        <w:txbxContent>
                          <w:p w:rsidR="009E7D51" w:rsidRDefault="009E7D51" w:rsidP="009E7D51">
                            <w:pPr>
                              <w:pStyle w:val="NormalWeb"/>
                              <w:spacing w:before="0" w:beforeAutospacing="0" w:after="0" w:afterAutospacing="0"/>
                            </w:pPr>
                            <w:r>
                              <w:rPr>
                                <w:rFonts w:asciiTheme="minorHAnsi" w:hAnsi="Calibri" w:cstheme="minorBidi"/>
                                <w:color w:val="000000" w:themeColor="text1"/>
                                <w:kern w:val="24"/>
                              </w:rPr>
                              <w:t xml:space="preserve">Range of Data for Sands </w:t>
                            </w:r>
                            <w:r>
                              <w:rPr>
                                <w:rFonts w:asciiTheme="minorHAnsi" w:hAnsi="Calibri" w:cstheme="minorBidi"/>
                                <w:color w:val="2D1EEE"/>
                                <w:kern w:val="24"/>
                              </w:rPr>
                              <w:t>No Liquefaction</w:t>
                            </w:r>
                          </w:p>
                          <w:p w:rsidR="009E7D51" w:rsidRDefault="009E7D51" w:rsidP="009E7D51">
                            <w:pPr>
                              <w:pStyle w:val="NormalWeb"/>
                              <w:spacing w:before="0" w:beforeAutospacing="0" w:after="0" w:afterAutospacing="0"/>
                            </w:pPr>
                            <w:r>
                              <w:rPr>
                                <w:rFonts w:asciiTheme="minorHAnsi" w:hAnsi="Calibri" w:cstheme="minorBidi"/>
                                <w:color w:val="000000" w:themeColor="text1"/>
                                <w:kern w:val="24"/>
                              </w:rPr>
                              <w:t>Seed et al. (198</w:t>
                            </w:r>
                            <w:r>
                              <w:rPr>
                                <w:rFonts w:asciiTheme="minorHAnsi" w:hAnsi="Calibri" w:cstheme="minorBidi"/>
                                <w:color w:val="000000" w:themeColor="text1"/>
                                <w:kern w:val="24"/>
                              </w:rPr>
                              <w:t>6</w:t>
                            </w:r>
                            <w:r>
                              <w:rPr>
                                <w:rFonts w:asciiTheme="minorHAnsi" w:hAnsi="Calibri" w:cstheme="minorBidi"/>
                                <w:color w:val="000000" w:themeColor="text1"/>
                                <w:kern w:val="24"/>
                              </w:rPr>
                              <w:t>)</w:t>
                            </w:r>
                          </w:p>
                        </w:txbxContent>
                      </v:textbox>
                    </v:shape>
                  </w:pict>
                </mc:Fallback>
              </mc:AlternateContent>
            </w:r>
          </w:p>
          <w:p w:rsidR="0065129D" w:rsidRDefault="0065129D" w:rsidP="0065129D">
            <w:pPr>
              <w:tabs>
                <w:tab w:val="left" w:pos="1690"/>
              </w:tabs>
              <w:spacing w:after="0" w:line="240" w:lineRule="auto"/>
              <w:rPr>
                <w:rFonts w:ascii="Arial" w:hAnsi="Arial" w:cs="Arial"/>
                <w:b/>
                <w:sz w:val="20"/>
                <w:szCs w:val="20"/>
              </w:rPr>
            </w:pPr>
            <w:r>
              <w:rPr>
                <w:rFonts w:ascii="Arial" w:hAnsi="Arial" w:cs="Arial"/>
                <w:b/>
                <w:sz w:val="20"/>
                <w:szCs w:val="20"/>
              </w:rPr>
              <w:t>Fig. 2</w:t>
            </w:r>
            <w:r w:rsidR="00485BCB">
              <w:rPr>
                <w:rFonts w:ascii="Arial" w:hAnsi="Arial" w:cs="Arial"/>
                <w:b/>
                <w:sz w:val="20"/>
                <w:szCs w:val="20"/>
              </w:rPr>
              <w:t>.</w:t>
            </w:r>
            <w:r>
              <w:rPr>
                <w:rFonts w:ascii="Arial" w:hAnsi="Arial" w:cs="Arial"/>
                <w:b/>
                <w:sz w:val="20"/>
                <w:szCs w:val="20"/>
              </w:rPr>
              <w:t xml:space="preserve"> G/G</w:t>
            </w:r>
            <w:r w:rsidRPr="001D7748">
              <w:rPr>
                <w:rFonts w:ascii="Arial" w:hAnsi="Arial" w:cs="Arial"/>
                <w:b/>
                <w:sz w:val="20"/>
                <w:szCs w:val="20"/>
                <w:vertAlign w:val="subscript"/>
              </w:rPr>
              <w:t>o</w:t>
            </w:r>
            <w:r>
              <w:rPr>
                <w:rFonts w:ascii="Arial" w:hAnsi="Arial" w:cs="Arial"/>
                <w:b/>
                <w:sz w:val="20"/>
                <w:szCs w:val="20"/>
              </w:rPr>
              <w:t xml:space="preserve"> </w:t>
            </w:r>
            <w:proofErr w:type="spellStart"/>
            <w:r>
              <w:rPr>
                <w:rFonts w:ascii="Arial" w:hAnsi="Arial" w:cs="Arial"/>
                <w:b/>
                <w:sz w:val="20"/>
                <w:szCs w:val="20"/>
              </w:rPr>
              <w:t>vs</w:t>
            </w:r>
            <w:proofErr w:type="spellEnd"/>
            <w:r>
              <w:rPr>
                <w:rFonts w:ascii="Arial" w:hAnsi="Arial" w:cs="Arial"/>
                <w:b/>
                <w:sz w:val="20"/>
                <w:szCs w:val="20"/>
              </w:rPr>
              <w:t xml:space="preserve"> cyclic shear strain data points from laminar shear box tests with </w:t>
            </w:r>
            <w:proofErr w:type="spellStart"/>
            <w:r>
              <w:rPr>
                <w:rFonts w:ascii="Arial" w:hAnsi="Arial" w:cs="Arial"/>
                <w:b/>
                <w:sz w:val="20"/>
                <w:szCs w:val="20"/>
              </w:rPr>
              <w:t>R</w:t>
            </w:r>
            <w:r w:rsidRPr="001D7748">
              <w:rPr>
                <w:rFonts w:ascii="Arial" w:hAnsi="Arial" w:cs="Arial"/>
                <w:b/>
                <w:sz w:val="20"/>
                <w:szCs w:val="20"/>
                <w:vertAlign w:val="subscript"/>
              </w:rPr>
              <w:t>u</w:t>
            </w:r>
            <w:proofErr w:type="spellEnd"/>
            <w:r>
              <w:rPr>
                <w:rFonts w:ascii="Arial" w:hAnsi="Arial" w:cs="Arial"/>
                <w:b/>
                <w:sz w:val="20"/>
                <w:szCs w:val="20"/>
              </w:rPr>
              <w:t xml:space="preserve">&gt;60% in comparison with curves developed from cyclic </w:t>
            </w:r>
            <w:proofErr w:type="spellStart"/>
            <w:r>
              <w:rPr>
                <w:rFonts w:ascii="Arial" w:hAnsi="Arial" w:cs="Arial"/>
                <w:b/>
                <w:sz w:val="20"/>
                <w:szCs w:val="20"/>
              </w:rPr>
              <w:t>triaxial</w:t>
            </w:r>
            <w:proofErr w:type="spellEnd"/>
            <w:r>
              <w:rPr>
                <w:rFonts w:ascii="Arial" w:hAnsi="Arial" w:cs="Arial"/>
                <w:b/>
                <w:sz w:val="20"/>
                <w:szCs w:val="20"/>
              </w:rPr>
              <w:t xml:space="preserve"> shear tests with </w:t>
            </w:r>
            <w:proofErr w:type="spellStart"/>
            <w:r>
              <w:rPr>
                <w:rFonts w:ascii="Arial" w:hAnsi="Arial" w:cs="Arial"/>
                <w:b/>
                <w:sz w:val="20"/>
                <w:szCs w:val="20"/>
              </w:rPr>
              <w:t>R</w:t>
            </w:r>
            <w:r w:rsidRPr="0065129D">
              <w:rPr>
                <w:rFonts w:ascii="Arial" w:hAnsi="Arial" w:cs="Arial"/>
                <w:b/>
                <w:sz w:val="20"/>
                <w:szCs w:val="20"/>
                <w:vertAlign w:val="subscript"/>
              </w:rPr>
              <w:t>u</w:t>
            </w:r>
            <w:proofErr w:type="spellEnd"/>
            <w:r>
              <w:rPr>
                <w:rFonts w:ascii="Arial" w:hAnsi="Arial" w:cs="Arial"/>
                <w:b/>
                <w:sz w:val="20"/>
                <w:szCs w:val="20"/>
              </w:rPr>
              <w:t xml:space="preserve"> = 0% (Seed et al 1986).</w:t>
            </w:r>
            <w:r w:rsidR="00C03E25">
              <w:rPr>
                <w:rFonts w:ascii="Arial" w:hAnsi="Arial" w:cs="Arial"/>
                <w:b/>
                <w:sz w:val="20"/>
                <w:szCs w:val="20"/>
              </w:rPr>
              <w:t xml:space="preserve"> Data points for G/Go from shear wave velocity testing in blast liquefaction tests are also shown.</w:t>
            </w:r>
            <w:r>
              <w:rPr>
                <w:rFonts w:ascii="Arial" w:hAnsi="Arial" w:cs="Arial"/>
                <w:b/>
                <w:sz w:val="20"/>
                <w:szCs w:val="20"/>
              </w:rPr>
              <w:t xml:space="preserve"> </w:t>
            </w:r>
          </w:p>
          <w:p w:rsidR="009E7D51" w:rsidRDefault="009E7D51" w:rsidP="00477D92">
            <w:pPr>
              <w:tabs>
                <w:tab w:val="left" w:pos="1690"/>
              </w:tabs>
              <w:spacing w:after="0" w:line="240" w:lineRule="auto"/>
              <w:rPr>
                <w:rFonts w:ascii="Arial" w:hAnsi="Arial" w:cs="Arial"/>
                <w:b/>
                <w:sz w:val="20"/>
                <w:szCs w:val="20"/>
              </w:rPr>
            </w:pPr>
          </w:p>
          <w:p w:rsidR="00FD0543" w:rsidRDefault="009315CD" w:rsidP="00477D92">
            <w:pPr>
              <w:tabs>
                <w:tab w:val="left" w:pos="1690"/>
              </w:tabs>
              <w:spacing w:after="0" w:line="240" w:lineRule="auto"/>
              <w:rPr>
                <w:rFonts w:ascii="Arial" w:hAnsi="Arial" w:cs="Arial"/>
                <w:sz w:val="20"/>
                <w:szCs w:val="20"/>
              </w:rPr>
            </w:pPr>
            <w:r>
              <w:rPr>
                <w:rFonts w:ascii="Arial" w:hAnsi="Arial" w:cs="Arial"/>
                <w:sz w:val="20"/>
                <w:szCs w:val="20"/>
              </w:rPr>
              <w:t xml:space="preserve">The measured cyclic </w:t>
            </w:r>
            <w:r w:rsidR="009769E2">
              <w:rPr>
                <w:rFonts w:ascii="Arial" w:hAnsi="Arial" w:cs="Arial"/>
                <w:sz w:val="20"/>
                <w:szCs w:val="20"/>
              </w:rPr>
              <w:t xml:space="preserve">shear </w:t>
            </w:r>
            <w:r>
              <w:rPr>
                <w:rFonts w:ascii="Arial" w:hAnsi="Arial" w:cs="Arial"/>
                <w:sz w:val="20"/>
                <w:szCs w:val="20"/>
              </w:rPr>
              <w:t xml:space="preserve">strain and excess </w:t>
            </w:r>
            <w:proofErr w:type="gramStart"/>
            <w:r>
              <w:rPr>
                <w:rFonts w:ascii="Arial" w:hAnsi="Arial" w:cs="Arial"/>
                <w:sz w:val="20"/>
                <w:szCs w:val="20"/>
              </w:rPr>
              <w:t>pore</w:t>
            </w:r>
            <w:proofErr w:type="gramEnd"/>
            <w:r>
              <w:rPr>
                <w:rFonts w:ascii="Arial" w:hAnsi="Arial" w:cs="Arial"/>
                <w:sz w:val="20"/>
                <w:szCs w:val="20"/>
              </w:rPr>
              <w:t xml:space="preserve"> pressure data from the </w:t>
            </w:r>
            <w:r w:rsidR="009769E2">
              <w:rPr>
                <w:rFonts w:ascii="Arial" w:hAnsi="Arial" w:cs="Arial"/>
                <w:sz w:val="20"/>
                <w:szCs w:val="20"/>
              </w:rPr>
              <w:t xml:space="preserve">laminar shear box tests was also used to evaluate the development of excess pore pressure with shear strain during the various tests with PVD Drains.  Fig. 3 provides a plot showing the typical range of data defining the development of </w:t>
            </w:r>
            <w:proofErr w:type="spellStart"/>
            <w:r w:rsidR="009769E2">
              <w:rPr>
                <w:rFonts w:ascii="Arial" w:hAnsi="Arial" w:cs="Arial"/>
                <w:sz w:val="20"/>
                <w:szCs w:val="20"/>
              </w:rPr>
              <w:t>R</w:t>
            </w:r>
            <w:r w:rsidR="009769E2" w:rsidRPr="009769E2">
              <w:rPr>
                <w:rFonts w:ascii="Arial" w:hAnsi="Arial" w:cs="Arial"/>
                <w:sz w:val="20"/>
                <w:szCs w:val="20"/>
                <w:vertAlign w:val="subscript"/>
              </w:rPr>
              <w:t>u</w:t>
            </w:r>
            <w:proofErr w:type="spellEnd"/>
            <w:r w:rsidR="009769E2">
              <w:rPr>
                <w:rFonts w:ascii="Arial" w:hAnsi="Arial" w:cs="Arial"/>
                <w:sz w:val="20"/>
                <w:szCs w:val="20"/>
              </w:rPr>
              <w:t xml:space="preserve"> as a function of cyclic shear strain amplitude</w:t>
            </w:r>
            <w:r w:rsidR="000D13A6">
              <w:rPr>
                <w:rFonts w:ascii="Arial" w:hAnsi="Arial" w:cs="Arial"/>
                <w:sz w:val="20"/>
                <w:szCs w:val="20"/>
              </w:rPr>
              <w:t xml:space="preserve">, </w:t>
            </w:r>
            <w:r w:rsidR="000D13A6">
              <w:rPr>
                <w:rFonts w:ascii="Times New Roman" w:hAnsi="Times New Roman"/>
                <w:sz w:val="20"/>
                <w:szCs w:val="20"/>
              </w:rPr>
              <w:t>γ</w:t>
            </w:r>
            <w:r w:rsidR="000D13A6">
              <w:rPr>
                <w:rFonts w:ascii="Arial" w:hAnsi="Arial" w:cs="Arial"/>
                <w:sz w:val="20"/>
                <w:szCs w:val="20"/>
              </w:rPr>
              <w:t>,</w:t>
            </w:r>
            <w:r w:rsidR="009769E2">
              <w:rPr>
                <w:rFonts w:ascii="Arial" w:hAnsi="Arial" w:cs="Arial"/>
                <w:sz w:val="20"/>
                <w:szCs w:val="20"/>
              </w:rPr>
              <w:t xml:space="preserve"> after 10 cycles as determined by </w:t>
            </w:r>
            <w:proofErr w:type="spellStart"/>
            <w:r w:rsidR="009769E2">
              <w:rPr>
                <w:rFonts w:ascii="Arial" w:hAnsi="Arial" w:cs="Arial"/>
                <w:sz w:val="20"/>
                <w:szCs w:val="20"/>
              </w:rPr>
              <w:t>Dobry</w:t>
            </w:r>
            <w:proofErr w:type="spellEnd"/>
            <w:r w:rsidR="009769E2">
              <w:rPr>
                <w:rFonts w:ascii="Arial" w:hAnsi="Arial" w:cs="Arial"/>
                <w:sz w:val="20"/>
                <w:szCs w:val="20"/>
              </w:rPr>
              <w:t xml:space="preserve"> (1984) from </w:t>
            </w:r>
            <w:proofErr w:type="spellStart"/>
            <w:r w:rsidR="009769E2">
              <w:rPr>
                <w:rFonts w:ascii="Arial" w:hAnsi="Arial" w:cs="Arial"/>
                <w:sz w:val="20"/>
                <w:szCs w:val="20"/>
              </w:rPr>
              <w:t>triaxial</w:t>
            </w:r>
            <w:proofErr w:type="spellEnd"/>
            <w:r w:rsidR="009769E2">
              <w:rPr>
                <w:rFonts w:ascii="Arial" w:hAnsi="Arial" w:cs="Arial"/>
                <w:sz w:val="20"/>
                <w:szCs w:val="20"/>
              </w:rPr>
              <w:t xml:space="preserve"> cyclic strain tests.  The range of data encompasses sands with relative densities from 20 to 80% with an average of about 60%.</w:t>
            </w:r>
            <w:r w:rsidR="00AB1C0D">
              <w:rPr>
                <w:rFonts w:ascii="Arial" w:hAnsi="Arial" w:cs="Arial"/>
                <w:sz w:val="20"/>
                <w:szCs w:val="20"/>
              </w:rPr>
              <w:t xml:space="preserve">  These results suggest that the range of data is relatively unaffected by relative density.  This is likely due to the fact that the relationships are based on strain rather than stress.  Although </w:t>
            </w:r>
            <w:proofErr w:type="gramStart"/>
            <w:r w:rsidR="00AB1C0D">
              <w:rPr>
                <w:rFonts w:ascii="Arial" w:hAnsi="Arial" w:cs="Arial"/>
                <w:sz w:val="20"/>
                <w:szCs w:val="20"/>
              </w:rPr>
              <w:t>a denser</w:t>
            </w:r>
            <w:proofErr w:type="gramEnd"/>
            <w:r w:rsidR="00AB1C0D">
              <w:rPr>
                <w:rFonts w:ascii="Arial" w:hAnsi="Arial" w:cs="Arial"/>
                <w:sz w:val="20"/>
                <w:szCs w:val="20"/>
              </w:rPr>
              <w:t xml:space="preserve"> sand may require a higher shear stress than a loose sand to induce liquefaction, a denser sand will also require a greater stress to develop </w:t>
            </w:r>
            <w:r w:rsidR="000D13A6">
              <w:rPr>
                <w:rFonts w:ascii="Arial" w:hAnsi="Arial" w:cs="Arial"/>
                <w:sz w:val="20"/>
                <w:szCs w:val="20"/>
              </w:rPr>
              <w:t>the same</w:t>
            </w:r>
            <w:r w:rsidR="00AB1C0D">
              <w:rPr>
                <w:rFonts w:ascii="Arial" w:hAnsi="Arial" w:cs="Arial"/>
                <w:sz w:val="20"/>
                <w:szCs w:val="20"/>
              </w:rPr>
              <w:t xml:space="preserve"> shear strain tha</w:t>
            </w:r>
            <w:r w:rsidR="000D13A6">
              <w:rPr>
                <w:rFonts w:ascii="Arial" w:hAnsi="Arial" w:cs="Arial"/>
                <w:sz w:val="20"/>
                <w:szCs w:val="20"/>
              </w:rPr>
              <w:t xml:space="preserve">t a loose sand would develop at lower stress. </w:t>
            </w:r>
            <w:proofErr w:type="spellStart"/>
            <w:r w:rsidR="000D13A6">
              <w:rPr>
                <w:rFonts w:ascii="Arial" w:hAnsi="Arial" w:cs="Arial"/>
                <w:sz w:val="20"/>
                <w:szCs w:val="20"/>
              </w:rPr>
              <w:t>Dobry</w:t>
            </w:r>
            <w:proofErr w:type="spellEnd"/>
            <w:r w:rsidR="000D13A6">
              <w:rPr>
                <w:rFonts w:ascii="Arial" w:hAnsi="Arial" w:cs="Arial"/>
                <w:sz w:val="20"/>
                <w:szCs w:val="20"/>
              </w:rPr>
              <w:t xml:space="preserve"> (1984) contends that the relationship between </w:t>
            </w:r>
            <w:proofErr w:type="spellStart"/>
            <w:r w:rsidR="000D13A6">
              <w:rPr>
                <w:rFonts w:ascii="Arial" w:hAnsi="Arial" w:cs="Arial"/>
                <w:sz w:val="20"/>
                <w:szCs w:val="20"/>
              </w:rPr>
              <w:t>Ru</w:t>
            </w:r>
            <w:proofErr w:type="spellEnd"/>
            <w:r w:rsidR="000D13A6">
              <w:rPr>
                <w:rFonts w:ascii="Arial" w:hAnsi="Arial" w:cs="Arial"/>
                <w:sz w:val="20"/>
                <w:szCs w:val="20"/>
              </w:rPr>
              <w:t xml:space="preserve"> and </w:t>
            </w:r>
            <w:r w:rsidR="000D13A6">
              <w:rPr>
                <w:rFonts w:ascii="Times New Roman" w:hAnsi="Times New Roman"/>
                <w:sz w:val="20"/>
                <w:szCs w:val="20"/>
              </w:rPr>
              <w:t>γ</w:t>
            </w:r>
            <w:r w:rsidR="000D13A6">
              <w:rPr>
                <w:rFonts w:ascii="Arial" w:hAnsi="Arial" w:cs="Arial"/>
                <w:sz w:val="20"/>
                <w:szCs w:val="20"/>
              </w:rPr>
              <w:t xml:space="preserve"> is a fundamental relationship governing the development of excess pore pressure during liquefaction.  </w:t>
            </w:r>
            <w:proofErr w:type="spellStart"/>
            <w:r w:rsidR="000D13A6">
              <w:rPr>
                <w:rFonts w:ascii="Arial" w:hAnsi="Arial" w:cs="Arial"/>
                <w:sz w:val="20"/>
                <w:szCs w:val="20"/>
              </w:rPr>
              <w:t>Ru</w:t>
            </w:r>
            <w:proofErr w:type="spellEnd"/>
            <w:r w:rsidR="000D13A6">
              <w:rPr>
                <w:rFonts w:ascii="Arial" w:hAnsi="Arial" w:cs="Arial"/>
                <w:sz w:val="20"/>
                <w:szCs w:val="20"/>
              </w:rPr>
              <w:t xml:space="preserve"> </w:t>
            </w:r>
            <w:proofErr w:type="spellStart"/>
            <w:r w:rsidR="000D13A6">
              <w:rPr>
                <w:rFonts w:ascii="Arial" w:hAnsi="Arial" w:cs="Arial"/>
                <w:sz w:val="20"/>
                <w:szCs w:val="20"/>
              </w:rPr>
              <w:t>vs</w:t>
            </w:r>
            <w:proofErr w:type="spellEnd"/>
            <w:r w:rsidR="000D13A6">
              <w:rPr>
                <w:rFonts w:ascii="Arial" w:hAnsi="Arial" w:cs="Arial"/>
                <w:sz w:val="20"/>
                <w:szCs w:val="20"/>
              </w:rPr>
              <w:t xml:space="preserve"> </w:t>
            </w:r>
            <w:r w:rsidR="000D13A6">
              <w:rPr>
                <w:rFonts w:ascii="Times New Roman" w:hAnsi="Times New Roman"/>
                <w:sz w:val="20"/>
                <w:szCs w:val="20"/>
              </w:rPr>
              <w:t>γ</w:t>
            </w:r>
            <w:r w:rsidR="000D13A6">
              <w:rPr>
                <w:rFonts w:ascii="Arial" w:hAnsi="Arial" w:cs="Arial"/>
                <w:sz w:val="20"/>
                <w:szCs w:val="20"/>
              </w:rPr>
              <w:t xml:space="preserve"> data from the three rounds of tests with the PV drains </w:t>
            </w:r>
            <w:r w:rsidR="00375F0E">
              <w:rPr>
                <w:rFonts w:ascii="Arial" w:hAnsi="Arial" w:cs="Arial"/>
                <w:sz w:val="20"/>
                <w:szCs w:val="20"/>
              </w:rPr>
              <w:t>are</w:t>
            </w:r>
            <w:r w:rsidR="000D13A6">
              <w:rPr>
                <w:rFonts w:ascii="Arial" w:hAnsi="Arial" w:cs="Arial"/>
                <w:sz w:val="20"/>
                <w:szCs w:val="20"/>
              </w:rPr>
              <w:t xml:space="preserve"> also plotted in Fig. 3</w:t>
            </w:r>
            <w:r w:rsidR="00375F0E">
              <w:rPr>
                <w:rFonts w:ascii="Arial" w:hAnsi="Arial" w:cs="Arial"/>
                <w:sz w:val="20"/>
                <w:szCs w:val="20"/>
              </w:rPr>
              <w:t>.  The</w:t>
            </w:r>
            <w:r w:rsidR="00375F0E">
              <w:rPr>
                <w:rFonts w:ascii="Times New Roman" w:hAnsi="Times New Roman"/>
                <w:sz w:val="20"/>
                <w:szCs w:val="20"/>
              </w:rPr>
              <w:t xml:space="preserve"> γ</w:t>
            </w:r>
            <w:r w:rsidR="00375F0E">
              <w:rPr>
                <w:rFonts w:ascii="Arial" w:hAnsi="Arial" w:cs="Arial"/>
                <w:sz w:val="20"/>
                <w:szCs w:val="20"/>
              </w:rPr>
              <w:t xml:space="preserve"> value is the average shear strain at a given depth for 10 cycles and </w:t>
            </w:r>
            <w:proofErr w:type="spellStart"/>
            <w:r w:rsidR="00375F0E">
              <w:rPr>
                <w:rFonts w:ascii="Arial" w:hAnsi="Arial" w:cs="Arial"/>
                <w:sz w:val="20"/>
                <w:szCs w:val="20"/>
              </w:rPr>
              <w:t>Ru</w:t>
            </w:r>
            <w:proofErr w:type="spellEnd"/>
            <w:r w:rsidR="00375F0E">
              <w:rPr>
                <w:rFonts w:ascii="Arial" w:hAnsi="Arial" w:cs="Arial"/>
                <w:sz w:val="20"/>
                <w:szCs w:val="20"/>
              </w:rPr>
              <w:t xml:space="preserve"> is the peak excess pore pressure developed in those 10 cycles from the pore pressure transducer at that depth. Each round of tests involved three separate shaking tests with peak accelerations of 0.05, 0.10 and 0.20g. For the first round of tests the data points generally fall within the range of data for sands without drains, although there are some data points which pull the average best-fit power curve down near the bottom of the range of data.  These results suggest that the drains were having a minor effect on pore pressure response for the very loose, compressible soil structure that existed in the freshly placed soil.</w:t>
            </w:r>
            <w:r w:rsidR="00873882">
              <w:rPr>
                <w:rFonts w:ascii="Arial" w:hAnsi="Arial" w:cs="Arial"/>
                <w:sz w:val="20"/>
                <w:szCs w:val="20"/>
              </w:rPr>
              <w:t xml:space="preserve"> Perhaps the sand was too loose for drain to provide any meaningful benefit.</w:t>
            </w:r>
            <w:r w:rsidR="008D33CE">
              <w:rPr>
                <w:rFonts w:ascii="Arial" w:hAnsi="Arial" w:cs="Arial"/>
                <w:sz w:val="20"/>
                <w:szCs w:val="20"/>
              </w:rPr>
              <w:t xml:space="preserve">  </w:t>
            </w:r>
            <w:r w:rsidR="00873882">
              <w:rPr>
                <w:rFonts w:ascii="Arial" w:hAnsi="Arial" w:cs="Arial"/>
                <w:sz w:val="20"/>
                <w:szCs w:val="20"/>
              </w:rPr>
              <w:t xml:space="preserve">In contrast, the data points for the second and third rounds of tests are significantly lower than the typical range for sand without drains.  The data points and the best-fit power curves in each case also show that the </w:t>
            </w:r>
            <w:proofErr w:type="gramStart"/>
            <w:r w:rsidR="00873882">
              <w:rPr>
                <w:rFonts w:ascii="Arial" w:hAnsi="Arial" w:cs="Arial"/>
                <w:sz w:val="20"/>
                <w:szCs w:val="20"/>
              </w:rPr>
              <w:t xml:space="preserve">reduction in excess pore pressure generation for a given shear </w:t>
            </w:r>
            <w:r w:rsidR="00873882">
              <w:rPr>
                <w:rFonts w:ascii="Arial" w:hAnsi="Arial" w:cs="Arial"/>
                <w:sz w:val="20"/>
                <w:szCs w:val="20"/>
              </w:rPr>
              <w:lastRenderedPageBreak/>
              <w:t>strain</w:t>
            </w:r>
            <w:proofErr w:type="gramEnd"/>
            <w:r w:rsidR="00873882">
              <w:rPr>
                <w:rFonts w:ascii="Arial" w:hAnsi="Arial" w:cs="Arial"/>
                <w:sz w:val="20"/>
                <w:szCs w:val="20"/>
              </w:rPr>
              <w:t xml:space="preserve"> becomes more significant with each round of testing. These results suggest that as the sand became somewhat denser and less compressible, that the drains were more effective in retarding the development of excess pore pressure for a given shear strain level.  These result</w:t>
            </w:r>
            <w:r w:rsidR="008D33CE">
              <w:rPr>
                <w:rFonts w:ascii="Arial" w:hAnsi="Arial" w:cs="Arial"/>
                <w:sz w:val="20"/>
                <w:szCs w:val="20"/>
              </w:rPr>
              <w:t>s</w:t>
            </w:r>
            <w:r w:rsidR="00873882">
              <w:rPr>
                <w:rFonts w:ascii="Arial" w:hAnsi="Arial" w:cs="Arial"/>
                <w:sz w:val="20"/>
                <w:szCs w:val="20"/>
              </w:rPr>
              <w:t xml:space="preserve"> provide data on a fundamental level indicating that the drains are reducing the potential for e</w:t>
            </w:r>
            <w:r w:rsidR="00FD0543">
              <w:rPr>
                <w:rFonts w:ascii="Arial" w:hAnsi="Arial" w:cs="Arial"/>
                <w:sz w:val="20"/>
                <w:szCs w:val="20"/>
              </w:rPr>
              <w:t xml:space="preserve">xcess pore pressure development relative to sand without drains.  </w:t>
            </w:r>
          </w:p>
          <w:p w:rsidR="00E145A4" w:rsidRDefault="00E145A4" w:rsidP="00477D92">
            <w:pPr>
              <w:tabs>
                <w:tab w:val="left" w:pos="1690"/>
              </w:tabs>
              <w:spacing w:after="0" w:line="240" w:lineRule="auto"/>
              <w:rPr>
                <w:rFonts w:ascii="Arial" w:hAnsi="Arial" w:cs="Arial"/>
                <w:sz w:val="20"/>
                <w:szCs w:val="20"/>
              </w:rPr>
            </w:pPr>
          </w:p>
          <w:p w:rsidR="00E145A4" w:rsidRDefault="00E145A4" w:rsidP="00477D92">
            <w:pPr>
              <w:tabs>
                <w:tab w:val="left" w:pos="1690"/>
              </w:tabs>
              <w:spacing w:after="0" w:line="240" w:lineRule="auto"/>
              <w:rPr>
                <w:rFonts w:ascii="Arial" w:hAnsi="Arial" w:cs="Arial"/>
                <w:sz w:val="20"/>
                <w:szCs w:val="20"/>
              </w:rPr>
            </w:pPr>
            <w:r w:rsidRPr="00E145A4">
              <w:rPr>
                <w:rFonts w:ascii="Arial" w:hAnsi="Arial" w:cs="Arial"/>
                <w:noProof/>
                <w:sz w:val="20"/>
                <w:szCs w:val="20"/>
              </w:rPr>
              <w:drawing>
                <wp:inline distT="0" distB="0" distL="0" distR="0" wp14:anchorId="6508AE1A" wp14:editId="190C0FD0">
                  <wp:extent cx="6918844" cy="4076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32748" cy="4084892"/>
                          </a:xfrm>
                          <a:prstGeom prst="rect">
                            <a:avLst/>
                          </a:prstGeom>
                          <a:noFill/>
                          <a:ln>
                            <a:noFill/>
                          </a:ln>
                        </pic:spPr>
                      </pic:pic>
                    </a:graphicData>
                  </a:graphic>
                </wp:inline>
              </w:drawing>
            </w:r>
          </w:p>
          <w:p w:rsidR="00DC2634" w:rsidRPr="00DC2634" w:rsidRDefault="00DC2634" w:rsidP="00477D92">
            <w:pPr>
              <w:tabs>
                <w:tab w:val="left" w:pos="1690"/>
              </w:tabs>
              <w:spacing w:after="0" w:line="240" w:lineRule="auto"/>
              <w:rPr>
                <w:rFonts w:ascii="Arial" w:hAnsi="Arial" w:cs="Arial"/>
                <w:sz w:val="20"/>
                <w:szCs w:val="20"/>
              </w:rPr>
            </w:pPr>
            <w:r>
              <w:rPr>
                <w:rFonts w:ascii="Arial" w:hAnsi="Arial" w:cs="Arial"/>
                <w:b/>
                <w:sz w:val="20"/>
                <w:szCs w:val="20"/>
              </w:rPr>
              <w:t xml:space="preserve">Fig. 3. Relationship between excess pore pressure </w:t>
            </w:r>
            <w:proofErr w:type="gramStart"/>
            <w:r>
              <w:rPr>
                <w:rFonts w:ascii="Arial" w:hAnsi="Arial" w:cs="Arial"/>
                <w:b/>
                <w:sz w:val="20"/>
                <w:szCs w:val="20"/>
              </w:rPr>
              <w:t>ratio</w:t>
            </w:r>
            <w:proofErr w:type="gramEnd"/>
            <w:r>
              <w:rPr>
                <w:rFonts w:ascii="Arial" w:hAnsi="Arial" w:cs="Arial"/>
                <w:b/>
                <w:sz w:val="20"/>
                <w:szCs w:val="20"/>
              </w:rPr>
              <w:t xml:space="preserve">, </w:t>
            </w:r>
            <w:proofErr w:type="spellStart"/>
            <w:r>
              <w:rPr>
                <w:rFonts w:ascii="Arial" w:hAnsi="Arial" w:cs="Arial"/>
                <w:b/>
                <w:sz w:val="20"/>
                <w:szCs w:val="20"/>
              </w:rPr>
              <w:t>Ru</w:t>
            </w:r>
            <w:proofErr w:type="spellEnd"/>
            <w:r>
              <w:rPr>
                <w:rFonts w:ascii="Arial" w:hAnsi="Arial" w:cs="Arial"/>
                <w:b/>
                <w:sz w:val="20"/>
                <w:szCs w:val="20"/>
              </w:rPr>
              <w:t xml:space="preserve">, </w:t>
            </w:r>
            <w:proofErr w:type="spellStart"/>
            <w:r>
              <w:rPr>
                <w:rFonts w:ascii="Arial" w:hAnsi="Arial" w:cs="Arial"/>
                <w:b/>
                <w:sz w:val="20"/>
                <w:szCs w:val="20"/>
              </w:rPr>
              <w:t>vs</w:t>
            </w:r>
            <w:proofErr w:type="spellEnd"/>
            <w:r>
              <w:rPr>
                <w:rFonts w:ascii="Arial" w:hAnsi="Arial" w:cs="Arial"/>
                <w:b/>
                <w:sz w:val="20"/>
                <w:szCs w:val="20"/>
              </w:rPr>
              <w:t xml:space="preserve"> cyclic shear strain, </w:t>
            </w:r>
            <w:r>
              <w:rPr>
                <w:rFonts w:ascii="Times New Roman" w:hAnsi="Times New Roman"/>
                <w:b/>
                <w:sz w:val="20"/>
                <w:szCs w:val="20"/>
              </w:rPr>
              <w:t>γ</w:t>
            </w:r>
            <w:r>
              <w:rPr>
                <w:rFonts w:ascii="Arial" w:hAnsi="Arial" w:cs="Arial"/>
                <w:b/>
                <w:sz w:val="20"/>
                <w:szCs w:val="20"/>
              </w:rPr>
              <w:t>, measured in three rounds of testing</w:t>
            </w:r>
            <w:r w:rsidR="00804EC7">
              <w:rPr>
                <w:rFonts w:ascii="Arial" w:hAnsi="Arial" w:cs="Arial"/>
                <w:b/>
                <w:sz w:val="20"/>
                <w:szCs w:val="20"/>
              </w:rPr>
              <w:t xml:space="preserve"> with drains</w:t>
            </w:r>
            <w:r>
              <w:rPr>
                <w:rFonts w:ascii="Arial" w:hAnsi="Arial" w:cs="Arial"/>
                <w:b/>
                <w:sz w:val="20"/>
                <w:szCs w:val="20"/>
              </w:rPr>
              <w:t xml:space="preserve"> in</w:t>
            </w:r>
            <w:r w:rsidR="00804EC7">
              <w:rPr>
                <w:rFonts w:ascii="Arial" w:hAnsi="Arial" w:cs="Arial"/>
                <w:b/>
                <w:sz w:val="20"/>
                <w:szCs w:val="20"/>
              </w:rPr>
              <w:t xml:space="preserve"> the laminar shear box. The range of data for tests on sands without drains (</w:t>
            </w:r>
            <w:proofErr w:type="spellStart"/>
            <w:r w:rsidR="00804EC7">
              <w:rPr>
                <w:rFonts w:ascii="Arial" w:hAnsi="Arial" w:cs="Arial"/>
                <w:b/>
                <w:sz w:val="20"/>
                <w:szCs w:val="20"/>
              </w:rPr>
              <w:t>Dobry</w:t>
            </w:r>
            <w:proofErr w:type="spellEnd"/>
            <w:r w:rsidR="00804EC7">
              <w:rPr>
                <w:rFonts w:ascii="Arial" w:hAnsi="Arial" w:cs="Arial"/>
                <w:b/>
                <w:sz w:val="20"/>
                <w:szCs w:val="20"/>
              </w:rPr>
              <w:t>, 1984) is also shown for comparison.</w:t>
            </w:r>
          </w:p>
          <w:p w:rsidR="00DC2634" w:rsidRDefault="00DC2634" w:rsidP="00477D92">
            <w:pPr>
              <w:tabs>
                <w:tab w:val="left" w:pos="1690"/>
              </w:tabs>
              <w:spacing w:after="0" w:line="240" w:lineRule="auto"/>
              <w:rPr>
                <w:rFonts w:ascii="Arial" w:hAnsi="Arial" w:cs="Arial"/>
                <w:sz w:val="20"/>
                <w:szCs w:val="20"/>
              </w:rPr>
            </w:pPr>
          </w:p>
          <w:p w:rsidR="00FD0543" w:rsidRDefault="00FD0543" w:rsidP="00477D92">
            <w:pPr>
              <w:tabs>
                <w:tab w:val="left" w:pos="1690"/>
              </w:tabs>
              <w:spacing w:after="0" w:line="240" w:lineRule="auto"/>
              <w:rPr>
                <w:rFonts w:ascii="Arial" w:hAnsi="Arial" w:cs="Arial"/>
                <w:sz w:val="20"/>
                <w:szCs w:val="20"/>
              </w:rPr>
            </w:pPr>
            <w:r>
              <w:rPr>
                <w:rFonts w:ascii="Arial" w:hAnsi="Arial" w:cs="Arial"/>
                <w:sz w:val="20"/>
                <w:szCs w:val="20"/>
              </w:rPr>
              <w:t xml:space="preserve"> </w:t>
            </w:r>
          </w:p>
          <w:p w:rsidR="009315CD" w:rsidRDefault="006761F6" w:rsidP="00477D92">
            <w:pPr>
              <w:tabs>
                <w:tab w:val="left" w:pos="1690"/>
              </w:tabs>
              <w:spacing w:after="0" w:line="240" w:lineRule="auto"/>
              <w:rPr>
                <w:rFonts w:ascii="Arial" w:hAnsi="Arial" w:cs="Arial"/>
                <w:sz w:val="20"/>
                <w:szCs w:val="20"/>
              </w:rPr>
            </w:pPr>
            <w:r>
              <w:rPr>
                <w:rFonts w:ascii="Arial" w:hAnsi="Arial" w:cs="Arial"/>
                <w:sz w:val="20"/>
                <w:szCs w:val="20"/>
              </w:rPr>
              <w:t xml:space="preserve">Some researchers have speculated that even if drains could prevent the development of excess pore pressures, that the resulting settlement would still be the same. To investigate this contention, volumetric strain from the tests was plotted against pore pressure.  </w:t>
            </w:r>
            <w:r w:rsidR="00FD0543">
              <w:rPr>
                <w:rFonts w:ascii="Arial" w:hAnsi="Arial" w:cs="Arial"/>
                <w:sz w:val="20"/>
                <w:szCs w:val="20"/>
              </w:rPr>
              <w:t>Volumetric strain was measured as a function of depth for each of the tests</w:t>
            </w:r>
            <w:r w:rsidR="00C73CC8">
              <w:rPr>
                <w:rFonts w:ascii="Arial" w:hAnsi="Arial" w:cs="Arial"/>
                <w:sz w:val="20"/>
                <w:szCs w:val="20"/>
              </w:rPr>
              <w:t>,</w:t>
            </w:r>
            <w:r w:rsidR="00873882">
              <w:rPr>
                <w:rFonts w:ascii="Arial" w:hAnsi="Arial" w:cs="Arial"/>
                <w:sz w:val="20"/>
                <w:szCs w:val="20"/>
              </w:rPr>
              <w:t xml:space="preserve"> </w:t>
            </w:r>
            <w:r w:rsidR="00FD0543">
              <w:rPr>
                <w:rFonts w:ascii="Arial" w:hAnsi="Arial" w:cs="Arial"/>
                <w:sz w:val="20"/>
                <w:szCs w:val="20"/>
              </w:rPr>
              <w:t>and volumetric strain was</w:t>
            </w:r>
            <w:r>
              <w:rPr>
                <w:rFonts w:ascii="Arial" w:hAnsi="Arial" w:cs="Arial"/>
                <w:sz w:val="20"/>
                <w:szCs w:val="20"/>
              </w:rPr>
              <w:t xml:space="preserve"> plotted as a function of excess pore pressure ratio measured near each pore pressure transducer in the profile in Fig. 4. The </w:t>
            </w:r>
            <w:r w:rsidR="00DC2634">
              <w:rPr>
                <w:rFonts w:ascii="Arial" w:hAnsi="Arial" w:cs="Arial"/>
                <w:sz w:val="20"/>
                <w:szCs w:val="20"/>
              </w:rPr>
              <w:t>volumetric strain produced by a given excess pore pressure ratio for each round of tests</w:t>
            </w:r>
            <w:r>
              <w:rPr>
                <w:rFonts w:ascii="Arial" w:hAnsi="Arial" w:cs="Arial"/>
                <w:sz w:val="20"/>
                <w:szCs w:val="20"/>
              </w:rPr>
              <w:t xml:space="preserve"> fall</w:t>
            </w:r>
            <w:r w:rsidR="00DC2634">
              <w:rPr>
                <w:rFonts w:ascii="Arial" w:hAnsi="Arial" w:cs="Arial"/>
                <w:sz w:val="20"/>
                <w:szCs w:val="20"/>
              </w:rPr>
              <w:t>s</w:t>
            </w:r>
            <w:r>
              <w:rPr>
                <w:rFonts w:ascii="Arial" w:hAnsi="Arial" w:cs="Arial"/>
                <w:sz w:val="20"/>
                <w:szCs w:val="20"/>
              </w:rPr>
              <w:t xml:space="preserve"> within a </w:t>
            </w:r>
            <w:r w:rsidR="00DC2634">
              <w:rPr>
                <w:rFonts w:ascii="Arial" w:hAnsi="Arial" w:cs="Arial"/>
                <w:sz w:val="20"/>
                <w:szCs w:val="20"/>
              </w:rPr>
              <w:t>band</w:t>
            </w:r>
            <w:r>
              <w:rPr>
                <w:rFonts w:ascii="Arial" w:hAnsi="Arial" w:cs="Arial"/>
                <w:sz w:val="20"/>
                <w:szCs w:val="20"/>
              </w:rPr>
              <w:t xml:space="preserve"> </w:t>
            </w:r>
            <w:r w:rsidR="00DC2634">
              <w:rPr>
                <w:rFonts w:ascii="Arial" w:hAnsi="Arial" w:cs="Arial"/>
                <w:sz w:val="20"/>
                <w:szCs w:val="20"/>
              </w:rPr>
              <w:t>with increasing pore pressure.</w:t>
            </w:r>
            <w:r>
              <w:rPr>
                <w:rFonts w:ascii="Arial" w:hAnsi="Arial" w:cs="Arial"/>
                <w:sz w:val="20"/>
                <w:szCs w:val="20"/>
              </w:rPr>
              <w:t xml:space="preserve"> Regardless of round number</w:t>
            </w:r>
            <w:r w:rsidR="005B0B1D">
              <w:rPr>
                <w:rFonts w:ascii="Arial" w:hAnsi="Arial" w:cs="Arial"/>
                <w:sz w:val="20"/>
                <w:szCs w:val="20"/>
              </w:rPr>
              <w:t>,</w:t>
            </w:r>
            <w:r>
              <w:rPr>
                <w:rFonts w:ascii="Arial" w:hAnsi="Arial" w:cs="Arial"/>
                <w:sz w:val="20"/>
                <w:szCs w:val="20"/>
              </w:rPr>
              <w:t xml:space="preserve"> a given excess pore pressure produced roughly the same </w:t>
            </w:r>
            <w:r w:rsidR="00DC2634">
              <w:rPr>
                <w:rFonts w:ascii="Arial" w:hAnsi="Arial" w:cs="Arial"/>
                <w:sz w:val="20"/>
                <w:szCs w:val="20"/>
              </w:rPr>
              <w:t xml:space="preserve">range of </w:t>
            </w:r>
            <w:r>
              <w:rPr>
                <w:rFonts w:ascii="Arial" w:hAnsi="Arial" w:cs="Arial"/>
                <w:sz w:val="20"/>
                <w:szCs w:val="20"/>
              </w:rPr>
              <w:t>volumetric shear strain.  It is clear; however, that less volumetric strain occurs for round 3 than for round</w:t>
            </w:r>
            <w:r w:rsidR="00B21C49">
              <w:rPr>
                <w:rFonts w:ascii="Arial" w:hAnsi="Arial" w:cs="Arial"/>
                <w:sz w:val="20"/>
                <w:szCs w:val="20"/>
              </w:rPr>
              <w:t xml:space="preserve"> 2</w:t>
            </w:r>
            <w:r>
              <w:rPr>
                <w:rFonts w:ascii="Arial" w:hAnsi="Arial" w:cs="Arial"/>
                <w:sz w:val="20"/>
                <w:szCs w:val="20"/>
              </w:rPr>
              <w:t xml:space="preserve"> and less for round 2 than for round 1</w:t>
            </w:r>
            <w:r w:rsidR="00B21C49">
              <w:rPr>
                <w:rFonts w:ascii="Arial" w:hAnsi="Arial" w:cs="Arial"/>
                <w:sz w:val="20"/>
                <w:szCs w:val="20"/>
              </w:rPr>
              <w:t xml:space="preserve"> because lower excess pore pressure ratios developed</w:t>
            </w:r>
            <w:r>
              <w:rPr>
                <w:rFonts w:ascii="Arial" w:hAnsi="Arial" w:cs="Arial"/>
                <w:sz w:val="20"/>
                <w:szCs w:val="20"/>
              </w:rPr>
              <w:t xml:space="preserve">.  These results </w:t>
            </w:r>
            <w:r w:rsidR="00B21C49">
              <w:rPr>
                <w:rFonts w:ascii="Arial" w:hAnsi="Arial" w:cs="Arial"/>
                <w:sz w:val="20"/>
                <w:szCs w:val="20"/>
              </w:rPr>
              <w:t>indicate</w:t>
            </w:r>
            <w:r>
              <w:rPr>
                <w:rFonts w:ascii="Arial" w:hAnsi="Arial" w:cs="Arial"/>
                <w:sz w:val="20"/>
                <w:szCs w:val="20"/>
              </w:rPr>
              <w:t xml:space="preserve"> that the reduction in settlement </w:t>
            </w:r>
            <w:r w:rsidR="00B21C49">
              <w:rPr>
                <w:rFonts w:ascii="Arial" w:hAnsi="Arial" w:cs="Arial"/>
                <w:sz w:val="20"/>
                <w:szCs w:val="20"/>
              </w:rPr>
              <w:t>observed in the tests</w:t>
            </w:r>
            <w:r>
              <w:rPr>
                <w:rFonts w:ascii="Arial" w:hAnsi="Arial" w:cs="Arial"/>
                <w:sz w:val="20"/>
                <w:szCs w:val="20"/>
              </w:rPr>
              <w:t xml:space="preserve"> is primarily due to the reduction in excess pore pressure produced by the drains.  </w:t>
            </w:r>
          </w:p>
          <w:p w:rsidR="00B21C49" w:rsidRDefault="00B21C49" w:rsidP="00477D92">
            <w:pPr>
              <w:tabs>
                <w:tab w:val="left" w:pos="1690"/>
              </w:tabs>
              <w:spacing w:after="0" w:line="240" w:lineRule="auto"/>
              <w:rPr>
                <w:rFonts w:ascii="Arial" w:hAnsi="Arial" w:cs="Arial"/>
                <w:sz w:val="20"/>
                <w:szCs w:val="20"/>
              </w:rPr>
            </w:pPr>
          </w:p>
          <w:p w:rsidR="0065129D" w:rsidRPr="00B05283" w:rsidRDefault="00B05283" w:rsidP="00477D92">
            <w:pPr>
              <w:tabs>
                <w:tab w:val="left" w:pos="1690"/>
              </w:tabs>
              <w:spacing w:after="0" w:line="240" w:lineRule="auto"/>
              <w:rPr>
                <w:rFonts w:ascii="Arial" w:hAnsi="Arial" w:cs="Arial"/>
                <w:sz w:val="20"/>
                <w:szCs w:val="20"/>
              </w:rPr>
            </w:pPr>
            <w:r>
              <w:rPr>
                <w:rFonts w:ascii="Arial" w:hAnsi="Arial" w:cs="Arial"/>
                <w:sz w:val="20"/>
                <w:szCs w:val="20"/>
              </w:rPr>
              <w:t xml:space="preserve">During the past quarter, significant progress has been achieved in modeling the measured buildup and dissipation of excess pore pressures observed in the laminar box testing.  Previous difficulties with the computer program </w:t>
            </w:r>
            <w:proofErr w:type="spellStart"/>
            <w:r>
              <w:rPr>
                <w:rFonts w:ascii="Arial" w:hAnsi="Arial" w:cs="Arial"/>
                <w:sz w:val="20"/>
                <w:szCs w:val="20"/>
              </w:rPr>
              <w:t>FEQDrain</w:t>
            </w:r>
            <w:proofErr w:type="spellEnd"/>
            <w:r>
              <w:rPr>
                <w:rFonts w:ascii="Arial" w:hAnsi="Arial" w:cs="Arial"/>
                <w:sz w:val="20"/>
                <w:szCs w:val="20"/>
              </w:rPr>
              <w:t xml:space="preserve"> were associated with improper selection of time step and duration values.  Once these problems were discovered</w:t>
            </w:r>
            <w:r w:rsidR="00A900B9">
              <w:rPr>
                <w:rFonts w:ascii="Arial" w:hAnsi="Arial" w:cs="Arial"/>
                <w:sz w:val="20"/>
                <w:szCs w:val="20"/>
              </w:rPr>
              <w:t>,</w:t>
            </w:r>
            <w:r>
              <w:rPr>
                <w:rFonts w:ascii="Arial" w:hAnsi="Arial" w:cs="Arial"/>
                <w:sz w:val="20"/>
                <w:szCs w:val="20"/>
              </w:rPr>
              <w:t xml:space="preserve"> reasonable agreement with the measured excess pore pressure time histories was obtained.  For example, measured and computed excess pore pressure ratio time histories are plotted for a number of depths in Fig. 5.  These curves are for the first round of tests with a peak acceleration level of 0.10g.  Although there are clearly differences between the measured and computed curves, the model is general capturing the observed behavior.  Reasonable agreement with the results from the tests for other rounds and other acceleration levels has been obtained by adjusting three parameters, the hydraulic conductivity, the modulus of compressibility, and the number of cycles to liquefaction.  The hydraulic conductivity and modulus of compressibility that could be used </w:t>
            </w:r>
            <w:r w:rsidR="00201AA9">
              <w:rPr>
                <w:rFonts w:ascii="Arial" w:hAnsi="Arial" w:cs="Arial"/>
                <w:sz w:val="20"/>
                <w:szCs w:val="20"/>
              </w:rPr>
              <w:t xml:space="preserve">in the model were fairly well constrained by the measured values from the physical tests. The number of cycles to liquefaction had to be estimated based on the results of similar tests without drains along with some judgment.  Good agreement could generally be obtained using parameters within the range of measured </w:t>
            </w:r>
            <w:r w:rsidR="00201AA9">
              <w:rPr>
                <w:rFonts w:ascii="Arial" w:hAnsi="Arial" w:cs="Arial"/>
                <w:sz w:val="20"/>
                <w:szCs w:val="20"/>
              </w:rPr>
              <w:lastRenderedPageBreak/>
              <w:t xml:space="preserve">values versus depth.  The simplified pore pressure generation model in </w:t>
            </w:r>
            <w:proofErr w:type="spellStart"/>
            <w:r w:rsidR="00201AA9">
              <w:rPr>
                <w:rFonts w:ascii="Arial" w:hAnsi="Arial" w:cs="Arial"/>
                <w:sz w:val="20"/>
                <w:szCs w:val="20"/>
              </w:rPr>
              <w:t>FEQDrain</w:t>
            </w:r>
            <w:proofErr w:type="spellEnd"/>
            <w:r w:rsidR="00201AA9">
              <w:rPr>
                <w:rFonts w:ascii="Arial" w:hAnsi="Arial" w:cs="Arial"/>
                <w:sz w:val="20"/>
                <w:szCs w:val="20"/>
              </w:rPr>
              <w:t xml:space="preserve"> was not capable of capturing the dilation spikes in the pore pressure time histories for the tests at higher relative density for round 3.  </w:t>
            </w:r>
          </w:p>
          <w:p w:rsidR="009E7D51" w:rsidRDefault="009E7D51" w:rsidP="00477D92">
            <w:pPr>
              <w:tabs>
                <w:tab w:val="left" w:pos="1690"/>
              </w:tabs>
              <w:spacing w:after="0" w:line="240" w:lineRule="auto"/>
              <w:rPr>
                <w:rFonts w:ascii="Arial" w:hAnsi="Arial" w:cs="Arial"/>
                <w:b/>
                <w:sz w:val="20"/>
                <w:szCs w:val="20"/>
              </w:rPr>
            </w:pPr>
          </w:p>
          <w:p w:rsidR="009E7D51" w:rsidRDefault="009E7D51" w:rsidP="00477D92">
            <w:pPr>
              <w:tabs>
                <w:tab w:val="left" w:pos="1690"/>
              </w:tabs>
              <w:spacing w:after="0" w:line="240" w:lineRule="auto"/>
              <w:rPr>
                <w:rFonts w:ascii="Arial" w:hAnsi="Arial" w:cs="Arial"/>
                <w:b/>
                <w:sz w:val="20"/>
                <w:szCs w:val="20"/>
              </w:rPr>
            </w:pPr>
          </w:p>
          <w:p w:rsidR="009E7D51" w:rsidRDefault="003C0478" w:rsidP="00477D92">
            <w:pPr>
              <w:tabs>
                <w:tab w:val="left" w:pos="1690"/>
              </w:tabs>
              <w:spacing w:after="0" w:line="240" w:lineRule="auto"/>
              <w:rPr>
                <w:rFonts w:ascii="Arial" w:hAnsi="Arial" w:cs="Arial"/>
                <w:b/>
                <w:sz w:val="20"/>
                <w:szCs w:val="20"/>
              </w:rPr>
            </w:pPr>
            <w:r>
              <w:rPr>
                <w:rFonts w:ascii="Arial" w:hAnsi="Arial" w:cs="Arial"/>
                <w:b/>
                <w:sz w:val="20"/>
                <w:szCs w:val="20"/>
              </w:rPr>
              <w:t xml:space="preserve"> </w:t>
            </w:r>
            <w:r w:rsidRPr="003C0478">
              <w:rPr>
                <w:rFonts w:ascii="Arial" w:hAnsi="Arial" w:cs="Arial"/>
                <w:b/>
                <w:noProof/>
                <w:sz w:val="20"/>
                <w:szCs w:val="20"/>
              </w:rPr>
              <w:drawing>
                <wp:inline distT="0" distB="0" distL="0" distR="0" wp14:anchorId="6031AD1C" wp14:editId="6CCAF139">
                  <wp:extent cx="6670506" cy="398510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8902" cy="4008041"/>
                          </a:xfrm>
                          <a:prstGeom prst="rect">
                            <a:avLst/>
                          </a:prstGeom>
                          <a:noFill/>
                          <a:ln>
                            <a:noFill/>
                          </a:ln>
                        </pic:spPr>
                      </pic:pic>
                    </a:graphicData>
                  </a:graphic>
                </wp:inline>
              </w:drawing>
            </w:r>
          </w:p>
          <w:p w:rsidR="009E7D51" w:rsidRDefault="009E7D51" w:rsidP="00477D92">
            <w:pPr>
              <w:tabs>
                <w:tab w:val="left" w:pos="1690"/>
              </w:tabs>
              <w:spacing w:after="0" w:line="240" w:lineRule="auto"/>
              <w:rPr>
                <w:rFonts w:ascii="Arial" w:hAnsi="Arial" w:cs="Arial"/>
                <w:b/>
                <w:sz w:val="20"/>
                <w:szCs w:val="20"/>
              </w:rPr>
            </w:pPr>
          </w:p>
          <w:p w:rsidR="00477D92" w:rsidRDefault="00DC2634" w:rsidP="00477D92">
            <w:pPr>
              <w:tabs>
                <w:tab w:val="left" w:pos="1690"/>
              </w:tabs>
              <w:spacing w:after="0" w:line="240" w:lineRule="auto"/>
              <w:rPr>
                <w:rFonts w:ascii="Arial" w:hAnsi="Arial" w:cs="Arial"/>
                <w:b/>
                <w:sz w:val="20"/>
                <w:szCs w:val="20"/>
              </w:rPr>
            </w:pPr>
            <w:r>
              <w:rPr>
                <w:rFonts w:ascii="Arial" w:hAnsi="Arial" w:cs="Arial"/>
                <w:b/>
                <w:sz w:val="20"/>
                <w:szCs w:val="20"/>
              </w:rPr>
              <w:t>Fig. 4</w:t>
            </w:r>
            <w:r w:rsidR="00485BCB">
              <w:rPr>
                <w:rFonts w:ascii="Arial" w:hAnsi="Arial" w:cs="Arial"/>
                <w:b/>
                <w:sz w:val="20"/>
                <w:szCs w:val="20"/>
              </w:rPr>
              <w:t>.</w:t>
            </w:r>
            <w:r>
              <w:rPr>
                <w:rFonts w:ascii="Arial" w:hAnsi="Arial" w:cs="Arial"/>
                <w:b/>
                <w:sz w:val="20"/>
                <w:szCs w:val="20"/>
              </w:rPr>
              <w:t xml:space="preserve"> Relationship between measured volumetric strain and peak excess pore pressure ratio for round 1, 2 and 3 tests with prefabricated vertical drains in the laminar shear box testing.</w:t>
            </w:r>
          </w:p>
          <w:p w:rsidR="00414F87" w:rsidRDefault="00414F87" w:rsidP="00477D92">
            <w:pPr>
              <w:tabs>
                <w:tab w:val="left" w:pos="1690"/>
              </w:tabs>
              <w:spacing w:after="0" w:line="240" w:lineRule="auto"/>
              <w:rPr>
                <w:rFonts w:ascii="Arial" w:hAnsi="Arial" w:cs="Arial"/>
                <w:b/>
                <w:sz w:val="20"/>
                <w:szCs w:val="20"/>
              </w:rPr>
            </w:pPr>
          </w:p>
          <w:p w:rsidR="00414F87" w:rsidRDefault="00414F87" w:rsidP="00477D92">
            <w:pPr>
              <w:tabs>
                <w:tab w:val="left" w:pos="1690"/>
              </w:tabs>
              <w:spacing w:after="0" w:line="240" w:lineRule="auto"/>
              <w:rPr>
                <w:rFonts w:ascii="Arial" w:hAnsi="Arial" w:cs="Arial"/>
                <w:b/>
                <w:sz w:val="20"/>
                <w:szCs w:val="20"/>
              </w:rPr>
            </w:pPr>
          </w:p>
          <w:p w:rsidR="008B1ECD" w:rsidRDefault="008B1ECD" w:rsidP="00477D92">
            <w:pPr>
              <w:tabs>
                <w:tab w:val="left" w:pos="1690"/>
              </w:tabs>
              <w:spacing w:after="0" w:line="240" w:lineRule="auto"/>
              <w:rPr>
                <w:rFonts w:ascii="Arial" w:hAnsi="Arial" w:cs="Arial"/>
                <w:b/>
                <w:sz w:val="20"/>
                <w:szCs w:val="20"/>
              </w:rPr>
            </w:pPr>
            <w:r>
              <w:rPr>
                <w:noProof/>
              </w:rPr>
              <w:lastRenderedPageBreak/>
              <w:drawing>
                <wp:inline distT="0" distB="0" distL="0" distR="0" wp14:anchorId="5A5BD097" wp14:editId="0F5E278C">
                  <wp:extent cx="6090285" cy="8199755"/>
                  <wp:effectExtent l="0" t="0" r="5715" b="0"/>
                  <wp:docPr id="2089" name="Picture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0285" cy="8199755"/>
                          </a:xfrm>
                          <a:prstGeom prst="rect">
                            <a:avLst/>
                          </a:prstGeom>
                          <a:noFill/>
                        </pic:spPr>
                      </pic:pic>
                    </a:graphicData>
                  </a:graphic>
                </wp:inline>
              </w:drawing>
            </w:r>
          </w:p>
          <w:p w:rsidR="008B1ECD" w:rsidRPr="002D15D9" w:rsidRDefault="008B1ECD" w:rsidP="008B1ECD">
            <w:pPr>
              <w:tabs>
                <w:tab w:val="left" w:pos="1690"/>
              </w:tabs>
              <w:spacing w:after="0" w:line="240" w:lineRule="auto"/>
              <w:rPr>
                <w:rFonts w:ascii="Arial" w:hAnsi="Arial" w:cs="Arial"/>
                <w:b/>
                <w:sz w:val="20"/>
                <w:szCs w:val="20"/>
              </w:rPr>
            </w:pPr>
            <w:r>
              <w:rPr>
                <w:rFonts w:ascii="Arial" w:hAnsi="Arial" w:cs="Arial"/>
                <w:b/>
                <w:sz w:val="20"/>
                <w:szCs w:val="20"/>
              </w:rPr>
              <w:t>Fig. 5</w:t>
            </w:r>
            <w:r w:rsidR="00485BCB">
              <w:rPr>
                <w:rFonts w:ascii="Arial" w:hAnsi="Arial" w:cs="Arial"/>
                <w:b/>
                <w:sz w:val="20"/>
                <w:szCs w:val="20"/>
              </w:rPr>
              <w:t>.</w:t>
            </w:r>
            <w:bookmarkStart w:id="0" w:name="_GoBack"/>
            <w:bookmarkEnd w:id="0"/>
            <w:r>
              <w:rPr>
                <w:rFonts w:ascii="Arial" w:hAnsi="Arial" w:cs="Arial"/>
                <w:b/>
                <w:sz w:val="20"/>
                <w:szCs w:val="20"/>
              </w:rPr>
              <w:t xml:space="preserve"> Comparison of measured excess pore pressure ratio, </w:t>
            </w:r>
            <w:proofErr w:type="spellStart"/>
            <w:r>
              <w:rPr>
                <w:rFonts w:ascii="Arial" w:hAnsi="Arial" w:cs="Arial"/>
                <w:b/>
                <w:sz w:val="20"/>
                <w:szCs w:val="20"/>
              </w:rPr>
              <w:t>Ru</w:t>
            </w:r>
            <w:proofErr w:type="spellEnd"/>
            <w:r>
              <w:rPr>
                <w:rFonts w:ascii="Arial" w:hAnsi="Arial" w:cs="Arial"/>
                <w:b/>
                <w:sz w:val="20"/>
                <w:szCs w:val="20"/>
              </w:rPr>
              <w:t xml:space="preserve">, time histories from laminar shear box tests with time histories computed using the computer program </w:t>
            </w:r>
            <w:proofErr w:type="spellStart"/>
            <w:r>
              <w:rPr>
                <w:rFonts w:ascii="Arial" w:hAnsi="Arial" w:cs="Arial"/>
                <w:b/>
                <w:sz w:val="20"/>
                <w:szCs w:val="20"/>
              </w:rPr>
              <w:t>FEQDrain</w:t>
            </w:r>
            <w:proofErr w:type="spellEnd"/>
            <w:r>
              <w:rPr>
                <w:rFonts w:ascii="Arial" w:hAnsi="Arial" w:cs="Arial"/>
                <w:b/>
                <w:sz w:val="20"/>
                <w:szCs w:val="20"/>
              </w:rPr>
              <w:t xml:space="preserve"> using input parameters within the range of measured values from the tests.</w:t>
            </w: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485BCB" w:rsidRDefault="00485BCB" w:rsidP="00E07FE7">
            <w:pPr>
              <w:spacing w:after="0" w:line="240" w:lineRule="auto"/>
              <w:rPr>
                <w:rFonts w:ascii="Arial" w:hAnsi="Arial" w:cs="Arial"/>
                <w:sz w:val="20"/>
                <w:szCs w:val="20"/>
              </w:rPr>
            </w:pPr>
          </w:p>
          <w:p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s needed to complete reports and reviews by the TAC.  Therefore the contract was amended to reflect the project ending in December 2016</w:t>
            </w:r>
            <w:r w:rsidR="00FE0353">
              <w:rPr>
                <w:rFonts w:ascii="Arial" w:hAnsi="Arial" w:cs="Arial"/>
                <w:sz w:val="20"/>
                <w:szCs w:val="20"/>
              </w:rPr>
              <w:t xml:space="preserve"> instead of the original plan.</w:t>
            </w:r>
          </w:p>
          <w:p w:rsidR="00A459A9" w:rsidRPr="00C72C8A" w:rsidRDefault="00A459A9" w:rsidP="00E07FE7">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C72C8A">
      <w:pPr>
        <w:spacing w:after="0"/>
        <w:ind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43" w:rsidRDefault="001F2143" w:rsidP="00106C83">
      <w:pPr>
        <w:spacing w:after="0" w:line="240" w:lineRule="auto"/>
      </w:pPr>
      <w:r>
        <w:separator/>
      </w:r>
    </w:p>
  </w:endnote>
  <w:endnote w:type="continuationSeparator" w:id="0">
    <w:p w:rsidR="001F2143" w:rsidRDefault="001F214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16" w:rsidRDefault="00451E16" w:rsidP="00E371D1">
    <w:pPr>
      <w:pStyle w:val="Footer"/>
      <w:ind w:left="-810"/>
    </w:pPr>
    <w:r>
      <w:t>TPF Program Standard Quarterly Reporting Format – 7/2011</w:t>
    </w:r>
  </w:p>
  <w:p w:rsidR="00451E16" w:rsidRDefault="0045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43" w:rsidRDefault="001F2143" w:rsidP="00106C83">
      <w:pPr>
        <w:spacing w:after="0" w:line="240" w:lineRule="auto"/>
      </w:pPr>
      <w:r>
        <w:separator/>
      </w:r>
    </w:p>
  </w:footnote>
  <w:footnote w:type="continuationSeparator" w:id="0">
    <w:p w:rsidR="001F2143" w:rsidRDefault="001F214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20065"/>
    <w:rsid w:val="00033E93"/>
    <w:rsid w:val="00034653"/>
    <w:rsid w:val="00036117"/>
    <w:rsid w:val="00037FBC"/>
    <w:rsid w:val="00040C17"/>
    <w:rsid w:val="00046DCA"/>
    <w:rsid w:val="00056C80"/>
    <w:rsid w:val="00057F22"/>
    <w:rsid w:val="00060908"/>
    <w:rsid w:val="00065E9D"/>
    <w:rsid w:val="00066F64"/>
    <w:rsid w:val="000672D5"/>
    <w:rsid w:val="000707EE"/>
    <w:rsid w:val="000736BB"/>
    <w:rsid w:val="000759D5"/>
    <w:rsid w:val="00087797"/>
    <w:rsid w:val="00087DC0"/>
    <w:rsid w:val="000A0D23"/>
    <w:rsid w:val="000A20F3"/>
    <w:rsid w:val="000A51D5"/>
    <w:rsid w:val="000A7C22"/>
    <w:rsid w:val="000B0226"/>
    <w:rsid w:val="000B665A"/>
    <w:rsid w:val="000C209F"/>
    <w:rsid w:val="000C2503"/>
    <w:rsid w:val="000D13A6"/>
    <w:rsid w:val="000E112D"/>
    <w:rsid w:val="000E25C9"/>
    <w:rsid w:val="000E7D29"/>
    <w:rsid w:val="000F65D2"/>
    <w:rsid w:val="000F752B"/>
    <w:rsid w:val="001046A4"/>
    <w:rsid w:val="00106C83"/>
    <w:rsid w:val="00112ABF"/>
    <w:rsid w:val="001143F6"/>
    <w:rsid w:val="00114731"/>
    <w:rsid w:val="001147C8"/>
    <w:rsid w:val="00115C8F"/>
    <w:rsid w:val="00122301"/>
    <w:rsid w:val="00122DE0"/>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C70"/>
    <w:rsid w:val="00197062"/>
    <w:rsid w:val="001A2E6F"/>
    <w:rsid w:val="001A3C7B"/>
    <w:rsid w:val="001B57A7"/>
    <w:rsid w:val="001C0A2C"/>
    <w:rsid w:val="001C1E3F"/>
    <w:rsid w:val="001C6EB8"/>
    <w:rsid w:val="001C6EFD"/>
    <w:rsid w:val="001D012C"/>
    <w:rsid w:val="001D2FB4"/>
    <w:rsid w:val="001D404B"/>
    <w:rsid w:val="001D7748"/>
    <w:rsid w:val="001D7CC0"/>
    <w:rsid w:val="001E3627"/>
    <w:rsid w:val="001E7DD3"/>
    <w:rsid w:val="001F1101"/>
    <w:rsid w:val="001F2143"/>
    <w:rsid w:val="001F516D"/>
    <w:rsid w:val="001F6901"/>
    <w:rsid w:val="00201AA9"/>
    <w:rsid w:val="002037B0"/>
    <w:rsid w:val="00204CF0"/>
    <w:rsid w:val="002066D7"/>
    <w:rsid w:val="002072E0"/>
    <w:rsid w:val="00207C77"/>
    <w:rsid w:val="00210D6B"/>
    <w:rsid w:val="00212271"/>
    <w:rsid w:val="00212E33"/>
    <w:rsid w:val="0021353C"/>
    <w:rsid w:val="0021446D"/>
    <w:rsid w:val="00215208"/>
    <w:rsid w:val="00220D73"/>
    <w:rsid w:val="0022469B"/>
    <w:rsid w:val="002263E0"/>
    <w:rsid w:val="00237C6A"/>
    <w:rsid w:val="002442E9"/>
    <w:rsid w:val="00245D5B"/>
    <w:rsid w:val="00254713"/>
    <w:rsid w:val="00266EF9"/>
    <w:rsid w:val="0027143D"/>
    <w:rsid w:val="002718CD"/>
    <w:rsid w:val="00291F1C"/>
    <w:rsid w:val="00293325"/>
    <w:rsid w:val="00293FD8"/>
    <w:rsid w:val="00294DE6"/>
    <w:rsid w:val="002953FD"/>
    <w:rsid w:val="00296B7E"/>
    <w:rsid w:val="00297670"/>
    <w:rsid w:val="002A322A"/>
    <w:rsid w:val="002A378C"/>
    <w:rsid w:val="002A79C8"/>
    <w:rsid w:val="002B084F"/>
    <w:rsid w:val="002B12AD"/>
    <w:rsid w:val="002B7515"/>
    <w:rsid w:val="002C2937"/>
    <w:rsid w:val="002C4321"/>
    <w:rsid w:val="002D15D9"/>
    <w:rsid w:val="002D353E"/>
    <w:rsid w:val="002E0AFF"/>
    <w:rsid w:val="002E661B"/>
    <w:rsid w:val="00303BFD"/>
    <w:rsid w:val="00312592"/>
    <w:rsid w:val="0031390E"/>
    <w:rsid w:val="00315979"/>
    <w:rsid w:val="0031653B"/>
    <w:rsid w:val="00317414"/>
    <w:rsid w:val="00320052"/>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A0D13"/>
    <w:rsid w:val="003A3C99"/>
    <w:rsid w:val="003A6804"/>
    <w:rsid w:val="003A720F"/>
    <w:rsid w:val="003B06B3"/>
    <w:rsid w:val="003B6134"/>
    <w:rsid w:val="003B6363"/>
    <w:rsid w:val="003B6B3A"/>
    <w:rsid w:val="003B79D4"/>
    <w:rsid w:val="003C0478"/>
    <w:rsid w:val="003C1223"/>
    <w:rsid w:val="003C20F5"/>
    <w:rsid w:val="003E0A8C"/>
    <w:rsid w:val="003E4104"/>
    <w:rsid w:val="003F2F67"/>
    <w:rsid w:val="00400E6C"/>
    <w:rsid w:val="004034A7"/>
    <w:rsid w:val="00403587"/>
    <w:rsid w:val="00404687"/>
    <w:rsid w:val="004065F9"/>
    <w:rsid w:val="00407062"/>
    <w:rsid w:val="00412078"/>
    <w:rsid w:val="004144E6"/>
    <w:rsid w:val="00414F87"/>
    <w:rsid w:val="004156B2"/>
    <w:rsid w:val="00420ACA"/>
    <w:rsid w:val="00431125"/>
    <w:rsid w:val="00433B9B"/>
    <w:rsid w:val="00434429"/>
    <w:rsid w:val="0043487E"/>
    <w:rsid w:val="00437734"/>
    <w:rsid w:val="00440147"/>
    <w:rsid w:val="004451CB"/>
    <w:rsid w:val="00447A40"/>
    <w:rsid w:val="00451E16"/>
    <w:rsid w:val="0045218A"/>
    <w:rsid w:val="00452BD9"/>
    <w:rsid w:val="004579C4"/>
    <w:rsid w:val="00465C49"/>
    <w:rsid w:val="00471D8B"/>
    <w:rsid w:val="0047348C"/>
    <w:rsid w:val="004738F7"/>
    <w:rsid w:val="00474477"/>
    <w:rsid w:val="00477D92"/>
    <w:rsid w:val="00483930"/>
    <w:rsid w:val="00484AAB"/>
    <w:rsid w:val="00485BCB"/>
    <w:rsid w:val="00487C28"/>
    <w:rsid w:val="004913CE"/>
    <w:rsid w:val="00491693"/>
    <w:rsid w:val="00492E2B"/>
    <w:rsid w:val="00496024"/>
    <w:rsid w:val="004963B0"/>
    <w:rsid w:val="004A0AD5"/>
    <w:rsid w:val="004A130B"/>
    <w:rsid w:val="004B3555"/>
    <w:rsid w:val="004C447F"/>
    <w:rsid w:val="004C4487"/>
    <w:rsid w:val="004C7444"/>
    <w:rsid w:val="004D5CDC"/>
    <w:rsid w:val="004D5EEE"/>
    <w:rsid w:val="004D6151"/>
    <w:rsid w:val="004D6DF5"/>
    <w:rsid w:val="004D778C"/>
    <w:rsid w:val="004E04B8"/>
    <w:rsid w:val="004E14DC"/>
    <w:rsid w:val="004E46AD"/>
    <w:rsid w:val="004E4A6C"/>
    <w:rsid w:val="005030A0"/>
    <w:rsid w:val="0051500B"/>
    <w:rsid w:val="00530842"/>
    <w:rsid w:val="00535598"/>
    <w:rsid w:val="00535AE5"/>
    <w:rsid w:val="0053701E"/>
    <w:rsid w:val="005373F0"/>
    <w:rsid w:val="0054002B"/>
    <w:rsid w:val="00547EE3"/>
    <w:rsid w:val="00551723"/>
    <w:rsid w:val="0055178A"/>
    <w:rsid w:val="00551855"/>
    <w:rsid w:val="00551D8A"/>
    <w:rsid w:val="00553DF8"/>
    <w:rsid w:val="00574EA0"/>
    <w:rsid w:val="00581B36"/>
    <w:rsid w:val="00582FD5"/>
    <w:rsid w:val="005831C1"/>
    <w:rsid w:val="00583E8E"/>
    <w:rsid w:val="005841C9"/>
    <w:rsid w:val="0059223A"/>
    <w:rsid w:val="00592A79"/>
    <w:rsid w:val="0059636D"/>
    <w:rsid w:val="005A7D30"/>
    <w:rsid w:val="005B0B1D"/>
    <w:rsid w:val="005B2685"/>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47C0"/>
    <w:rsid w:val="006228E5"/>
    <w:rsid w:val="00630F0C"/>
    <w:rsid w:val="0063129B"/>
    <w:rsid w:val="006420DB"/>
    <w:rsid w:val="00642B51"/>
    <w:rsid w:val="00647D8B"/>
    <w:rsid w:val="0065129D"/>
    <w:rsid w:val="00655F26"/>
    <w:rsid w:val="0065752D"/>
    <w:rsid w:val="00665E69"/>
    <w:rsid w:val="00667348"/>
    <w:rsid w:val="00672286"/>
    <w:rsid w:val="006761F6"/>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152C"/>
    <w:rsid w:val="006D4192"/>
    <w:rsid w:val="006E49AA"/>
    <w:rsid w:val="006F5E19"/>
    <w:rsid w:val="007132D7"/>
    <w:rsid w:val="0071739F"/>
    <w:rsid w:val="00725C78"/>
    <w:rsid w:val="00730F8E"/>
    <w:rsid w:val="00731640"/>
    <w:rsid w:val="00731D90"/>
    <w:rsid w:val="00734A5F"/>
    <w:rsid w:val="00741135"/>
    <w:rsid w:val="00743C01"/>
    <w:rsid w:val="0074450D"/>
    <w:rsid w:val="007456DB"/>
    <w:rsid w:val="00750759"/>
    <w:rsid w:val="00751684"/>
    <w:rsid w:val="0075666E"/>
    <w:rsid w:val="007577D6"/>
    <w:rsid w:val="007623F6"/>
    <w:rsid w:val="00763DDA"/>
    <w:rsid w:val="0076457E"/>
    <w:rsid w:val="00770DC2"/>
    <w:rsid w:val="00772EB3"/>
    <w:rsid w:val="00773335"/>
    <w:rsid w:val="007745D5"/>
    <w:rsid w:val="00775D1D"/>
    <w:rsid w:val="007803D2"/>
    <w:rsid w:val="007828E8"/>
    <w:rsid w:val="0078708E"/>
    <w:rsid w:val="00790C4A"/>
    <w:rsid w:val="00794A7D"/>
    <w:rsid w:val="007A4135"/>
    <w:rsid w:val="007C3D1C"/>
    <w:rsid w:val="007C480F"/>
    <w:rsid w:val="007D18E0"/>
    <w:rsid w:val="007D1D69"/>
    <w:rsid w:val="007D2E2B"/>
    <w:rsid w:val="007D3739"/>
    <w:rsid w:val="007D4A84"/>
    <w:rsid w:val="007E19E1"/>
    <w:rsid w:val="007E4EA6"/>
    <w:rsid w:val="007E5BD2"/>
    <w:rsid w:val="008048C2"/>
    <w:rsid w:val="00804EC7"/>
    <w:rsid w:val="008202B0"/>
    <w:rsid w:val="00821AC5"/>
    <w:rsid w:val="00823934"/>
    <w:rsid w:val="0083449F"/>
    <w:rsid w:val="0084364F"/>
    <w:rsid w:val="00847198"/>
    <w:rsid w:val="00854F86"/>
    <w:rsid w:val="00855EDD"/>
    <w:rsid w:val="00860193"/>
    <w:rsid w:val="00862B49"/>
    <w:rsid w:val="00866277"/>
    <w:rsid w:val="00870EEE"/>
    <w:rsid w:val="00872F18"/>
    <w:rsid w:val="00873882"/>
    <w:rsid w:val="00874EF7"/>
    <w:rsid w:val="00883F30"/>
    <w:rsid w:val="00892EB4"/>
    <w:rsid w:val="0089471A"/>
    <w:rsid w:val="008B1ECD"/>
    <w:rsid w:val="008B7E74"/>
    <w:rsid w:val="008C3A9E"/>
    <w:rsid w:val="008C59B4"/>
    <w:rsid w:val="008D33CE"/>
    <w:rsid w:val="008E0978"/>
    <w:rsid w:val="008E75C5"/>
    <w:rsid w:val="008F34E8"/>
    <w:rsid w:val="008F4B61"/>
    <w:rsid w:val="008F5A12"/>
    <w:rsid w:val="008F5BC4"/>
    <w:rsid w:val="008F7A9A"/>
    <w:rsid w:val="00901072"/>
    <w:rsid w:val="00904F27"/>
    <w:rsid w:val="009106C5"/>
    <w:rsid w:val="0091268B"/>
    <w:rsid w:val="00920D93"/>
    <w:rsid w:val="009315CD"/>
    <w:rsid w:val="00936D01"/>
    <w:rsid w:val="009454F4"/>
    <w:rsid w:val="00950890"/>
    <w:rsid w:val="009521C8"/>
    <w:rsid w:val="0095485E"/>
    <w:rsid w:val="00954EBF"/>
    <w:rsid w:val="0095508B"/>
    <w:rsid w:val="009557D4"/>
    <w:rsid w:val="0097676B"/>
    <w:rsid w:val="009769E2"/>
    <w:rsid w:val="0098388E"/>
    <w:rsid w:val="009934E8"/>
    <w:rsid w:val="00994752"/>
    <w:rsid w:val="009A398D"/>
    <w:rsid w:val="009A5C18"/>
    <w:rsid w:val="009A5CE9"/>
    <w:rsid w:val="009B1A1B"/>
    <w:rsid w:val="009B229B"/>
    <w:rsid w:val="009B699B"/>
    <w:rsid w:val="009C3C41"/>
    <w:rsid w:val="009C6BF4"/>
    <w:rsid w:val="009D13DC"/>
    <w:rsid w:val="009D22CE"/>
    <w:rsid w:val="009D3B57"/>
    <w:rsid w:val="009E5256"/>
    <w:rsid w:val="009E7D51"/>
    <w:rsid w:val="009F2C97"/>
    <w:rsid w:val="009F5CE7"/>
    <w:rsid w:val="00A06383"/>
    <w:rsid w:val="00A16D08"/>
    <w:rsid w:val="00A31725"/>
    <w:rsid w:val="00A43875"/>
    <w:rsid w:val="00A44721"/>
    <w:rsid w:val="00A459A9"/>
    <w:rsid w:val="00A4783E"/>
    <w:rsid w:val="00A52589"/>
    <w:rsid w:val="00A52E0D"/>
    <w:rsid w:val="00A63086"/>
    <w:rsid w:val="00A63677"/>
    <w:rsid w:val="00A654AE"/>
    <w:rsid w:val="00A7047E"/>
    <w:rsid w:val="00A707E3"/>
    <w:rsid w:val="00A74CE1"/>
    <w:rsid w:val="00A852A7"/>
    <w:rsid w:val="00A900B9"/>
    <w:rsid w:val="00A937D9"/>
    <w:rsid w:val="00A95DA3"/>
    <w:rsid w:val="00A95FA8"/>
    <w:rsid w:val="00A97723"/>
    <w:rsid w:val="00AA4194"/>
    <w:rsid w:val="00AB0016"/>
    <w:rsid w:val="00AB1873"/>
    <w:rsid w:val="00AB1C0D"/>
    <w:rsid w:val="00AB3C32"/>
    <w:rsid w:val="00AB4B9B"/>
    <w:rsid w:val="00AC5A48"/>
    <w:rsid w:val="00AC6891"/>
    <w:rsid w:val="00AC7DA7"/>
    <w:rsid w:val="00AD53DD"/>
    <w:rsid w:val="00AE04D3"/>
    <w:rsid w:val="00AE40EB"/>
    <w:rsid w:val="00AE46B0"/>
    <w:rsid w:val="00AF11D1"/>
    <w:rsid w:val="00AF52BA"/>
    <w:rsid w:val="00AF6033"/>
    <w:rsid w:val="00B00AC2"/>
    <w:rsid w:val="00B05283"/>
    <w:rsid w:val="00B1379E"/>
    <w:rsid w:val="00B2185C"/>
    <w:rsid w:val="00B21C49"/>
    <w:rsid w:val="00B236DD"/>
    <w:rsid w:val="00B247B3"/>
    <w:rsid w:val="00B24C30"/>
    <w:rsid w:val="00B27158"/>
    <w:rsid w:val="00B30F4C"/>
    <w:rsid w:val="00B33606"/>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D0D1E"/>
    <w:rsid w:val="00BD1068"/>
    <w:rsid w:val="00BD26AD"/>
    <w:rsid w:val="00BD330E"/>
    <w:rsid w:val="00BE098B"/>
    <w:rsid w:val="00BF5661"/>
    <w:rsid w:val="00C006F1"/>
    <w:rsid w:val="00C03E25"/>
    <w:rsid w:val="00C0697F"/>
    <w:rsid w:val="00C10962"/>
    <w:rsid w:val="00C1123F"/>
    <w:rsid w:val="00C13753"/>
    <w:rsid w:val="00C15438"/>
    <w:rsid w:val="00C16C9B"/>
    <w:rsid w:val="00C227ED"/>
    <w:rsid w:val="00C31365"/>
    <w:rsid w:val="00C345EE"/>
    <w:rsid w:val="00C36682"/>
    <w:rsid w:val="00C3722F"/>
    <w:rsid w:val="00C40CA8"/>
    <w:rsid w:val="00C42324"/>
    <w:rsid w:val="00C46B55"/>
    <w:rsid w:val="00C475FE"/>
    <w:rsid w:val="00C478EA"/>
    <w:rsid w:val="00C51E33"/>
    <w:rsid w:val="00C57337"/>
    <w:rsid w:val="00C6237D"/>
    <w:rsid w:val="00C6642A"/>
    <w:rsid w:val="00C66E05"/>
    <w:rsid w:val="00C71739"/>
    <w:rsid w:val="00C72C8A"/>
    <w:rsid w:val="00C73CC8"/>
    <w:rsid w:val="00C7412A"/>
    <w:rsid w:val="00C7699B"/>
    <w:rsid w:val="00C8267C"/>
    <w:rsid w:val="00C83343"/>
    <w:rsid w:val="00C8445D"/>
    <w:rsid w:val="00C87783"/>
    <w:rsid w:val="00C91B9C"/>
    <w:rsid w:val="00C92800"/>
    <w:rsid w:val="00C93B83"/>
    <w:rsid w:val="00C96F6E"/>
    <w:rsid w:val="00CA5876"/>
    <w:rsid w:val="00CB67EA"/>
    <w:rsid w:val="00CC49A4"/>
    <w:rsid w:val="00CD5F86"/>
    <w:rsid w:val="00CE0AB9"/>
    <w:rsid w:val="00CE27F9"/>
    <w:rsid w:val="00CE2891"/>
    <w:rsid w:val="00CE2EA8"/>
    <w:rsid w:val="00CF1C3A"/>
    <w:rsid w:val="00CF4E61"/>
    <w:rsid w:val="00CF57AF"/>
    <w:rsid w:val="00D0539F"/>
    <w:rsid w:val="00D056BA"/>
    <w:rsid w:val="00D06294"/>
    <w:rsid w:val="00D107FE"/>
    <w:rsid w:val="00D119D4"/>
    <w:rsid w:val="00D11CFE"/>
    <w:rsid w:val="00D25918"/>
    <w:rsid w:val="00D320B8"/>
    <w:rsid w:val="00D33387"/>
    <w:rsid w:val="00D42C41"/>
    <w:rsid w:val="00D43E5A"/>
    <w:rsid w:val="00D551AA"/>
    <w:rsid w:val="00D5646C"/>
    <w:rsid w:val="00D739F1"/>
    <w:rsid w:val="00D74CFF"/>
    <w:rsid w:val="00D76A8C"/>
    <w:rsid w:val="00D842DF"/>
    <w:rsid w:val="00D923B0"/>
    <w:rsid w:val="00D92CCD"/>
    <w:rsid w:val="00D962F2"/>
    <w:rsid w:val="00D96331"/>
    <w:rsid w:val="00DA1949"/>
    <w:rsid w:val="00DA2FCD"/>
    <w:rsid w:val="00DA3CC5"/>
    <w:rsid w:val="00DA4AE9"/>
    <w:rsid w:val="00DA5618"/>
    <w:rsid w:val="00DC08E0"/>
    <w:rsid w:val="00DC2634"/>
    <w:rsid w:val="00DC370E"/>
    <w:rsid w:val="00DC451F"/>
    <w:rsid w:val="00DC4D9A"/>
    <w:rsid w:val="00DC6DFD"/>
    <w:rsid w:val="00DD37B2"/>
    <w:rsid w:val="00DE1EB7"/>
    <w:rsid w:val="00DE2E58"/>
    <w:rsid w:val="00DE3DFB"/>
    <w:rsid w:val="00DF0297"/>
    <w:rsid w:val="00DF2025"/>
    <w:rsid w:val="00DF4405"/>
    <w:rsid w:val="00DF6449"/>
    <w:rsid w:val="00E05F02"/>
    <w:rsid w:val="00E07FE7"/>
    <w:rsid w:val="00E125CE"/>
    <w:rsid w:val="00E145A4"/>
    <w:rsid w:val="00E14EE9"/>
    <w:rsid w:val="00E17A26"/>
    <w:rsid w:val="00E2307B"/>
    <w:rsid w:val="00E32E90"/>
    <w:rsid w:val="00E3578E"/>
    <w:rsid w:val="00E35E0F"/>
    <w:rsid w:val="00E36F6B"/>
    <w:rsid w:val="00E371D1"/>
    <w:rsid w:val="00E53738"/>
    <w:rsid w:val="00E556EF"/>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10A6"/>
    <w:rsid w:val="00EE1FED"/>
    <w:rsid w:val="00EF0113"/>
    <w:rsid w:val="00EF08AE"/>
    <w:rsid w:val="00EF15DD"/>
    <w:rsid w:val="00EF2975"/>
    <w:rsid w:val="00EF3BA2"/>
    <w:rsid w:val="00EF510A"/>
    <w:rsid w:val="00EF5790"/>
    <w:rsid w:val="00EF5D3F"/>
    <w:rsid w:val="00F01DE6"/>
    <w:rsid w:val="00F04F4C"/>
    <w:rsid w:val="00F0602A"/>
    <w:rsid w:val="00F0699C"/>
    <w:rsid w:val="00F06F3C"/>
    <w:rsid w:val="00F15F19"/>
    <w:rsid w:val="00F24695"/>
    <w:rsid w:val="00F40A56"/>
    <w:rsid w:val="00F4311F"/>
    <w:rsid w:val="00F52189"/>
    <w:rsid w:val="00F567AF"/>
    <w:rsid w:val="00F60468"/>
    <w:rsid w:val="00F63F5E"/>
    <w:rsid w:val="00F66B8C"/>
    <w:rsid w:val="00F7183A"/>
    <w:rsid w:val="00F74F2F"/>
    <w:rsid w:val="00F82CC4"/>
    <w:rsid w:val="00F83DAA"/>
    <w:rsid w:val="00F840C0"/>
    <w:rsid w:val="00F84986"/>
    <w:rsid w:val="00F85A8F"/>
    <w:rsid w:val="00F86010"/>
    <w:rsid w:val="00F90A42"/>
    <w:rsid w:val="00F9345D"/>
    <w:rsid w:val="00F95B85"/>
    <w:rsid w:val="00FB4F80"/>
    <w:rsid w:val="00FC2B72"/>
    <w:rsid w:val="00FD0033"/>
    <w:rsid w:val="00FD008E"/>
    <w:rsid w:val="00FD0488"/>
    <w:rsid w:val="00FD0543"/>
    <w:rsid w:val="00FD3F3F"/>
    <w:rsid w:val="00FD6DCB"/>
    <w:rsid w:val="00FD73AD"/>
    <w:rsid w:val="00FE0353"/>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1.xml"/><Relationship Id="rId1" Type="http://schemas.openxmlformats.org/officeDocument/2006/relationships/oleObject" Target="file:///C:\Users\Rollins\Documents\Projects\Buffalo%20EQ%20Drain%20Pooled%20Fund\RU%20and%20G%20scatter%20plot.xlsm" TargetMode="Externa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348755675613542E-2"/>
          <c:y val="4.1809198023565183E-2"/>
          <c:w val="0.87736413970151539"/>
          <c:h val="0.81863322640225522"/>
        </c:manualLayout>
      </c:layout>
      <c:scatterChart>
        <c:scatterStyle val="lineMarker"/>
        <c:varyColors val="0"/>
        <c:ser>
          <c:idx val="0"/>
          <c:order val="0"/>
          <c:tx>
            <c:v>Liq. Go</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og"/>
            <c:dispRSqr val="0"/>
            <c:dispEq val="0"/>
          </c:trendline>
          <c:xVal>
            <c:numRef>
              <c:f>'Liq G'!$B$3:$B$222</c:f>
              <c:numCache>
                <c:formatCode>General</c:formatCode>
                <c:ptCount val="220"/>
                <c:pt idx="0">
                  <c:v>0.309</c:v>
                </c:pt>
                <c:pt idx="1">
                  <c:v>0.5</c:v>
                </c:pt>
                <c:pt idx="2">
                  <c:v>0.48</c:v>
                </c:pt>
                <c:pt idx="3">
                  <c:v>0.64</c:v>
                </c:pt>
                <c:pt idx="4">
                  <c:v>0.64</c:v>
                </c:pt>
                <c:pt idx="5">
                  <c:v>0.35500000000000004</c:v>
                </c:pt>
                <c:pt idx="6">
                  <c:v>0.72</c:v>
                </c:pt>
                <c:pt idx="7">
                  <c:v>0.8</c:v>
                </c:pt>
                <c:pt idx="8">
                  <c:v>0.82000000000000006</c:v>
                </c:pt>
                <c:pt idx="9">
                  <c:v>0.33999999999999997</c:v>
                </c:pt>
                <c:pt idx="10">
                  <c:v>0.38</c:v>
                </c:pt>
                <c:pt idx="11">
                  <c:v>0.36</c:v>
                </c:pt>
                <c:pt idx="12">
                  <c:v>0.4</c:v>
                </c:pt>
                <c:pt idx="13">
                  <c:v>0.4</c:v>
                </c:pt>
                <c:pt idx="14">
                  <c:v>0.1</c:v>
                </c:pt>
                <c:pt idx="15">
                  <c:v>0.48</c:v>
                </c:pt>
                <c:pt idx="16">
                  <c:v>0.04</c:v>
                </c:pt>
                <c:pt idx="17">
                  <c:v>0.63</c:v>
                </c:pt>
                <c:pt idx="18">
                  <c:v>0.6</c:v>
                </c:pt>
                <c:pt idx="19">
                  <c:v>0.67999999999999994</c:v>
                </c:pt>
                <c:pt idx="20">
                  <c:v>0.6</c:v>
                </c:pt>
                <c:pt idx="21">
                  <c:v>0.55999999999999994</c:v>
                </c:pt>
                <c:pt idx="22">
                  <c:v>1.7000000000000002</c:v>
                </c:pt>
                <c:pt idx="23">
                  <c:v>0.48</c:v>
                </c:pt>
                <c:pt idx="24">
                  <c:v>0.48</c:v>
                </c:pt>
                <c:pt idx="25">
                  <c:v>0.48</c:v>
                </c:pt>
                <c:pt idx="26">
                  <c:v>0.24</c:v>
                </c:pt>
                <c:pt idx="27">
                  <c:v>0.27999999999999997</c:v>
                </c:pt>
                <c:pt idx="28">
                  <c:v>0.44</c:v>
                </c:pt>
                <c:pt idx="29">
                  <c:v>0.4</c:v>
                </c:pt>
                <c:pt idx="30">
                  <c:v>0.27999999999999997</c:v>
                </c:pt>
                <c:pt idx="31">
                  <c:v>0.27999999999999997</c:v>
                </c:pt>
                <c:pt idx="32">
                  <c:v>0.27999999999999997</c:v>
                </c:pt>
                <c:pt idx="33">
                  <c:v>0.33999999999999997</c:v>
                </c:pt>
                <c:pt idx="34">
                  <c:v>0.4</c:v>
                </c:pt>
                <c:pt idx="35">
                  <c:v>0.45999999999999996</c:v>
                </c:pt>
                <c:pt idx="36">
                  <c:v>0.54</c:v>
                </c:pt>
                <c:pt idx="37">
                  <c:v>0.62</c:v>
                </c:pt>
                <c:pt idx="38">
                  <c:v>0.72</c:v>
                </c:pt>
                <c:pt idx="39">
                  <c:v>2.1999999999999997</c:v>
                </c:pt>
                <c:pt idx="40">
                  <c:v>1.7999999999999998</c:v>
                </c:pt>
                <c:pt idx="41">
                  <c:v>1.5</c:v>
                </c:pt>
                <c:pt idx="42">
                  <c:v>1.3</c:v>
                </c:pt>
                <c:pt idx="43">
                  <c:v>1.3</c:v>
                </c:pt>
                <c:pt idx="44">
                  <c:v>1.3</c:v>
                </c:pt>
                <c:pt idx="45">
                  <c:v>1.4000000000000001</c:v>
                </c:pt>
                <c:pt idx="46">
                  <c:v>1.3</c:v>
                </c:pt>
                <c:pt idx="47">
                  <c:v>1.5</c:v>
                </c:pt>
                <c:pt idx="48">
                  <c:v>1.4000000000000001</c:v>
                </c:pt>
                <c:pt idx="49">
                  <c:v>1.2</c:v>
                </c:pt>
                <c:pt idx="50">
                  <c:v>1.0999999999999999</c:v>
                </c:pt>
                <c:pt idx="51">
                  <c:v>3.2</c:v>
                </c:pt>
                <c:pt idx="52">
                  <c:v>1.4000000000000001</c:v>
                </c:pt>
                <c:pt idx="53">
                  <c:v>1</c:v>
                </c:pt>
                <c:pt idx="54">
                  <c:v>1</c:v>
                </c:pt>
                <c:pt idx="55">
                  <c:v>1.2</c:v>
                </c:pt>
                <c:pt idx="56">
                  <c:v>1.05</c:v>
                </c:pt>
                <c:pt idx="57">
                  <c:v>1.0999999999999999</c:v>
                </c:pt>
                <c:pt idx="58">
                  <c:v>0.85000000000000009</c:v>
                </c:pt>
                <c:pt idx="59">
                  <c:v>0.24</c:v>
                </c:pt>
                <c:pt idx="60">
                  <c:v>0.90500000000000003</c:v>
                </c:pt>
                <c:pt idx="61">
                  <c:v>0.80999999999999994</c:v>
                </c:pt>
                <c:pt idx="62">
                  <c:v>0.5</c:v>
                </c:pt>
                <c:pt idx="63">
                  <c:v>1.7000000000000002</c:v>
                </c:pt>
                <c:pt idx="64">
                  <c:v>1.7999999999999998</c:v>
                </c:pt>
                <c:pt idx="65">
                  <c:v>1.7999999999999998</c:v>
                </c:pt>
                <c:pt idx="66">
                  <c:v>0.26</c:v>
                </c:pt>
                <c:pt idx="67">
                  <c:v>1.7999999999999998</c:v>
                </c:pt>
                <c:pt idx="68">
                  <c:v>1.7999999999999998</c:v>
                </c:pt>
                <c:pt idx="69">
                  <c:v>1.2</c:v>
                </c:pt>
                <c:pt idx="70">
                  <c:v>0.27999999999999997</c:v>
                </c:pt>
                <c:pt idx="71">
                  <c:v>0.6</c:v>
                </c:pt>
                <c:pt idx="72">
                  <c:v>0.4</c:v>
                </c:pt>
                <c:pt idx="73">
                  <c:v>0.42</c:v>
                </c:pt>
                <c:pt idx="74">
                  <c:v>0.45999999999999996</c:v>
                </c:pt>
                <c:pt idx="75">
                  <c:v>0.51</c:v>
                </c:pt>
                <c:pt idx="76">
                  <c:v>0.5</c:v>
                </c:pt>
                <c:pt idx="77">
                  <c:v>0.5</c:v>
                </c:pt>
                <c:pt idx="78">
                  <c:v>0.52</c:v>
                </c:pt>
                <c:pt idx="79">
                  <c:v>0.52</c:v>
                </c:pt>
                <c:pt idx="80">
                  <c:v>0.62</c:v>
                </c:pt>
                <c:pt idx="81">
                  <c:v>0.64</c:v>
                </c:pt>
                <c:pt idx="82">
                  <c:v>1.0999999999999999</c:v>
                </c:pt>
                <c:pt idx="83">
                  <c:v>0.57000000000000006</c:v>
                </c:pt>
                <c:pt idx="84">
                  <c:v>0.57000000000000006</c:v>
                </c:pt>
                <c:pt idx="85">
                  <c:v>0.62</c:v>
                </c:pt>
                <c:pt idx="86">
                  <c:v>0.67999999999999994</c:v>
                </c:pt>
                <c:pt idx="87">
                  <c:v>0.89999999999999991</c:v>
                </c:pt>
                <c:pt idx="88">
                  <c:v>0.82000000000000006</c:v>
                </c:pt>
                <c:pt idx="89">
                  <c:v>0.44</c:v>
                </c:pt>
                <c:pt idx="90">
                  <c:v>0.44</c:v>
                </c:pt>
                <c:pt idx="91">
                  <c:v>0.5</c:v>
                </c:pt>
                <c:pt idx="92">
                  <c:v>0.5</c:v>
                </c:pt>
                <c:pt idx="93">
                  <c:v>0.54</c:v>
                </c:pt>
                <c:pt idx="94">
                  <c:v>0.55999999999999994</c:v>
                </c:pt>
                <c:pt idx="95">
                  <c:v>0.55999999999999994</c:v>
                </c:pt>
                <c:pt idx="96">
                  <c:v>0.48</c:v>
                </c:pt>
                <c:pt idx="97">
                  <c:v>0.52</c:v>
                </c:pt>
                <c:pt idx="98">
                  <c:v>0.57999999999999996</c:v>
                </c:pt>
                <c:pt idx="99">
                  <c:v>0.57999999999999996</c:v>
                </c:pt>
                <c:pt idx="100">
                  <c:v>0.3</c:v>
                </c:pt>
                <c:pt idx="101">
                  <c:v>0.13</c:v>
                </c:pt>
                <c:pt idx="102">
                  <c:v>0.8</c:v>
                </c:pt>
                <c:pt idx="103">
                  <c:v>0.45999999999999996</c:v>
                </c:pt>
                <c:pt idx="104">
                  <c:v>0.45999999999999996</c:v>
                </c:pt>
                <c:pt idx="105">
                  <c:v>1.3</c:v>
                </c:pt>
                <c:pt idx="106">
                  <c:v>0.24</c:v>
                </c:pt>
                <c:pt idx="107">
                  <c:v>0.24</c:v>
                </c:pt>
                <c:pt idx="108">
                  <c:v>0.33999999999999997</c:v>
                </c:pt>
                <c:pt idx="109">
                  <c:v>3.5999999999999996</c:v>
                </c:pt>
                <c:pt idx="110">
                  <c:v>4.3</c:v>
                </c:pt>
                <c:pt idx="111">
                  <c:v>1.5</c:v>
                </c:pt>
                <c:pt idx="112">
                  <c:v>4.2</c:v>
                </c:pt>
                <c:pt idx="113">
                  <c:v>2.1</c:v>
                </c:pt>
                <c:pt idx="114">
                  <c:v>2.1</c:v>
                </c:pt>
                <c:pt idx="115">
                  <c:v>2.1999999999999997</c:v>
                </c:pt>
                <c:pt idx="116">
                  <c:v>2.2999999999999998</c:v>
                </c:pt>
                <c:pt idx="117">
                  <c:v>2.1999999999999997</c:v>
                </c:pt>
                <c:pt idx="118">
                  <c:v>1.7000000000000002</c:v>
                </c:pt>
                <c:pt idx="119">
                  <c:v>0.89999999999999991</c:v>
                </c:pt>
                <c:pt idx="120">
                  <c:v>1</c:v>
                </c:pt>
                <c:pt idx="121">
                  <c:v>1</c:v>
                </c:pt>
                <c:pt idx="122">
                  <c:v>0.67999999999999994</c:v>
                </c:pt>
                <c:pt idx="123">
                  <c:v>0.17500000000000002</c:v>
                </c:pt>
                <c:pt idx="124">
                  <c:v>1.7000000000000002</c:v>
                </c:pt>
                <c:pt idx="125">
                  <c:v>1.9</c:v>
                </c:pt>
                <c:pt idx="126">
                  <c:v>1.7000000000000002</c:v>
                </c:pt>
                <c:pt idx="127">
                  <c:v>1</c:v>
                </c:pt>
                <c:pt idx="128">
                  <c:v>2.8000000000000003</c:v>
                </c:pt>
                <c:pt idx="129">
                  <c:v>2.5299999999999998</c:v>
                </c:pt>
                <c:pt idx="130">
                  <c:v>0.43</c:v>
                </c:pt>
                <c:pt idx="131">
                  <c:v>0.30499999999999999</c:v>
                </c:pt>
                <c:pt idx="132">
                  <c:v>0.3</c:v>
                </c:pt>
                <c:pt idx="133">
                  <c:v>0.6</c:v>
                </c:pt>
                <c:pt idx="134">
                  <c:v>0.5</c:v>
                </c:pt>
                <c:pt idx="135">
                  <c:v>0.54999999999999993</c:v>
                </c:pt>
                <c:pt idx="136">
                  <c:v>0.52</c:v>
                </c:pt>
                <c:pt idx="137">
                  <c:v>0.57999999999999996</c:v>
                </c:pt>
                <c:pt idx="138">
                  <c:v>0.65</c:v>
                </c:pt>
                <c:pt idx="139">
                  <c:v>0.67999999999999994</c:v>
                </c:pt>
                <c:pt idx="140">
                  <c:v>0.67999999999999994</c:v>
                </c:pt>
                <c:pt idx="141">
                  <c:v>0.72</c:v>
                </c:pt>
                <c:pt idx="142">
                  <c:v>0.72</c:v>
                </c:pt>
                <c:pt idx="143">
                  <c:v>0.85000000000000009</c:v>
                </c:pt>
                <c:pt idx="144">
                  <c:v>0.26</c:v>
                </c:pt>
                <c:pt idx="145">
                  <c:v>0.1</c:v>
                </c:pt>
                <c:pt idx="146">
                  <c:v>1.55</c:v>
                </c:pt>
                <c:pt idx="147">
                  <c:v>0.4</c:v>
                </c:pt>
                <c:pt idx="148">
                  <c:v>4.3999999999999995</c:v>
                </c:pt>
                <c:pt idx="149">
                  <c:v>4.3999999999999995</c:v>
                </c:pt>
                <c:pt idx="150">
                  <c:v>4.5999999999999996</c:v>
                </c:pt>
                <c:pt idx="151">
                  <c:v>4.5999999999999996</c:v>
                </c:pt>
                <c:pt idx="152">
                  <c:v>4.5999999999999996</c:v>
                </c:pt>
                <c:pt idx="153">
                  <c:v>4.5999999999999996</c:v>
                </c:pt>
                <c:pt idx="154">
                  <c:v>3.8</c:v>
                </c:pt>
                <c:pt idx="155">
                  <c:v>3.62</c:v>
                </c:pt>
                <c:pt idx="156">
                  <c:v>1.5</c:v>
                </c:pt>
                <c:pt idx="157">
                  <c:v>1.6</c:v>
                </c:pt>
                <c:pt idx="158">
                  <c:v>1.6</c:v>
                </c:pt>
                <c:pt idx="159">
                  <c:v>1.4000000000000001</c:v>
                </c:pt>
                <c:pt idx="160">
                  <c:v>2.1</c:v>
                </c:pt>
                <c:pt idx="161">
                  <c:v>1.7000000000000002</c:v>
                </c:pt>
                <c:pt idx="162">
                  <c:v>2</c:v>
                </c:pt>
                <c:pt idx="163">
                  <c:v>1.7999999999999998</c:v>
                </c:pt>
                <c:pt idx="164">
                  <c:v>1.9</c:v>
                </c:pt>
                <c:pt idx="165">
                  <c:v>2</c:v>
                </c:pt>
                <c:pt idx="166">
                  <c:v>1.25</c:v>
                </c:pt>
                <c:pt idx="167">
                  <c:v>0.82000000000000006</c:v>
                </c:pt>
                <c:pt idx="168">
                  <c:v>0.66</c:v>
                </c:pt>
                <c:pt idx="169">
                  <c:v>0.6</c:v>
                </c:pt>
                <c:pt idx="170">
                  <c:v>0.62</c:v>
                </c:pt>
                <c:pt idx="171">
                  <c:v>0.62</c:v>
                </c:pt>
                <c:pt idx="172">
                  <c:v>0.6</c:v>
                </c:pt>
                <c:pt idx="173">
                  <c:v>0.6</c:v>
                </c:pt>
                <c:pt idx="174">
                  <c:v>0.68700000000000006</c:v>
                </c:pt>
                <c:pt idx="175">
                  <c:v>0.70000000000000007</c:v>
                </c:pt>
                <c:pt idx="176">
                  <c:v>0.70000000000000007</c:v>
                </c:pt>
                <c:pt idx="177">
                  <c:v>0.38</c:v>
                </c:pt>
                <c:pt idx="178">
                  <c:v>0.52</c:v>
                </c:pt>
                <c:pt idx="179">
                  <c:v>0.57999999999999996</c:v>
                </c:pt>
                <c:pt idx="180">
                  <c:v>0.66</c:v>
                </c:pt>
                <c:pt idx="181">
                  <c:v>0.70000000000000007</c:v>
                </c:pt>
                <c:pt idx="182">
                  <c:v>0.76</c:v>
                </c:pt>
                <c:pt idx="183">
                  <c:v>0.79</c:v>
                </c:pt>
                <c:pt idx="184">
                  <c:v>0.74</c:v>
                </c:pt>
                <c:pt idx="185">
                  <c:v>0.85000000000000009</c:v>
                </c:pt>
                <c:pt idx="186">
                  <c:v>0.18</c:v>
                </c:pt>
                <c:pt idx="187">
                  <c:v>0.21</c:v>
                </c:pt>
                <c:pt idx="188">
                  <c:v>0.21</c:v>
                </c:pt>
                <c:pt idx="189">
                  <c:v>0.43</c:v>
                </c:pt>
                <c:pt idx="190">
                  <c:v>0.5</c:v>
                </c:pt>
                <c:pt idx="191">
                  <c:v>0.6</c:v>
                </c:pt>
                <c:pt idx="192">
                  <c:v>0.66</c:v>
                </c:pt>
                <c:pt idx="193">
                  <c:v>0.70000000000000007</c:v>
                </c:pt>
                <c:pt idx="194">
                  <c:v>0.72</c:v>
                </c:pt>
                <c:pt idx="195">
                  <c:v>0.80999999999999994</c:v>
                </c:pt>
                <c:pt idx="196">
                  <c:v>0.83</c:v>
                </c:pt>
                <c:pt idx="197">
                  <c:v>0.75</c:v>
                </c:pt>
                <c:pt idx="198">
                  <c:v>0.3</c:v>
                </c:pt>
                <c:pt idx="199">
                  <c:v>0.44</c:v>
                </c:pt>
                <c:pt idx="200">
                  <c:v>0.22</c:v>
                </c:pt>
                <c:pt idx="201">
                  <c:v>0.4</c:v>
                </c:pt>
                <c:pt idx="202">
                  <c:v>0.3</c:v>
                </c:pt>
                <c:pt idx="203">
                  <c:v>1.5</c:v>
                </c:pt>
                <c:pt idx="204">
                  <c:v>1.3</c:v>
                </c:pt>
                <c:pt idx="205">
                  <c:v>0.32</c:v>
                </c:pt>
                <c:pt idx="206">
                  <c:v>0.3</c:v>
                </c:pt>
                <c:pt idx="207">
                  <c:v>0.70000000000000007</c:v>
                </c:pt>
                <c:pt idx="208">
                  <c:v>0.75</c:v>
                </c:pt>
                <c:pt idx="209">
                  <c:v>0.75</c:v>
                </c:pt>
                <c:pt idx="210">
                  <c:v>1E-4</c:v>
                </c:pt>
                <c:pt idx="211">
                  <c:v>1E-4</c:v>
                </c:pt>
                <c:pt idx="212">
                  <c:v>1E-4</c:v>
                </c:pt>
                <c:pt idx="213">
                  <c:v>1E-4</c:v>
                </c:pt>
                <c:pt idx="214">
                  <c:v>1E-4</c:v>
                </c:pt>
                <c:pt idx="215">
                  <c:v>1E-4</c:v>
                </c:pt>
                <c:pt idx="216">
                  <c:v>1E-4</c:v>
                </c:pt>
                <c:pt idx="217">
                  <c:v>1E-4</c:v>
                </c:pt>
                <c:pt idx="218">
                  <c:v>1E-4</c:v>
                </c:pt>
                <c:pt idx="219">
                  <c:v>1E-4</c:v>
                </c:pt>
              </c:numCache>
            </c:numRef>
          </c:xVal>
          <c:yVal>
            <c:numRef>
              <c:f>'Liq G'!$C$3:$C$222</c:f>
              <c:numCache>
                <c:formatCode>General</c:formatCode>
                <c:ptCount val="220"/>
                <c:pt idx="0">
                  <c:v>1.9429842360558558E-2</c:v>
                </c:pt>
                <c:pt idx="1">
                  <c:v>2.0528553684518669E-2</c:v>
                </c:pt>
                <c:pt idx="2">
                  <c:v>2.4598678629553249E-2</c:v>
                </c:pt>
                <c:pt idx="3">
                  <c:v>7.4928913358536823E-3</c:v>
                </c:pt>
                <c:pt idx="4">
                  <c:v>7.9305479022687819E-3</c:v>
                </c:pt>
                <c:pt idx="5">
                  <c:v>1.8803073252153399E-2</c:v>
                </c:pt>
                <c:pt idx="6">
                  <c:v>7.7277782115857735E-3</c:v>
                </c:pt>
                <c:pt idx="7">
                  <c:v>7.6155102472528075E-3</c:v>
                </c:pt>
                <c:pt idx="8">
                  <c:v>8.1621264014641298E-3</c:v>
                </c:pt>
                <c:pt idx="9">
                  <c:v>2.2144305631518896E-2</c:v>
                </c:pt>
                <c:pt idx="10">
                  <c:v>2.5258795068726071E-2</c:v>
                </c:pt>
                <c:pt idx="11">
                  <c:v>2.4287302950698145E-2</c:v>
                </c:pt>
                <c:pt idx="12">
                  <c:v>2.6889513981130087E-2</c:v>
                </c:pt>
                <c:pt idx="13">
                  <c:v>2.8624321334751384E-2</c:v>
                </c:pt>
                <c:pt idx="14">
                  <c:v>0.16029619947460774</c:v>
                </c:pt>
                <c:pt idx="15">
                  <c:v>3.3573624667141554E-2</c:v>
                </c:pt>
                <c:pt idx="16">
                  <c:v>0.17001112065488694</c:v>
                </c:pt>
                <c:pt idx="17">
                  <c:v>1.8955943766398552E-2</c:v>
                </c:pt>
                <c:pt idx="18">
                  <c:v>1.9834630743070149E-2</c:v>
                </c:pt>
                <c:pt idx="19">
                  <c:v>1.681428665817564E-2</c:v>
                </c:pt>
                <c:pt idx="20">
                  <c:v>2.0937330129912196E-2</c:v>
                </c:pt>
                <c:pt idx="21">
                  <c:v>2.2488243472868652E-2</c:v>
                </c:pt>
                <c:pt idx="22">
                  <c:v>5.869431546418718E-3</c:v>
                </c:pt>
                <c:pt idx="23">
                  <c:v>1.5455556423171547E-2</c:v>
                </c:pt>
                <c:pt idx="24">
                  <c:v>1.5753926238290691E-2</c:v>
                </c:pt>
                <c:pt idx="25">
                  <c:v>1.8817189673513878E-2</c:v>
                </c:pt>
                <c:pt idx="26">
                  <c:v>3.3539608836678392E-2</c:v>
                </c:pt>
                <c:pt idx="27">
                  <c:v>3.167909080525845E-2</c:v>
                </c:pt>
                <c:pt idx="28">
                  <c:v>1.1565382357475305E-2</c:v>
                </c:pt>
                <c:pt idx="29">
                  <c:v>5.6670373551629002E-2</c:v>
                </c:pt>
                <c:pt idx="30">
                  <c:v>7.5174985323589502E-2</c:v>
                </c:pt>
                <c:pt idx="31">
                  <c:v>6.8638030078059978E-2</c:v>
                </c:pt>
                <c:pt idx="32">
                  <c:v>6.8638030078059978E-2</c:v>
                </c:pt>
                <c:pt idx="33">
                  <c:v>6.1585661053556014E-2</c:v>
                </c:pt>
                <c:pt idx="34">
                  <c:v>4.9268528842844807E-2</c:v>
                </c:pt>
                <c:pt idx="35">
                  <c:v>4.2058500231696792E-2</c:v>
                </c:pt>
                <c:pt idx="36">
                  <c:v>3.6689329989352516E-2</c:v>
                </c:pt>
                <c:pt idx="37">
                  <c:v>3.4368824930233223E-2</c:v>
                </c:pt>
                <c:pt idx="38">
                  <c:v>2.878495164527187E-2</c:v>
                </c:pt>
                <c:pt idx="39">
                  <c:v>8.0957676502327151E-3</c:v>
                </c:pt>
                <c:pt idx="40">
                  <c:v>8.9053444152559866E-3</c:v>
                </c:pt>
                <c:pt idx="41">
                  <c:v>1.0408844121727778E-2</c:v>
                </c:pt>
                <c:pt idx="42">
                  <c:v>1.1209524438783758E-2</c:v>
                </c:pt>
                <c:pt idx="43">
                  <c:v>1.0088571994905383E-2</c:v>
                </c:pt>
                <c:pt idx="44">
                  <c:v>9.7149211802792582E-3</c:v>
                </c:pt>
                <c:pt idx="45">
                  <c:v>8.4555795457986124E-3</c:v>
                </c:pt>
                <c:pt idx="46">
                  <c:v>8.780794143713945E-3</c:v>
                </c:pt>
                <c:pt idx="47">
                  <c:v>1.1504511924014912E-2</c:v>
                </c:pt>
                <c:pt idx="48">
                  <c:v>1.0818889496220084E-2</c:v>
                </c:pt>
                <c:pt idx="49">
                  <c:v>1.0929286327814165E-2</c:v>
                </c:pt>
                <c:pt idx="50">
                  <c:v>1.1504511924014912E-2</c:v>
                </c:pt>
                <c:pt idx="51">
                  <c:v>2.7201779304781922E-3</c:v>
                </c:pt>
                <c:pt idx="52">
                  <c:v>4.6550663988838108E-3</c:v>
                </c:pt>
                <c:pt idx="53">
                  <c:v>1.0481888641880252E-2</c:v>
                </c:pt>
                <c:pt idx="54">
                  <c:v>1.0929286327814165E-2</c:v>
                </c:pt>
                <c:pt idx="55">
                  <c:v>5.2798484675430747E-3</c:v>
                </c:pt>
                <c:pt idx="56">
                  <c:v>4.2650873474396741E-3</c:v>
                </c:pt>
                <c:pt idx="57">
                  <c:v>4.0281380503596927E-3</c:v>
                </c:pt>
                <c:pt idx="58">
                  <c:v>4.8574605901396291E-3</c:v>
                </c:pt>
                <c:pt idx="59">
                  <c:v>2.2552495597076852E-2</c:v>
                </c:pt>
                <c:pt idx="60">
                  <c:v>1.224456824661236E-2</c:v>
                </c:pt>
                <c:pt idx="61">
                  <c:v>8.4477575480689203E-3</c:v>
                </c:pt>
                <c:pt idx="62">
                  <c:v>1.7663493055053197E-2</c:v>
                </c:pt>
                <c:pt idx="63">
                  <c:v>1.4800075235581682E-2</c:v>
                </c:pt>
                <c:pt idx="64">
                  <c:v>8.8577222526075583E-3</c:v>
                </c:pt>
                <c:pt idx="65">
                  <c:v>1.0294916474624289E-2</c:v>
                </c:pt>
                <c:pt idx="66">
                  <c:v>8.8317465275265988E-2</c:v>
                </c:pt>
                <c:pt idx="67">
                  <c:v>9.437352003699849E-3</c:v>
                </c:pt>
                <c:pt idx="68">
                  <c:v>8.365626571907139E-3</c:v>
                </c:pt>
                <c:pt idx="69">
                  <c:v>2.7756917657940738E-3</c:v>
                </c:pt>
                <c:pt idx="70">
                  <c:v>1.8074271963310247E-2</c:v>
                </c:pt>
                <c:pt idx="71">
                  <c:v>1.1296419977068905E-2</c:v>
                </c:pt>
                <c:pt idx="72">
                  <c:v>1.9156182609001354E-2</c:v>
                </c:pt>
                <c:pt idx="73">
                  <c:v>2.023941912558179E-2</c:v>
                </c:pt>
                <c:pt idx="74">
                  <c:v>1.9928043446726683E-2</c:v>
                </c:pt>
                <c:pt idx="75">
                  <c:v>1.8283699974121076E-2</c:v>
                </c:pt>
                <c:pt idx="76">
                  <c:v>4.5717276142490625E-3</c:v>
                </c:pt>
                <c:pt idx="77">
                  <c:v>5.7682344507908089E-3</c:v>
                </c:pt>
                <c:pt idx="78">
                  <c:v>3.5081659817675099E-3</c:v>
                </c:pt>
                <c:pt idx="79">
                  <c:v>3.5081659817675099E-3</c:v>
                </c:pt>
                <c:pt idx="80">
                  <c:v>4.4371034236852375E-3</c:v>
                </c:pt>
                <c:pt idx="81">
                  <c:v>7.0837966939536253E-3</c:v>
                </c:pt>
                <c:pt idx="82">
                  <c:v>6.3840910613263699E-3</c:v>
                </c:pt>
                <c:pt idx="83">
                  <c:v>9.2036095392119283E-3</c:v>
                </c:pt>
                <c:pt idx="84">
                  <c:v>9.2036095392119283E-3</c:v>
                </c:pt>
                <c:pt idx="85">
                  <c:v>8.2576830032373687E-3</c:v>
                </c:pt>
                <c:pt idx="86">
                  <c:v>7.7902669841861966E-3</c:v>
                </c:pt>
                <c:pt idx="87">
                  <c:v>8.4071433290878201E-3</c:v>
                </c:pt>
                <c:pt idx="88">
                  <c:v>9.056282456192527E-3</c:v>
                </c:pt>
                <c:pt idx="89">
                  <c:v>2.5854225721710925E-2</c:v>
                </c:pt>
                <c:pt idx="90">
                  <c:v>2.7323215819535413E-2</c:v>
                </c:pt>
                <c:pt idx="91">
                  <c:v>2.1661648577649694E-2</c:v>
                </c:pt>
                <c:pt idx="92">
                  <c:v>2.0550794804436893E-2</c:v>
                </c:pt>
                <c:pt idx="93">
                  <c:v>1.8639092962163692E-2</c:v>
                </c:pt>
                <c:pt idx="94">
                  <c:v>1.7951484789646456E-2</c:v>
                </c:pt>
                <c:pt idx="95">
                  <c:v>2.0644207508093423E-2</c:v>
                </c:pt>
                <c:pt idx="96">
                  <c:v>3.0021805036279652E-2</c:v>
                </c:pt>
                <c:pt idx="97">
                  <c:v>2.3495325680566684E-2</c:v>
                </c:pt>
                <c:pt idx="98">
                  <c:v>2.2830064773656261E-2</c:v>
                </c:pt>
                <c:pt idx="99">
                  <c:v>2.1537796956279491E-2</c:v>
                </c:pt>
                <c:pt idx="100">
                  <c:v>2.6985892167442384E-2</c:v>
                </c:pt>
                <c:pt idx="101">
                  <c:v>0.16697520778604974</c:v>
                </c:pt>
                <c:pt idx="102">
                  <c:v>1.0929286327814165E-2</c:v>
                </c:pt>
                <c:pt idx="103">
                  <c:v>1.0794356866976954E-2</c:v>
                </c:pt>
                <c:pt idx="104">
                  <c:v>1.4572381770418887E-2</c:v>
                </c:pt>
                <c:pt idx="105">
                  <c:v>8.9863020917583126E-3</c:v>
                </c:pt>
                <c:pt idx="106">
                  <c:v>2.717864854006697E-2</c:v>
                </c:pt>
                <c:pt idx="107">
                  <c:v>3.1804801483057095E-2</c:v>
                </c:pt>
                <c:pt idx="108">
                  <c:v>6.6238098956449484E-2</c:v>
                </c:pt>
                <c:pt idx="109">
                  <c:v>4.1101589608873793E-3</c:v>
                </c:pt>
                <c:pt idx="110">
                  <c:v>3.3855028355518632E-3</c:v>
                </c:pt>
                <c:pt idx="111">
                  <c:v>3.736508146261253E-3</c:v>
                </c:pt>
                <c:pt idx="112">
                  <c:v>3.4182130078760347E-3</c:v>
                </c:pt>
                <c:pt idx="113">
                  <c:v>2.857329758905664E-3</c:v>
                </c:pt>
                <c:pt idx="114">
                  <c:v>2.563659755907026E-3</c:v>
                </c:pt>
                <c:pt idx="115">
                  <c:v>2.8335186775814503E-3</c:v>
                </c:pt>
                <c:pt idx="116">
                  <c:v>2.6716033245767958E-3</c:v>
                </c:pt>
                <c:pt idx="117">
                  <c:v>3.7911887532797108E-3</c:v>
                </c:pt>
                <c:pt idx="118">
                  <c:v>1.110276706317629E-2</c:v>
                </c:pt>
                <c:pt idx="119">
                  <c:v>5.1559637548968121E-3</c:v>
                </c:pt>
                <c:pt idx="120">
                  <c:v>4.9091357028006885E-3</c:v>
                </c:pt>
                <c:pt idx="121">
                  <c:v>4.3461489490723001E-3</c:v>
                </c:pt>
                <c:pt idx="122">
                  <c:v>3.3600479270138789E-2</c:v>
                </c:pt>
                <c:pt idx="123">
                  <c:v>0.11513980658108748</c:v>
                </c:pt>
                <c:pt idx="124">
                  <c:v>1.0745291608490694E-2</c:v>
                </c:pt>
                <c:pt idx="125">
                  <c:v>8.0957676502327134E-3</c:v>
                </c:pt>
                <c:pt idx="126">
                  <c:v>8.8317465275265968E-3</c:v>
                </c:pt>
                <c:pt idx="127">
                  <c:v>2.7756917657940738E-3</c:v>
                </c:pt>
                <c:pt idx="128">
                  <c:v>6.1932622524279564E-2</c:v>
                </c:pt>
                <c:pt idx="129">
                  <c:v>1.2143651475349092E-2</c:v>
                </c:pt>
                <c:pt idx="130">
                  <c:v>9.1650199813955256E-3</c:v>
                </c:pt>
                <c:pt idx="131">
                  <c:v>0.13358016622883945</c:v>
                </c:pt>
                <c:pt idx="132">
                  <c:v>2.3801556891684183E-2</c:v>
                </c:pt>
                <c:pt idx="133">
                  <c:v>1.0737544462413916E-2</c:v>
                </c:pt>
                <c:pt idx="134">
                  <c:v>5.9161378982469839E-3</c:v>
                </c:pt>
                <c:pt idx="135">
                  <c:v>9.7149211802792564E-3</c:v>
                </c:pt>
                <c:pt idx="136">
                  <c:v>1.0586773081073551E-2</c:v>
                </c:pt>
                <c:pt idx="137">
                  <c:v>2.00263726084704E-2</c:v>
                </c:pt>
                <c:pt idx="138">
                  <c:v>1.806975339531942E-2</c:v>
                </c:pt>
                <c:pt idx="139">
                  <c:v>1.6982850935450582E-2</c:v>
                </c:pt>
                <c:pt idx="140">
                  <c:v>1.6608229223639175E-2</c:v>
                </c:pt>
                <c:pt idx="141">
                  <c:v>1.6827631330126575E-2</c:v>
                </c:pt>
                <c:pt idx="142">
                  <c:v>1.4572381770418887E-2</c:v>
                </c:pt>
                <c:pt idx="143">
                  <c:v>1.7221905728676865E-2</c:v>
                </c:pt>
                <c:pt idx="144">
                  <c:v>2.8761279810037281E-2</c:v>
                </c:pt>
                <c:pt idx="145">
                  <c:v>5.7000000000000002E-2</c:v>
                </c:pt>
                <c:pt idx="146">
                  <c:v>4.7658103903256734E-3</c:v>
                </c:pt>
                <c:pt idx="147">
                  <c:v>3.8859684721117033E-2</c:v>
                </c:pt>
                <c:pt idx="148">
                  <c:v>3.5716621986320802E-3</c:v>
                </c:pt>
                <c:pt idx="149">
                  <c:v>3.1956977566708089E-3</c:v>
                </c:pt>
                <c:pt idx="150">
                  <c:v>2.8241049942672263E-3</c:v>
                </c:pt>
                <c:pt idx="151">
                  <c:v>2.8913455893688268E-3</c:v>
                </c:pt>
                <c:pt idx="152">
                  <c:v>3.1956977566708089E-3</c:v>
                </c:pt>
                <c:pt idx="153">
                  <c:v>3.1920455306631845E-3</c:v>
                </c:pt>
                <c:pt idx="154">
                  <c:v>5.9368962768373253E-3</c:v>
                </c:pt>
                <c:pt idx="155">
                  <c:v>1.4478969066762347E-2</c:v>
                </c:pt>
                <c:pt idx="156">
                  <c:v>3.4182130078760351E-3</c:v>
                </c:pt>
                <c:pt idx="157">
                  <c:v>3.1824741797466536E-3</c:v>
                </c:pt>
                <c:pt idx="158">
                  <c:v>3.349972820785951E-3</c:v>
                </c:pt>
                <c:pt idx="159">
                  <c:v>3.7365081462612526E-3</c:v>
                </c:pt>
                <c:pt idx="160">
                  <c:v>3.0803408620397646E-3</c:v>
                </c:pt>
                <c:pt idx="161">
                  <c:v>1.2447242762232797E-2</c:v>
                </c:pt>
                <c:pt idx="162">
                  <c:v>3.5496827389481901E-3</c:v>
                </c:pt>
                <c:pt idx="163">
                  <c:v>4.0478838251163576E-3</c:v>
                </c:pt>
                <c:pt idx="164">
                  <c:v>3.8859684721117031E-3</c:v>
                </c:pt>
                <c:pt idx="165">
                  <c:v>3.349972820785951E-3</c:v>
                </c:pt>
                <c:pt idx="166">
                  <c:v>4.5336298841303201E-3</c:v>
                </c:pt>
                <c:pt idx="167">
                  <c:v>5.3971784334884768E-3</c:v>
                </c:pt>
                <c:pt idx="168">
                  <c:v>3.5285326928372773E-2</c:v>
                </c:pt>
                <c:pt idx="169">
                  <c:v>3.0359128688372681E-2</c:v>
                </c:pt>
                <c:pt idx="170">
                  <c:v>3.2859292227415134E-2</c:v>
                </c:pt>
                <c:pt idx="171">
                  <c:v>3.1430627347962301E-2</c:v>
                </c:pt>
                <c:pt idx="172">
                  <c:v>3.594520836703325E-2</c:v>
                </c:pt>
                <c:pt idx="173">
                  <c:v>3.837393866210307E-2</c:v>
                </c:pt>
                <c:pt idx="174">
                  <c:v>3.2541106881592008E-2</c:v>
                </c:pt>
                <c:pt idx="175">
                  <c:v>3.7496187011604148E-2</c:v>
                </c:pt>
                <c:pt idx="176">
                  <c:v>3.49901822171075E-2</c:v>
                </c:pt>
                <c:pt idx="177">
                  <c:v>4.0364813354681416E-2</c:v>
                </c:pt>
                <c:pt idx="178">
                  <c:v>9.4450622586048343E-3</c:v>
                </c:pt>
                <c:pt idx="179">
                  <c:v>1.0275397402218446E-2</c:v>
                </c:pt>
                <c:pt idx="180">
                  <c:v>9.6019569805085685E-3</c:v>
                </c:pt>
                <c:pt idx="181">
                  <c:v>7.2861908852094436E-3</c:v>
                </c:pt>
                <c:pt idx="182">
                  <c:v>8.3487603893024863E-3</c:v>
                </c:pt>
                <c:pt idx="183">
                  <c:v>5.6530791350762923E-3</c:v>
                </c:pt>
                <c:pt idx="184">
                  <c:v>8.4571858489038178E-3</c:v>
                </c:pt>
                <c:pt idx="185">
                  <c:v>6.4030162324567822E-3</c:v>
                </c:pt>
                <c:pt idx="186">
                  <c:v>5.7406352428922891E-2</c:v>
                </c:pt>
                <c:pt idx="187">
                  <c:v>4.8574605901396312E-2</c:v>
                </c:pt>
                <c:pt idx="188">
                  <c:v>8.5005560327443552E-3</c:v>
                </c:pt>
                <c:pt idx="189">
                  <c:v>1.6038784967442172E-2</c:v>
                </c:pt>
                <c:pt idx="190">
                  <c:v>1.1847464853999094E-2</c:v>
                </c:pt>
                <c:pt idx="191">
                  <c:v>1.1172159357321146E-2</c:v>
                </c:pt>
                <c:pt idx="192">
                  <c:v>1.1685400476279296E-2</c:v>
                </c:pt>
                <c:pt idx="193">
                  <c:v>1.1377835616543274E-2</c:v>
                </c:pt>
                <c:pt idx="194">
                  <c:v>1.1821253648569893E-2</c:v>
                </c:pt>
                <c:pt idx="195">
                  <c:v>1.1745498967960578E-2</c:v>
                </c:pt>
                <c:pt idx="196">
                  <c:v>1.1751920782595874E-2</c:v>
                </c:pt>
                <c:pt idx="197">
                  <c:v>1.2895913071167157E-2</c:v>
                </c:pt>
                <c:pt idx="198">
                  <c:v>3.40022241309774E-2</c:v>
                </c:pt>
                <c:pt idx="199">
                  <c:v>9.1077386065118032E-3</c:v>
                </c:pt>
                <c:pt idx="200">
                  <c:v>1.6559524739112371E-2</c:v>
                </c:pt>
                <c:pt idx="201">
                  <c:v>1.0953097409138376E-2</c:v>
                </c:pt>
                <c:pt idx="202">
                  <c:v>4.7056649466977657E-2</c:v>
                </c:pt>
                <c:pt idx="203">
                  <c:v>3.736508146261253E-3</c:v>
                </c:pt>
                <c:pt idx="204">
                  <c:v>4.2238787740344601E-3</c:v>
                </c:pt>
                <c:pt idx="205">
                  <c:v>2.0689183995039159E-2</c:v>
                </c:pt>
                <c:pt idx="206">
                  <c:v>5.4646431639070833E-2</c:v>
                </c:pt>
                <c:pt idx="207">
                  <c:v>5.3779027962260178E-3</c:v>
                </c:pt>
                <c:pt idx="208">
                  <c:v>6.1974497184540105E-3</c:v>
                </c:pt>
                <c:pt idx="209">
                  <c:v>6.1974497184540105E-3</c:v>
                </c:pt>
                <c:pt idx="210">
                  <c:v>0.19359999999999999</c:v>
                </c:pt>
                <c:pt idx="211">
                  <c:v>0.29160000000000003</c:v>
                </c:pt>
                <c:pt idx="212">
                  <c:v>9.6100000000000005E-2</c:v>
                </c:pt>
                <c:pt idx="213">
                  <c:v>0.12959999999999999</c:v>
                </c:pt>
                <c:pt idx="214">
                  <c:v>0.12959999999999999</c:v>
                </c:pt>
                <c:pt idx="215">
                  <c:v>9.6100000000000005E-2</c:v>
                </c:pt>
                <c:pt idx="216">
                  <c:v>0.1225</c:v>
                </c:pt>
                <c:pt idx="217">
                  <c:v>0.24010000000000001</c:v>
                </c:pt>
                <c:pt idx="218">
                  <c:v>0.23039999999999999</c:v>
                </c:pt>
                <c:pt idx="219">
                  <c:v>0.169956</c:v>
                </c:pt>
              </c:numCache>
            </c:numRef>
          </c:yVal>
          <c:smooth val="0"/>
          <c:extLst xmlns:c16r2="http://schemas.microsoft.com/office/drawing/2015/06/chart">
            <c:ext xmlns:c16="http://schemas.microsoft.com/office/drawing/2014/chart" uri="{C3380CC4-5D6E-409C-BE32-E72D297353CC}">
              <c16:uniqueId val="{00000000-714A-4FD0-AE0A-8FAD76CB4E44}"/>
            </c:ext>
          </c:extLst>
        </c:ser>
        <c:ser>
          <c:idx val="1"/>
          <c:order val="1"/>
          <c:tx>
            <c:strRef>
              <c:f>'G Go Curves'!$C$2:$C$3</c:f>
              <c:strCache>
                <c:ptCount val="2"/>
                <c:pt idx="0">
                  <c:v>Sands</c:v>
                </c:pt>
                <c:pt idx="1">
                  <c:v>Upper</c:v>
                </c:pt>
              </c:strCache>
            </c:strRef>
          </c:tx>
          <c:spPr>
            <a:ln w="25400" cap="rnd">
              <a:solidFill>
                <a:schemeClr val="tx1"/>
              </a:solidFill>
              <a:round/>
            </a:ln>
            <a:effectLst/>
          </c:spPr>
          <c:marker>
            <c:symbol val="none"/>
          </c:marker>
          <c:xVal>
            <c:numRef>
              <c:f>'G Go Curves'!$A$4:$A$12</c:f>
              <c:numCache>
                <c:formatCode>General</c:formatCode>
                <c:ptCount val="9"/>
                <c:pt idx="0">
                  <c:v>1E-4</c:v>
                </c:pt>
                <c:pt idx="1">
                  <c:v>2.9999999999999997E-4</c:v>
                </c:pt>
                <c:pt idx="2">
                  <c:v>1E-3</c:v>
                </c:pt>
                <c:pt idx="3">
                  <c:v>3.0000000000000001E-3</c:v>
                </c:pt>
                <c:pt idx="4">
                  <c:v>0.01</c:v>
                </c:pt>
                <c:pt idx="5">
                  <c:v>0.03</c:v>
                </c:pt>
                <c:pt idx="6">
                  <c:v>0.1</c:v>
                </c:pt>
                <c:pt idx="7">
                  <c:v>0.3</c:v>
                </c:pt>
                <c:pt idx="8">
                  <c:v>1</c:v>
                </c:pt>
              </c:numCache>
            </c:numRef>
          </c:xVal>
          <c:yVal>
            <c:numRef>
              <c:f>'G Go Curves'!$C$4:$C$12</c:f>
              <c:numCache>
                <c:formatCode>General</c:formatCode>
                <c:ptCount val="9"/>
                <c:pt idx="0">
                  <c:v>1</c:v>
                </c:pt>
                <c:pt idx="1">
                  <c:v>0.999</c:v>
                </c:pt>
                <c:pt idx="2">
                  <c:v>0.98</c:v>
                </c:pt>
                <c:pt idx="3">
                  <c:v>0.95399999999999996</c:v>
                </c:pt>
                <c:pt idx="4">
                  <c:v>0.84</c:v>
                </c:pt>
                <c:pt idx="5">
                  <c:v>0.65900000000000003</c:v>
                </c:pt>
                <c:pt idx="6">
                  <c:v>0.36</c:v>
                </c:pt>
                <c:pt idx="7">
                  <c:v>0.19900000000000001</c:v>
                </c:pt>
                <c:pt idx="8">
                  <c:v>8.3000000000000004E-2</c:v>
                </c:pt>
              </c:numCache>
            </c:numRef>
          </c:yVal>
          <c:smooth val="0"/>
          <c:extLst xmlns:c16r2="http://schemas.microsoft.com/office/drawing/2015/06/chart">
            <c:ext xmlns:c16="http://schemas.microsoft.com/office/drawing/2014/chart" uri="{C3380CC4-5D6E-409C-BE32-E72D297353CC}">
              <c16:uniqueId val="{00000001-714A-4FD0-AE0A-8FAD76CB4E44}"/>
            </c:ext>
          </c:extLst>
        </c:ser>
        <c:ser>
          <c:idx val="2"/>
          <c:order val="2"/>
          <c:tx>
            <c:strRef>
              <c:f>'G Go Curves'!$D$2:$D$3</c:f>
              <c:strCache>
                <c:ptCount val="2"/>
                <c:pt idx="0">
                  <c:v>Sands</c:v>
                </c:pt>
                <c:pt idx="1">
                  <c:v>Lower</c:v>
                </c:pt>
              </c:strCache>
            </c:strRef>
          </c:tx>
          <c:spPr>
            <a:ln w="25400" cap="rnd">
              <a:solidFill>
                <a:schemeClr val="tx1"/>
              </a:solidFill>
              <a:round/>
            </a:ln>
            <a:effectLst/>
          </c:spPr>
          <c:marker>
            <c:symbol val="none"/>
          </c:marker>
          <c:xVal>
            <c:numRef>
              <c:f>'G Go Curves'!$A$4:$A$12</c:f>
              <c:numCache>
                <c:formatCode>General</c:formatCode>
                <c:ptCount val="9"/>
                <c:pt idx="0">
                  <c:v>1E-4</c:v>
                </c:pt>
                <c:pt idx="1">
                  <c:v>2.9999999999999997E-4</c:v>
                </c:pt>
                <c:pt idx="2">
                  <c:v>1E-3</c:v>
                </c:pt>
                <c:pt idx="3">
                  <c:v>3.0000000000000001E-3</c:v>
                </c:pt>
                <c:pt idx="4">
                  <c:v>0.01</c:v>
                </c:pt>
                <c:pt idx="5">
                  <c:v>0.03</c:v>
                </c:pt>
                <c:pt idx="6">
                  <c:v>0.1</c:v>
                </c:pt>
                <c:pt idx="7">
                  <c:v>0.3</c:v>
                </c:pt>
                <c:pt idx="8">
                  <c:v>1</c:v>
                </c:pt>
              </c:numCache>
            </c:numRef>
          </c:xVal>
          <c:yVal>
            <c:numRef>
              <c:f>'G Go Curves'!$D$4:$D$12</c:f>
              <c:numCache>
                <c:formatCode>General</c:formatCode>
                <c:ptCount val="9"/>
                <c:pt idx="0">
                  <c:v>1</c:v>
                </c:pt>
                <c:pt idx="1">
                  <c:v>0.98499999999999999</c:v>
                </c:pt>
                <c:pt idx="2">
                  <c:v>0.91700000000000004</c:v>
                </c:pt>
                <c:pt idx="3">
                  <c:v>0.83299999999999996</c:v>
                </c:pt>
                <c:pt idx="4">
                  <c:v>0.629</c:v>
                </c:pt>
                <c:pt idx="5">
                  <c:v>0.432</c:v>
                </c:pt>
                <c:pt idx="6">
                  <c:v>0.22</c:v>
                </c:pt>
                <c:pt idx="7">
                  <c:v>0.106</c:v>
                </c:pt>
                <c:pt idx="8">
                  <c:v>3.7999999999999999E-2</c:v>
                </c:pt>
              </c:numCache>
            </c:numRef>
          </c:yVal>
          <c:smooth val="0"/>
          <c:extLst xmlns:c16r2="http://schemas.microsoft.com/office/drawing/2015/06/chart">
            <c:ext xmlns:c16="http://schemas.microsoft.com/office/drawing/2014/chart" uri="{C3380CC4-5D6E-409C-BE32-E72D297353CC}">
              <c16:uniqueId val="{00000002-714A-4FD0-AE0A-8FAD76CB4E44}"/>
            </c:ext>
          </c:extLst>
        </c:ser>
        <c:dLbls>
          <c:showLegendKey val="0"/>
          <c:showVal val="0"/>
          <c:showCatName val="0"/>
          <c:showSerName val="0"/>
          <c:showPercent val="0"/>
          <c:showBubbleSize val="0"/>
        </c:dLbls>
        <c:axId val="162579584"/>
        <c:axId val="162581504"/>
      </c:scatterChart>
      <c:valAx>
        <c:axId val="162579584"/>
        <c:scaling>
          <c:logBase val="10"/>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a:solidFill>
                      <a:sysClr val="windowText" lastClr="000000"/>
                    </a:solidFill>
                  </a:rPr>
                  <a:t>Cyclic Shear Strain, </a:t>
                </a:r>
                <a:r>
                  <a:rPr lang="el-GR">
                    <a:solidFill>
                      <a:sysClr val="windowText" lastClr="000000"/>
                    </a:solidFill>
                  </a:rPr>
                  <a:t>γ</a:t>
                </a:r>
                <a:r>
                  <a:rPr lang="en-US">
                    <a:solidFill>
                      <a:sysClr val="windowText" lastClr="000000"/>
                    </a:solidFill>
                  </a:rPr>
                  <a:t> (%)</a:t>
                </a:r>
              </a:p>
            </c:rich>
          </c:tx>
          <c:layout/>
          <c:overlay val="0"/>
          <c:spPr>
            <a:noFill/>
            <a:ln>
              <a:noFill/>
            </a:ln>
            <a:effectLst/>
          </c:spPr>
        </c:title>
        <c:numFmt formatCode="General" sourceLinked="1"/>
        <c:majorTickMark val="cross"/>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62581504"/>
        <c:crosses val="autoZero"/>
        <c:crossBetween val="midCat"/>
      </c:valAx>
      <c:valAx>
        <c:axId val="162581504"/>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a:solidFill>
                      <a:sysClr val="windowText" lastClr="000000"/>
                    </a:solidFill>
                  </a:rPr>
                  <a:t>G/Go</a:t>
                </a:r>
              </a:p>
            </c:rich>
          </c:tx>
          <c:layout/>
          <c:overlay val="0"/>
          <c:spPr>
            <a:noFill/>
            <a:ln>
              <a:noFill/>
            </a:ln>
            <a:effectLst/>
          </c:spPr>
        </c:title>
        <c:numFmt formatCode="General" sourceLinked="1"/>
        <c:majorTickMark val="cross"/>
        <c:minorTickMark val="in"/>
        <c:tickLblPos val="low"/>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62579584"/>
        <c:crossesAt val="1.0000000000000003E-4"/>
        <c:crossBetween val="midCat"/>
      </c:valAx>
      <c:spPr>
        <a:noFill/>
        <a:ln w="12700">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cdr:x>
      <cdr:y>0.54506</cdr:y>
    </cdr:from>
    <cdr:to>
      <cdr:x>0.76154</cdr:x>
      <cdr:y>0.84256</cdr:y>
    </cdr:to>
    <cdr:cxnSp macro="">
      <cdr:nvCxnSpPr>
        <cdr:cNvPr id="3" name="Straight Connector 2"/>
        <cdr:cNvCxnSpPr/>
      </cdr:nvCxnSpPr>
      <cdr:spPr>
        <a:xfrm xmlns:a="http://schemas.openxmlformats.org/drawingml/2006/main">
          <a:off x="594360" y="1912620"/>
          <a:ext cx="3931920" cy="1043940"/>
        </a:xfrm>
        <a:prstGeom xmlns:a="http://schemas.openxmlformats.org/drawingml/2006/main" prst="line">
          <a:avLst/>
        </a:prstGeom>
        <a:ln xmlns:a="http://schemas.openxmlformats.org/drawingml/2006/main" w="12700">
          <a:solidFill>
            <a:schemeClr val="accent6">
              <a:lumMod val="75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0.28754</cdr:x>
      <cdr:y>0.58503</cdr:y>
    </cdr:from>
    <cdr:to>
      <cdr:x>0.46767</cdr:x>
      <cdr:y>0.66488</cdr:y>
    </cdr:to>
    <cdr:sp macro="" textlink="">
      <cdr:nvSpPr>
        <cdr:cNvPr id="4" name="TextBox 40"/>
        <cdr:cNvSpPr txBox="1"/>
      </cdr:nvSpPr>
      <cdr:spPr>
        <a:xfrm xmlns:a="http://schemas.openxmlformats.org/drawingml/2006/main" rot="894889">
          <a:off x="1709031" y="2052868"/>
          <a:ext cx="1070610" cy="280205"/>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p xmlns:a="http://schemas.openxmlformats.org/drawingml/2006/main">
          <a:pPr marL="0" marR="0">
            <a:spcBef>
              <a:spcPts val="0"/>
            </a:spcBef>
            <a:spcAft>
              <a:spcPts val="0"/>
            </a:spcAft>
          </a:pPr>
          <a:r>
            <a:rPr lang="en-US" sz="1200" kern="1200">
              <a:solidFill>
                <a:srgbClr val="000000"/>
              </a:solidFill>
              <a:effectLst/>
              <a:latin typeface="Calibri" panose="020F0502020204030204" pitchFamily="34" charset="0"/>
              <a:ea typeface="Times New Roman" panose="02020603050405020304" pitchFamily="18" charset="0"/>
              <a:cs typeface="Times New Roman" panose="02020603050405020304" pitchFamily="18" charset="0"/>
            </a:rPr>
            <a:t>R</a:t>
          </a:r>
          <a:r>
            <a:rPr lang="en-US" sz="1200" kern="1200" baseline="-25000">
              <a:solidFill>
                <a:srgbClr val="000000"/>
              </a:solidFill>
              <a:effectLst/>
              <a:latin typeface="Calibri" panose="020F0502020204030204" pitchFamily="34" charset="0"/>
              <a:ea typeface="Times New Roman" panose="02020603050405020304" pitchFamily="18" charset="0"/>
              <a:cs typeface="Times New Roman" panose="02020603050405020304" pitchFamily="18" charset="0"/>
            </a:rPr>
            <a:t>u</a:t>
          </a:r>
          <a:r>
            <a:rPr lang="en-US" sz="1200" kern="1200">
              <a:solidFill>
                <a:srgbClr val="000000"/>
              </a:solidFill>
              <a:effectLst/>
              <a:latin typeface="Calibri" panose="020F0502020204030204" pitchFamily="34" charset="0"/>
              <a:ea typeface="Times New Roman" panose="02020603050405020304" pitchFamily="18" charset="0"/>
              <a:cs typeface="Times New Roman" panose="02020603050405020304" pitchFamily="18" charset="0"/>
            </a:rPr>
            <a:t> = 60%</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C2C79-1993-4052-A672-7C39BBAC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2579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170</cp:revision>
  <cp:lastPrinted>2011-06-21T20:32:00Z</cp:lastPrinted>
  <dcterms:created xsi:type="dcterms:W3CDTF">2016-10-28T13:18:00Z</dcterms:created>
  <dcterms:modified xsi:type="dcterms:W3CDTF">2016-11-02T00:09:00Z</dcterms:modified>
</cp:coreProperties>
</file>