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672D07">
        <w:rPr>
          <w:rFonts w:ascii="Arial" w:hAnsi="Arial" w:cs="Arial"/>
          <w:sz w:val="24"/>
          <w:szCs w:val="24"/>
        </w:rPr>
        <w:t>October 31</w:t>
      </w:r>
      <w:r w:rsidR="00262CB4">
        <w:rPr>
          <w:rFonts w:ascii="Arial" w:hAnsi="Arial" w:cs="Arial"/>
          <w:sz w:val="24"/>
          <w:szCs w:val="24"/>
        </w:rPr>
        <w:t>, 2016</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C7BB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672D07"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672D07" w:rsidP="009034F9">
            <w:pPr>
              <w:rPr>
                <w:sz w:val="24"/>
                <w:szCs w:val="24"/>
              </w:rPr>
            </w:pPr>
            <w:r>
              <w:rPr>
                <w:sz w:val="24"/>
                <w:szCs w:val="24"/>
              </w:rPr>
              <w:t>Continued and issued notice to proceed for second portion of the captioned study below</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lastRenderedPageBreak/>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72D07" w:rsidP="00743AF9">
            <w:pPr>
              <w:numPr>
                <w:ilvl w:val="0"/>
                <w:numId w:val="2"/>
              </w:numPr>
              <w:rPr>
                <w:sz w:val="24"/>
                <w:szCs w:val="24"/>
              </w:rPr>
            </w:pPr>
            <w:r>
              <w:rPr>
                <w:sz w:val="24"/>
                <w:szCs w:val="24"/>
              </w:rPr>
              <w:t>Start selection process for next round of synthesis or research studies</w:t>
            </w:r>
          </w:p>
          <w:p w:rsidR="00672D07" w:rsidRDefault="00672D07" w:rsidP="00743AF9">
            <w:pPr>
              <w:numPr>
                <w:ilvl w:val="0"/>
                <w:numId w:val="2"/>
              </w:numPr>
              <w:rPr>
                <w:sz w:val="24"/>
                <w:szCs w:val="24"/>
              </w:rPr>
            </w:pPr>
            <w:r>
              <w:rPr>
                <w:sz w:val="24"/>
                <w:szCs w:val="24"/>
              </w:rPr>
              <w:t>Continued work on the captioned study</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w:t>
            </w:r>
            <w:bookmarkStart w:id="0" w:name="_GoBack"/>
            <w:bookmarkEnd w:id="0"/>
            <w:r w:rsidRPr="009469F7">
              <w:rPr>
                <w:rFonts w:cs="Times New Roman"/>
                <w:sz w:val="24"/>
                <w:szCs w:val="24"/>
              </w:rPr>
              <w:t>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individuals or firms. These reports will be oriented toward practical solutions of specific transportation </w:t>
            </w:r>
            <w:r w:rsidRPr="009469F7">
              <w:rPr>
                <w:rFonts w:eastAsiaTheme="minorHAnsi" w:cs="Arial"/>
                <w:sz w:val="24"/>
                <w:szCs w:val="24"/>
              </w:rPr>
              <w:lastRenderedPageBreak/>
              <w:t>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5C9B-5715-48B1-8570-C5CFB7B2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2011-10-19T13:14:00Z</cp:lastPrinted>
  <dcterms:created xsi:type="dcterms:W3CDTF">2016-10-31T12:03:00Z</dcterms:created>
  <dcterms:modified xsi:type="dcterms:W3CDTF">2016-10-31T12:03:00Z</dcterms:modified>
</cp:coreProperties>
</file>