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0C6729" w:rsidRDefault="000C209F" w:rsidP="00360664">
            <w:pPr>
              <w:spacing w:after="0" w:line="240" w:lineRule="auto"/>
              <w:ind w:left="-108" w:right="-720"/>
              <w:rPr>
                <w:rFonts w:ascii="Arial" w:hAnsi="Arial" w:cs="Arial"/>
                <w:sz w:val="20"/>
                <w:szCs w:val="20"/>
              </w:rPr>
            </w:pPr>
            <w:r w:rsidRPr="0007647F">
              <w:rPr>
                <w:rFonts w:ascii="Arial" w:hAnsi="Arial" w:cs="Arial"/>
                <w:b/>
                <w:sz w:val="36"/>
                <w:szCs w:val="36"/>
              </w:rPr>
              <w:t xml:space="preserve"> </w:t>
            </w:r>
            <w:r w:rsidR="000C6729" w:rsidRPr="009F132F">
              <w:rPr>
                <w:rFonts w:ascii="Arial" w:hAnsi="Arial" w:cs="Arial"/>
                <w:sz w:val="36"/>
                <w:szCs w:val="36"/>
              </w:rPr>
              <w:t>_</w:t>
            </w:r>
            <w:r w:rsidR="000C6729">
              <w:rPr>
                <w:rFonts w:ascii="Arial" w:hAnsi="Arial" w:cs="Arial"/>
                <w:sz w:val="36"/>
                <w:szCs w:val="36"/>
              </w:rPr>
              <w:t xml:space="preserve"> </w:t>
            </w:r>
            <w:r w:rsidRPr="000C6729">
              <w:rPr>
                <w:rFonts w:ascii="Arial" w:hAnsi="Arial" w:cs="Arial"/>
                <w:sz w:val="20"/>
                <w:szCs w:val="20"/>
              </w:rPr>
              <w:t>Quarter 1 (January 1 – March 31</w:t>
            </w:r>
            <w:r w:rsidR="005C75FE" w:rsidRPr="000C6729">
              <w:rPr>
                <w:rFonts w:ascii="Arial" w:hAnsi="Arial" w:cs="Arial"/>
                <w:sz w:val="20"/>
                <w:szCs w:val="20"/>
              </w:rPr>
              <w:t>, 201</w:t>
            </w:r>
            <w:r w:rsidR="0007647F" w:rsidRPr="000C6729">
              <w:rPr>
                <w:rFonts w:ascii="Arial" w:hAnsi="Arial" w:cs="Arial"/>
                <w:sz w:val="20"/>
                <w:szCs w:val="20"/>
              </w:rPr>
              <w:t>6</w:t>
            </w:r>
            <w:r w:rsidRPr="000C6729">
              <w:rPr>
                <w:rFonts w:ascii="Arial" w:hAnsi="Arial" w:cs="Arial"/>
                <w:sz w:val="20"/>
                <w:szCs w:val="20"/>
              </w:rPr>
              <w:t>)</w:t>
            </w:r>
          </w:p>
          <w:p w:rsidR="000C209F" w:rsidRPr="009F132F"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0C6729" w:rsidRPr="0007647F">
              <w:rPr>
                <w:rFonts w:ascii="Arial" w:hAnsi="Arial" w:cs="Arial"/>
                <w:sz w:val="36"/>
                <w:szCs w:val="36"/>
                <w:u w:val="single"/>
              </w:rPr>
              <w:t>X</w:t>
            </w:r>
            <w:r w:rsidR="00C47C4A" w:rsidRPr="009F132F">
              <w:rPr>
                <w:rFonts w:ascii="Arial" w:hAnsi="Arial" w:cs="Arial"/>
                <w:sz w:val="36"/>
                <w:szCs w:val="36"/>
              </w:rPr>
              <w:t xml:space="preserve"> </w:t>
            </w:r>
            <w:r w:rsidRPr="000C6729">
              <w:rPr>
                <w:rFonts w:ascii="Arial" w:hAnsi="Arial" w:cs="Arial"/>
                <w:b/>
                <w:sz w:val="20"/>
                <w:szCs w:val="20"/>
              </w:rPr>
              <w:t>Quarter 2 (April 1 – June 30</w:t>
            </w:r>
            <w:r w:rsidR="002C4321" w:rsidRPr="000C6729">
              <w:rPr>
                <w:rFonts w:ascii="Arial" w:hAnsi="Arial" w:cs="Arial"/>
                <w:b/>
                <w:sz w:val="20"/>
                <w:szCs w:val="20"/>
              </w:rPr>
              <w:t>, 201</w:t>
            </w:r>
            <w:r w:rsidR="0007647F" w:rsidRPr="000C6729">
              <w:rPr>
                <w:rFonts w:ascii="Arial" w:hAnsi="Arial" w:cs="Arial"/>
                <w:b/>
                <w:sz w:val="20"/>
                <w:szCs w:val="20"/>
              </w:rPr>
              <w:t>6</w:t>
            </w:r>
            <w:r w:rsidRPr="000C6729">
              <w:rPr>
                <w:rFonts w:ascii="Arial" w:hAnsi="Arial" w:cs="Arial"/>
                <w:b/>
                <w:sz w:val="20"/>
                <w:szCs w:val="20"/>
              </w:rPr>
              <w:t>)</w:t>
            </w:r>
          </w:p>
          <w:p w:rsidR="000C209F" w:rsidRPr="009F132F" w:rsidRDefault="00582541" w:rsidP="00360664">
            <w:pPr>
              <w:spacing w:after="0" w:line="240" w:lineRule="auto"/>
              <w:ind w:right="-720"/>
              <w:rPr>
                <w:rFonts w:ascii="Arial" w:hAnsi="Arial" w:cs="Arial"/>
                <w:b/>
                <w:sz w:val="20"/>
                <w:szCs w:val="20"/>
              </w:rPr>
            </w:pPr>
            <w:r w:rsidRPr="009F132F">
              <w:rPr>
                <w:rFonts w:ascii="Arial" w:hAnsi="Arial" w:cs="Arial"/>
                <w:sz w:val="36"/>
                <w:szCs w:val="36"/>
              </w:rPr>
              <w:t>_</w:t>
            </w:r>
            <w:r>
              <w:rPr>
                <w:rFonts w:ascii="Arial" w:hAnsi="Arial" w:cs="Arial"/>
                <w:sz w:val="36"/>
                <w:szCs w:val="36"/>
              </w:rPr>
              <w:t xml:space="preserve"> </w:t>
            </w:r>
            <w:r w:rsidR="000C209F" w:rsidRPr="00582541">
              <w:rPr>
                <w:rFonts w:ascii="Arial" w:hAnsi="Arial" w:cs="Arial"/>
                <w:sz w:val="20"/>
                <w:szCs w:val="20"/>
              </w:rPr>
              <w:t>Quarter 3 (July 1 – September 30</w:t>
            </w:r>
            <w:r w:rsidR="002C4321" w:rsidRPr="00582541">
              <w:rPr>
                <w:rFonts w:ascii="Arial" w:hAnsi="Arial" w:cs="Arial"/>
                <w:sz w:val="20"/>
                <w:szCs w:val="20"/>
              </w:rPr>
              <w:t>, 201</w:t>
            </w:r>
            <w:r w:rsidR="0007647F">
              <w:rPr>
                <w:rFonts w:ascii="Arial" w:hAnsi="Arial" w:cs="Arial"/>
                <w:sz w:val="20"/>
                <w:szCs w:val="20"/>
              </w:rPr>
              <w:t>6</w:t>
            </w:r>
            <w:r w:rsidR="000C209F" w:rsidRPr="00582541">
              <w:rPr>
                <w:rFonts w:ascii="Arial" w:hAnsi="Arial" w:cs="Arial"/>
                <w:sz w:val="20"/>
                <w:szCs w:val="20"/>
              </w:rPr>
              <w:t>)</w:t>
            </w:r>
          </w:p>
          <w:p w:rsidR="000C209F" w:rsidRPr="0007647F" w:rsidRDefault="0007647F" w:rsidP="00F32C7B">
            <w:pPr>
              <w:spacing w:after="0" w:line="240" w:lineRule="auto"/>
              <w:ind w:right="-720"/>
              <w:rPr>
                <w:rFonts w:ascii="Arial" w:hAnsi="Arial" w:cs="Arial"/>
                <w:sz w:val="20"/>
                <w:szCs w:val="20"/>
              </w:rPr>
            </w:pPr>
            <w:r w:rsidRPr="009F132F">
              <w:rPr>
                <w:rFonts w:ascii="Arial" w:hAnsi="Arial" w:cs="Arial"/>
                <w:sz w:val="36"/>
                <w:szCs w:val="36"/>
              </w:rPr>
              <w:t>_</w:t>
            </w:r>
            <w:r>
              <w:rPr>
                <w:rFonts w:ascii="Arial" w:hAnsi="Arial" w:cs="Arial"/>
                <w:sz w:val="36"/>
                <w:szCs w:val="36"/>
              </w:rPr>
              <w:t xml:space="preserve"> </w:t>
            </w:r>
            <w:r w:rsidR="000C209F" w:rsidRPr="0007647F">
              <w:rPr>
                <w:rFonts w:ascii="Arial" w:hAnsi="Arial" w:cs="Arial"/>
                <w:sz w:val="20"/>
                <w:szCs w:val="20"/>
              </w:rPr>
              <w:t xml:space="preserve">Quarter </w:t>
            </w:r>
            <w:r w:rsidR="005C75FE" w:rsidRPr="0007647F">
              <w:rPr>
                <w:rFonts w:ascii="Arial" w:hAnsi="Arial" w:cs="Arial"/>
                <w:sz w:val="20"/>
                <w:szCs w:val="20"/>
              </w:rPr>
              <w:t>4 (October 1 – December 31</w:t>
            </w:r>
            <w:r w:rsidR="002C4321" w:rsidRPr="0007647F">
              <w:rPr>
                <w:rFonts w:ascii="Arial" w:hAnsi="Arial" w:cs="Arial"/>
                <w:sz w:val="20"/>
                <w:szCs w:val="20"/>
              </w:rPr>
              <w:t>, 201</w:t>
            </w:r>
            <w:r>
              <w:rPr>
                <w:rFonts w:ascii="Arial" w:hAnsi="Arial" w:cs="Arial"/>
                <w:sz w:val="20"/>
                <w:szCs w:val="20"/>
              </w:rPr>
              <w:t>6</w:t>
            </w:r>
            <w:r w:rsidR="000C209F" w:rsidRPr="0007647F">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F9780D" w:rsidRPr="00360664" w:rsidRDefault="00F9780D" w:rsidP="00F9780D">
            <w:pPr>
              <w:spacing w:after="0" w:line="240" w:lineRule="auto"/>
              <w:ind w:right="-108"/>
              <w:jc w:val="center"/>
              <w:rPr>
                <w:rFonts w:ascii="Arial" w:hAnsi="Arial" w:cs="Arial"/>
                <w:sz w:val="20"/>
                <w:szCs w:val="20"/>
              </w:rPr>
            </w:pPr>
            <w:r>
              <w:rPr>
                <w:rFonts w:ascii="Arial" w:hAnsi="Arial" w:cs="Arial"/>
                <w:sz w:val="20"/>
                <w:szCs w:val="20"/>
              </w:rPr>
              <w:t>$3</w:t>
            </w:r>
            <w:r>
              <w:rPr>
                <w:rFonts w:ascii="Arial" w:hAnsi="Arial" w:cs="Arial"/>
                <w:sz w:val="20"/>
                <w:szCs w:val="20"/>
              </w:rPr>
              <w:t>5</w:t>
            </w:r>
            <w:r>
              <w:rPr>
                <w:rFonts w:ascii="Arial" w:hAnsi="Arial" w:cs="Arial"/>
                <w:sz w:val="20"/>
                <w:szCs w:val="20"/>
              </w:rPr>
              <w:t xml:space="preserve">2,000.00 (total </w:t>
            </w:r>
            <w:r>
              <w:rPr>
                <w:rFonts w:ascii="Arial" w:hAnsi="Arial" w:cs="Arial"/>
                <w:sz w:val="20"/>
                <w:szCs w:val="20"/>
              </w:rPr>
              <w:t xml:space="preserve">actual </w:t>
            </w:r>
            <w:r>
              <w:rPr>
                <w:rFonts w:ascii="Arial" w:hAnsi="Arial" w:cs="Arial"/>
                <w:sz w:val="20"/>
                <w:szCs w:val="20"/>
              </w:rPr>
              <w:t>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229,500</w:t>
            </w:r>
            <w:r w:rsidR="00657540">
              <w:rPr>
                <w:rFonts w:ascii="Arial" w:hAnsi="Arial" w:cs="Arial"/>
                <w:sz w:val="20"/>
                <w:szCs w:val="20"/>
              </w:rPr>
              <w:t>.00</w:t>
            </w:r>
          </w:p>
        </w:tc>
        <w:tc>
          <w:tcPr>
            <w:tcW w:w="3420" w:type="dxa"/>
            <w:vAlign w:val="center"/>
          </w:tcPr>
          <w:p w:rsidR="000C209F" w:rsidRPr="00360664" w:rsidRDefault="009D59BC" w:rsidP="00360664">
            <w:pPr>
              <w:spacing w:after="0" w:line="240" w:lineRule="auto"/>
              <w:ind w:left="-108" w:right="-108"/>
              <w:jc w:val="center"/>
              <w:rPr>
                <w:rFonts w:ascii="Arial" w:hAnsi="Arial" w:cs="Arial"/>
                <w:sz w:val="20"/>
                <w:szCs w:val="20"/>
              </w:rPr>
            </w:pPr>
            <w:r>
              <w:rPr>
                <w:rFonts w:ascii="Arial" w:hAnsi="Arial" w:cs="Arial"/>
                <w:sz w:val="20"/>
                <w:szCs w:val="20"/>
              </w:rPr>
              <w:t>71</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9D59BC">
            <w:pPr>
              <w:spacing w:after="0" w:line="240" w:lineRule="auto"/>
              <w:ind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0</w:t>
            </w:r>
            <w:r>
              <w:rPr>
                <w:rFonts w:ascii="Arial" w:hAnsi="Arial" w:cs="Arial"/>
                <w:sz w:val="20"/>
                <w:szCs w:val="20"/>
              </w:rPr>
              <w:t xml:space="preserve">, </w:t>
            </w:r>
            <w:r w:rsidR="00883F07">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0</w:t>
            </w:r>
          </w:p>
        </w:tc>
        <w:tc>
          <w:tcPr>
            <w:tcW w:w="3420" w:type="dxa"/>
          </w:tcPr>
          <w:p w:rsidR="000C209F" w:rsidRPr="00360664" w:rsidRDefault="00883F07" w:rsidP="00914BE8">
            <w:pPr>
              <w:spacing w:after="0" w:line="240" w:lineRule="auto"/>
              <w:ind w:left="-108" w:right="-108"/>
              <w:jc w:val="center"/>
              <w:rPr>
                <w:rFonts w:ascii="Arial" w:hAnsi="Arial" w:cs="Arial"/>
                <w:sz w:val="20"/>
                <w:szCs w:val="20"/>
              </w:rPr>
            </w:pPr>
            <w:r>
              <w:rPr>
                <w:rFonts w:ascii="Arial" w:hAnsi="Arial" w:cs="Arial"/>
                <w:sz w:val="20"/>
                <w:szCs w:val="20"/>
              </w:rPr>
              <w:t>93</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225C66">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225C66">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225C66">
              <w:rPr>
                <w:rFonts w:ascii="Arial" w:hAnsi="Arial" w:cs="Arial"/>
                <w:sz w:val="20"/>
                <w:szCs w:val="20"/>
              </w:rPr>
              <w:t>80%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C66">
              <w:rPr>
                <w:rFonts w:ascii="Arial" w:hAnsi="Arial" w:cs="Arial"/>
                <w:sz w:val="20"/>
                <w:szCs w:val="20"/>
              </w:rPr>
              <w:t>Presentation at AASHTO meeting 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Pr>
                <w:rFonts w:ascii="Arial" w:hAnsi="Arial" w:cs="Arial"/>
                <w:sz w:val="20"/>
                <w:szCs w:val="20"/>
              </w:rPr>
              <w:t xml:space="preserve">A contract modification </w:t>
            </w:r>
            <w:r>
              <w:rPr>
                <w:rFonts w:ascii="Arial" w:hAnsi="Arial" w:cs="Arial"/>
                <w:sz w:val="20"/>
                <w:szCs w:val="20"/>
              </w:rPr>
              <w:t>may be prepared for additional work tasks based on available funding.</w:t>
            </w:r>
            <w:bookmarkStart w:id="0" w:name="_GoBack"/>
            <w:bookmarkEnd w:id="0"/>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B804BF" w:rsidRDefault="00B804BF" w:rsidP="00360664">
            <w:pPr>
              <w:spacing w:after="0" w:line="240" w:lineRule="auto"/>
              <w:rPr>
                <w:rFonts w:ascii="Arial" w:hAnsi="Arial" w:cs="Arial"/>
                <w:b/>
                <w:sz w:val="20"/>
                <w:szCs w:val="20"/>
              </w:rPr>
            </w:pPr>
          </w:p>
          <w:p w:rsidR="00225C66" w:rsidRDefault="00225C66" w:rsidP="00225C66">
            <w:pPr>
              <w:spacing w:after="0" w:line="240" w:lineRule="auto"/>
              <w:rPr>
                <w:rFonts w:ascii="Arial" w:hAnsi="Arial" w:cs="Arial"/>
                <w:sz w:val="20"/>
                <w:szCs w:val="20"/>
              </w:rPr>
            </w:pPr>
            <w:r>
              <w:rPr>
                <w:rFonts w:ascii="Arial" w:hAnsi="Arial" w:cs="Arial"/>
                <w:sz w:val="20"/>
                <w:szCs w:val="20"/>
              </w:rPr>
              <w:t>During the past quarter, we have been working to compile an abbreviated document which provides basic information regarding the testing program, the reduction in lateral pile resistance near the wall, and the induced force on the reinforcements owing to lateral load.  The report will also indicate the maximum deflections on the wall panel for deflection levels of 1.0 and 3.0 inch. The report is about 80% complete at the present time.</w:t>
            </w:r>
          </w:p>
          <w:p w:rsidR="00225C66" w:rsidRDefault="00225C66" w:rsidP="00225C66">
            <w:pPr>
              <w:spacing w:after="0" w:line="240" w:lineRule="auto"/>
              <w:rPr>
                <w:rFonts w:ascii="Arial" w:hAnsi="Arial" w:cs="Arial"/>
                <w:sz w:val="20"/>
                <w:szCs w:val="20"/>
              </w:rPr>
            </w:pPr>
          </w:p>
          <w:p w:rsidR="005A3A3E" w:rsidRDefault="00225C66" w:rsidP="00225C66">
            <w:pPr>
              <w:spacing w:after="0" w:line="240" w:lineRule="auto"/>
              <w:rPr>
                <w:rFonts w:ascii="Arial" w:hAnsi="Arial" w:cs="Arial"/>
                <w:sz w:val="20"/>
                <w:szCs w:val="20"/>
              </w:rPr>
            </w:pPr>
            <w:r>
              <w:rPr>
                <w:rFonts w:ascii="Arial" w:hAnsi="Arial" w:cs="Arial"/>
                <w:sz w:val="20"/>
                <w:szCs w:val="20"/>
              </w:rPr>
              <w:t>Based on response from the TAC members, we have worked to develop somewhat simpler equations for predicting the induced force on the reinforcing elements during pile loading</w:t>
            </w:r>
            <w:r w:rsidR="005A3A3E">
              <w:rPr>
                <w:rFonts w:ascii="Arial" w:hAnsi="Arial" w:cs="Arial"/>
                <w:sz w:val="20"/>
                <w:szCs w:val="20"/>
              </w:rPr>
              <w:t>.</w:t>
            </w:r>
            <w:r w:rsidR="00C27E7C">
              <w:rPr>
                <w:rFonts w:ascii="Arial" w:hAnsi="Arial" w:cs="Arial"/>
                <w:sz w:val="20"/>
                <w:szCs w:val="20"/>
              </w:rPr>
              <w:t xml:space="preserve"> The reinforcement length to height (L/H) ratio has been eliminated along with cross terms.</w:t>
            </w:r>
            <w:r w:rsidR="005A3A3E">
              <w:rPr>
                <w:rFonts w:ascii="Arial" w:hAnsi="Arial" w:cs="Arial"/>
                <w:sz w:val="20"/>
                <w:szCs w:val="20"/>
              </w:rPr>
              <w:t xml:space="preserve">  These </w:t>
            </w:r>
            <w:r w:rsidR="00C27E7C">
              <w:rPr>
                <w:rFonts w:ascii="Arial" w:hAnsi="Arial" w:cs="Arial"/>
                <w:sz w:val="20"/>
                <w:szCs w:val="20"/>
              </w:rPr>
              <w:t>changes</w:t>
            </w:r>
            <w:r w:rsidR="005A3A3E">
              <w:rPr>
                <w:rFonts w:ascii="Arial" w:hAnsi="Arial" w:cs="Arial"/>
                <w:sz w:val="20"/>
                <w:szCs w:val="20"/>
              </w:rPr>
              <w:t xml:space="preserve"> reduce the R</w:t>
            </w:r>
            <w:r w:rsidR="005A3A3E" w:rsidRPr="005A3A3E">
              <w:rPr>
                <w:rFonts w:ascii="Arial" w:hAnsi="Arial" w:cs="Arial"/>
                <w:sz w:val="20"/>
                <w:szCs w:val="20"/>
                <w:vertAlign w:val="superscript"/>
              </w:rPr>
              <w:t>2</w:t>
            </w:r>
            <w:r w:rsidR="005A3A3E">
              <w:rPr>
                <w:rFonts w:ascii="Arial" w:hAnsi="Arial" w:cs="Arial"/>
                <w:sz w:val="20"/>
                <w:szCs w:val="20"/>
              </w:rPr>
              <w:t xml:space="preserve"> value from about 0.77 to about 0.72 but eliminate several terms.  For the welded wire reinforcement, the maximum induced force, ΔF, in a reinforcement is given by the equation</w:t>
            </w:r>
          </w:p>
          <w:p w:rsidR="005A3A3E" w:rsidRDefault="005A3A3E" w:rsidP="00225C66">
            <w:pPr>
              <w:spacing w:after="0" w:line="240" w:lineRule="auto"/>
              <w:rPr>
                <w:rFonts w:ascii="Arial" w:hAnsi="Arial" w:cs="Arial"/>
                <w:sz w:val="20"/>
                <w:szCs w:val="20"/>
              </w:rPr>
            </w:pPr>
          </w:p>
          <w:p w:rsidR="005A3A3E" w:rsidRDefault="005A3A3E" w:rsidP="005A3A3E">
            <w:pPr>
              <w:spacing w:after="0" w:line="240" w:lineRule="auto"/>
              <w:ind w:firstLine="720"/>
              <w:rPr>
                <w:rFonts w:ascii="Arial" w:hAnsi="Arial" w:cs="Arial"/>
                <w:sz w:val="20"/>
                <w:szCs w:val="20"/>
              </w:rPr>
            </w:pPr>
            <w:r w:rsidRPr="005A3A3E">
              <w:rPr>
                <w:rFonts w:ascii="Arial" w:hAnsi="Arial" w:cs="Arial"/>
                <w:sz w:val="20"/>
                <w:szCs w:val="20"/>
              </w:rPr>
              <w:object w:dxaOrig="7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33.75pt" o:ole="">
                  <v:imagedata r:id="rId8" o:title=""/>
                </v:shape>
                <o:OLEObject Type="Embed" ProgID="Equation.3" ShapeID="_x0000_i1025" DrawAspect="Content" ObjectID="_1531553745" r:id="rId9"/>
              </w:object>
            </w:r>
          </w:p>
          <w:p w:rsidR="005A3A3E" w:rsidRDefault="005A3A3E" w:rsidP="005A3A3E">
            <w:pPr>
              <w:spacing w:after="0" w:line="240" w:lineRule="auto"/>
              <w:ind w:firstLine="720"/>
              <w:rPr>
                <w:rFonts w:ascii="Arial" w:hAnsi="Arial" w:cs="Arial"/>
                <w:sz w:val="20"/>
                <w:szCs w:val="20"/>
              </w:rPr>
            </w:pPr>
          </w:p>
          <w:p w:rsidR="005A3A3E" w:rsidRDefault="005A3A3E" w:rsidP="005A3A3E">
            <w:pPr>
              <w:spacing w:after="0" w:line="240" w:lineRule="auto"/>
              <w:rPr>
                <w:rFonts w:ascii="Arial" w:hAnsi="Arial" w:cs="Arial"/>
                <w:sz w:val="20"/>
                <w:szCs w:val="20"/>
              </w:rPr>
            </w:pPr>
            <w:r>
              <w:rPr>
                <w:rFonts w:ascii="Arial" w:hAnsi="Arial" w:cs="Arial"/>
                <w:sz w:val="20"/>
                <w:szCs w:val="20"/>
              </w:rPr>
              <w:t>Where P= applied lateral force on the pile in kips</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σ = vertical effective stress in </w:t>
            </w:r>
            <w:proofErr w:type="spellStart"/>
            <w:r>
              <w:rPr>
                <w:rFonts w:ascii="Arial" w:hAnsi="Arial" w:cs="Arial"/>
                <w:sz w:val="20"/>
                <w:szCs w:val="20"/>
              </w:rPr>
              <w:t>lbs</w:t>
            </w:r>
            <w:proofErr w:type="spellEnd"/>
            <w:r>
              <w:rPr>
                <w:rFonts w:ascii="Arial" w:hAnsi="Arial" w:cs="Arial"/>
                <w:sz w:val="20"/>
                <w:szCs w:val="20"/>
              </w:rPr>
              <w:t>/ft</w:t>
            </w:r>
            <w:r w:rsidRPr="005A3A3E">
              <w:rPr>
                <w:rFonts w:ascii="Arial" w:hAnsi="Arial" w:cs="Arial"/>
                <w:sz w:val="20"/>
                <w:szCs w:val="20"/>
                <w:vertAlign w:val="superscript"/>
              </w:rPr>
              <w:t>2</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T = transverse distance from the center of the pile in inches, and</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D = pile diameter in inches</w:t>
            </w:r>
          </w:p>
          <w:p w:rsidR="005A3A3E" w:rsidRDefault="005A3A3E" w:rsidP="005A3A3E">
            <w:pPr>
              <w:spacing w:after="0" w:line="240" w:lineRule="auto"/>
              <w:ind w:firstLine="720"/>
              <w:rPr>
                <w:rFonts w:ascii="Arial" w:hAnsi="Arial" w:cs="Arial"/>
                <w:sz w:val="20"/>
                <w:szCs w:val="20"/>
              </w:rPr>
            </w:pPr>
          </w:p>
          <w:p w:rsidR="005A3A3E" w:rsidRDefault="005A3A3E" w:rsidP="00225C66">
            <w:pPr>
              <w:spacing w:after="0" w:line="240" w:lineRule="auto"/>
              <w:rPr>
                <w:rFonts w:ascii="Arial" w:hAnsi="Arial" w:cs="Arial"/>
                <w:sz w:val="20"/>
                <w:szCs w:val="20"/>
              </w:rPr>
            </w:pPr>
            <w:r>
              <w:rPr>
                <w:rFonts w:ascii="Arial" w:hAnsi="Arial" w:cs="Arial"/>
                <w:sz w:val="20"/>
                <w:szCs w:val="20"/>
              </w:rPr>
              <w:t>This equation is based on a regression analysis with 1058 data points from the tests performed during the study and the R</w:t>
            </w:r>
            <w:r w:rsidRPr="005A3A3E">
              <w:rPr>
                <w:rFonts w:ascii="Arial" w:hAnsi="Arial" w:cs="Arial"/>
                <w:sz w:val="20"/>
                <w:szCs w:val="20"/>
                <w:vertAlign w:val="superscript"/>
              </w:rPr>
              <w:t>2</w:t>
            </w:r>
            <w:r>
              <w:rPr>
                <w:rFonts w:ascii="Arial" w:hAnsi="Arial" w:cs="Arial"/>
                <w:sz w:val="20"/>
                <w:szCs w:val="20"/>
              </w:rPr>
              <w:t xml:space="preserve"> is 0.72.  A plot of measured maximum force versus computed maximum force for the entire data set is provided in </w:t>
            </w:r>
            <w:r>
              <w:rPr>
                <w:rFonts w:ascii="Arial" w:hAnsi="Arial" w:cs="Arial"/>
                <w:sz w:val="20"/>
                <w:szCs w:val="20"/>
              </w:rPr>
              <w:lastRenderedPageBreak/>
              <w:t xml:space="preserve">Figure 1.  The scatter generally appears to be quite uniform and residual analysis of the variables does not indicate any consistent trends which would need to be corrected.  </w:t>
            </w:r>
          </w:p>
          <w:p w:rsidR="00C27E7C" w:rsidRDefault="00C27E7C" w:rsidP="005A3A3E">
            <w:pPr>
              <w:spacing w:after="0" w:line="240" w:lineRule="auto"/>
              <w:ind w:firstLine="810"/>
              <w:rPr>
                <w:rFonts w:ascii="Arial" w:hAnsi="Arial" w:cs="Arial"/>
                <w:sz w:val="20"/>
                <w:szCs w:val="20"/>
              </w:rPr>
            </w:pPr>
          </w:p>
          <w:p w:rsidR="005A3A3E" w:rsidRDefault="005A3A3E" w:rsidP="005A3A3E">
            <w:pPr>
              <w:spacing w:after="0" w:line="240" w:lineRule="auto"/>
              <w:ind w:firstLine="810"/>
              <w:rPr>
                <w:rFonts w:ascii="Arial" w:hAnsi="Arial" w:cs="Arial"/>
                <w:sz w:val="20"/>
                <w:szCs w:val="20"/>
              </w:rPr>
            </w:pPr>
            <w:r w:rsidRPr="005A3A3E">
              <w:rPr>
                <w:rFonts w:ascii="Arial" w:hAnsi="Arial" w:cs="Arial"/>
                <w:noProof/>
                <w:sz w:val="20"/>
                <w:szCs w:val="20"/>
              </w:rPr>
              <w:drawing>
                <wp:inline distT="0" distB="0" distL="0" distR="0">
                  <wp:extent cx="5762625" cy="45251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622" cy="4526707"/>
                          </a:xfrm>
                          <a:prstGeom prst="rect">
                            <a:avLst/>
                          </a:prstGeom>
                          <a:noFill/>
                          <a:ln>
                            <a:noFill/>
                          </a:ln>
                        </pic:spPr>
                      </pic:pic>
                    </a:graphicData>
                  </a:graphic>
                </wp:inline>
              </w:drawing>
            </w:r>
          </w:p>
          <w:p w:rsidR="005A3A3E" w:rsidRPr="005A3A3E" w:rsidRDefault="005A3A3E" w:rsidP="00225C66">
            <w:pPr>
              <w:spacing w:after="0" w:line="240" w:lineRule="auto"/>
              <w:rPr>
                <w:rFonts w:ascii="Arial" w:hAnsi="Arial" w:cs="Arial"/>
                <w:b/>
                <w:sz w:val="20"/>
                <w:szCs w:val="20"/>
              </w:rPr>
            </w:pPr>
            <w:r w:rsidRPr="005A3A3E">
              <w:rPr>
                <w:rFonts w:ascii="Arial" w:hAnsi="Arial" w:cs="Arial"/>
                <w:b/>
                <w:sz w:val="20"/>
                <w:szCs w:val="20"/>
              </w:rPr>
              <w:t>Figure 1. A plot of measured maximum tensile force versus computed maximum tensile force for welded wire reinforcement</w:t>
            </w:r>
          </w:p>
          <w:p w:rsidR="005A3A3E" w:rsidRDefault="005A3A3E" w:rsidP="00225C66">
            <w:pPr>
              <w:spacing w:after="0" w:line="240" w:lineRule="auto"/>
              <w:rPr>
                <w:rFonts w:ascii="Arial" w:hAnsi="Arial" w:cs="Arial"/>
                <w:sz w:val="20"/>
                <w:szCs w:val="20"/>
              </w:rPr>
            </w:pPr>
          </w:p>
          <w:p w:rsidR="005A3A3E" w:rsidRDefault="005A3A3E" w:rsidP="005A3A3E">
            <w:pPr>
              <w:spacing w:after="0" w:line="240" w:lineRule="auto"/>
              <w:rPr>
                <w:rFonts w:ascii="Arial" w:hAnsi="Arial" w:cs="Arial"/>
                <w:sz w:val="20"/>
                <w:szCs w:val="20"/>
              </w:rPr>
            </w:pPr>
            <w:r>
              <w:rPr>
                <w:rFonts w:ascii="Arial" w:hAnsi="Arial" w:cs="Arial"/>
                <w:sz w:val="20"/>
                <w:szCs w:val="20"/>
              </w:rPr>
              <w:t>For the ribbed-strip reinforcement, the maximum induced force, ΔF, in a reinforcement is given by the equation</w:t>
            </w:r>
          </w:p>
          <w:p w:rsidR="005A3A3E" w:rsidRDefault="005A3A3E" w:rsidP="005A3A3E">
            <w:pPr>
              <w:spacing w:after="0" w:line="240" w:lineRule="auto"/>
              <w:rPr>
                <w:rFonts w:ascii="Arial" w:hAnsi="Arial" w:cs="Arial"/>
                <w:sz w:val="20"/>
                <w:szCs w:val="20"/>
              </w:rPr>
            </w:pPr>
          </w:p>
          <w:p w:rsidR="005A3A3E" w:rsidRDefault="005A3A3E" w:rsidP="005A3A3E">
            <w:pPr>
              <w:spacing w:after="0" w:line="240" w:lineRule="auto"/>
              <w:ind w:firstLine="1170"/>
              <w:rPr>
                <w:rFonts w:ascii="Arial" w:hAnsi="Arial" w:cs="Arial"/>
                <w:sz w:val="20"/>
                <w:szCs w:val="20"/>
              </w:rPr>
            </w:pPr>
            <w:r w:rsidRPr="005A3A3E">
              <w:rPr>
                <w:rFonts w:ascii="Arial" w:hAnsi="Arial" w:cs="Arial"/>
                <w:sz w:val="20"/>
                <w:szCs w:val="20"/>
              </w:rPr>
              <w:object w:dxaOrig="7260" w:dyaOrig="680">
                <v:shape id="_x0000_i1026" type="#_x0000_t75" style="width:363pt;height:33.75pt" o:ole="">
                  <v:imagedata r:id="rId11" o:title=""/>
                </v:shape>
                <o:OLEObject Type="Embed" ProgID="Equation.3" ShapeID="_x0000_i1026" DrawAspect="Content" ObjectID="_1531553746" r:id="rId12"/>
              </w:object>
            </w:r>
          </w:p>
          <w:p w:rsidR="005A3A3E" w:rsidRDefault="005A3A3E" w:rsidP="005A3A3E">
            <w:pPr>
              <w:spacing w:after="0" w:line="240" w:lineRule="auto"/>
              <w:ind w:firstLine="1170"/>
              <w:rPr>
                <w:rFonts w:ascii="Arial" w:hAnsi="Arial" w:cs="Arial"/>
                <w:sz w:val="20"/>
                <w:szCs w:val="20"/>
              </w:rPr>
            </w:pPr>
          </w:p>
          <w:p w:rsidR="005A3A3E" w:rsidRDefault="005A3A3E" w:rsidP="005A3A3E">
            <w:pPr>
              <w:spacing w:after="0" w:line="240" w:lineRule="auto"/>
              <w:rPr>
                <w:rFonts w:ascii="Arial" w:hAnsi="Arial" w:cs="Arial"/>
                <w:sz w:val="20"/>
                <w:szCs w:val="20"/>
              </w:rPr>
            </w:pPr>
          </w:p>
          <w:p w:rsidR="005A3A3E" w:rsidRDefault="005A3A3E" w:rsidP="005A3A3E">
            <w:pPr>
              <w:spacing w:after="0" w:line="240" w:lineRule="auto"/>
              <w:rPr>
                <w:rFonts w:ascii="Arial" w:hAnsi="Arial" w:cs="Arial"/>
                <w:sz w:val="20"/>
                <w:szCs w:val="20"/>
              </w:rPr>
            </w:pPr>
            <w:r>
              <w:rPr>
                <w:rFonts w:ascii="Arial" w:hAnsi="Arial" w:cs="Arial"/>
                <w:sz w:val="20"/>
                <w:szCs w:val="20"/>
              </w:rPr>
              <w:t>Where P= applied lateral force on the pile in kips</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σ = vertical effective stress in </w:t>
            </w:r>
            <w:proofErr w:type="spellStart"/>
            <w:r>
              <w:rPr>
                <w:rFonts w:ascii="Arial" w:hAnsi="Arial" w:cs="Arial"/>
                <w:sz w:val="20"/>
                <w:szCs w:val="20"/>
              </w:rPr>
              <w:t>lbs</w:t>
            </w:r>
            <w:proofErr w:type="spellEnd"/>
            <w:r>
              <w:rPr>
                <w:rFonts w:ascii="Arial" w:hAnsi="Arial" w:cs="Arial"/>
                <w:sz w:val="20"/>
                <w:szCs w:val="20"/>
              </w:rPr>
              <w:t>/ft</w:t>
            </w:r>
            <w:r w:rsidRPr="005A3A3E">
              <w:rPr>
                <w:rFonts w:ascii="Arial" w:hAnsi="Arial" w:cs="Arial"/>
                <w:sz w:val="20"/>
                <w:szCs w:val="20"/>
                <w:vertAlign w:val="superscript"/>
              </w:rPr>
              <w:t>2</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T = transverse distance from the center of the pile in inches</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D = pile diameter in inches,</w:t>
            </w:r>
          </w:p>
          <w:p w:rsidR="005A3A3E" w:rsidRDefault="005A3A3E" w:rsidP="005A3A3E">
            <w:pPr>
              <w:spacing w:after="0" w:line="240" w:lineRule="auto"/>
              <w:rPr>
                <w:rFonts w:ascii="Arial" w:hAnsi="Arial" w:cs="Arial"/>
                <w:sz w:val="20"/>
                <w:szCs w:val="20"/>
              </w:rPr>
            </w:pPr>
            <w:r>
              <w:rPr>
                <w:rFonts w:ascii="Arial" w:hAnsi="Arial" w:cs="Arial"/>
                <w:sz w:val="20"/>
                <w:szCs w:val="20"/>
              </w:rPr>
              <w:t xml:space="preserve">           S = distance from the back face of the MSE wall panel to the center of the pile in inches.</w:t>
            </w:r>
          </w:p>
          <w:p w:rsidR="005A3A3E" w:rsidRDefault="005A3A3E" w:rsidP="005A3A3E">
            <w:pPr>
              <w:spacing w:after="0" w:line="240" w:lineRule="auto"/>
              <w:rPr>
                <w:rFonts w:ascii="Arial" w:hAnsi="Arial" w:cs="Arial"/>
                <w:sz w:val="20"/>
                <w:szCs w:val="20"/>
              </w:rPr>
            </w:pPr>
          </w:p>
          <w:p w:rsidR="005A3A3E" w:rsidRDefault="00C27E7C" w:rsidP="00225C66">
            <w:pPr>
              <w:spacing w:after="0" w:line="240" w:lineRule="auto"/>
              <w:rPr>
                <w:rFonts w:ascii="Arial" w:hAnsi="Arial" w:cs="Arial"/>
                <w:sz w:val="20"/>
                <w:szCs w:val="20"/>
              </w:rPr>
            </w:pPr>
            <w:r>
              <w:rPr>
                <w:rFonts w:ascii="Arial" w:hAnsi="Arial" w:cs="Arial"/>
                <w:sz w:val="20"/>
                <w:szCs w:val="20"/>
              </w:rPr>
              <w:t>This equation is based on a regression analysis with 942 data points from the tests performed during the study and the R</w:t>
            </w:r>
            <w:r w:rsidRPr="005A3A3E">
              <w:rPr>
                <w:rFonts w:ascii="Arial" w:hAnsi="Arial" w:cs="Arial"/>
                <w:sz w:val="20"/>
                <w:szCs w:val="20"/>
                <w:vertAlign w:val="superscript"/>
              </w:rPr>
              <w:t>2</w:t>
            </w:r>
            <w:r>
              <w:rPr>
                <w:rFonts w:ascii="Arial" w:hAnsi="Arial" w:cs="Arial"/>
                <w:sz w:val="20"/>
                <w:szCs w:val="20"/>
              </w:rPr>
              <w:t xml:space="preserve"> is 0.71.  A plot of measured maximum force versus computed maximum force for the entire data set is provided in Figure 2.    </w:t>
            </w: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9A32D7" w:rsidRDefault="009A32D7"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5A3A3E" w:rsidRDefault="00C27E7C" w:rsidP="00C27E7C">
            <w:pPr>
              <w:spacing w:after="0" w:line="240" w:lineRule="auto"/>
              <w:ind w:firstLine="450"/>
              <w:rPr>
                <w:rFonts w:ascii="Arial" w:hAnsi="Arial" w:cs="Arial"/>
                <w:sz w:val="20"/>
                <w:szCs w:val="20"/>
              </w:rPr>
            </w:pPr>
            <w:r w:rsidRPr="00C27E7C">
              <w:rPr>
                <w:rFonts w:ascii="Arial" w:hAnsi="Arial" w:cs="Arial"/>
                <w:noProof/>
                <w:sz w:val="20"/>
                <w:szCs w:val="20"/>
              </w:rPr>
              <w:drawing>
                <wp:inline distT="0" distB="0" distL="0" distR="0">
                  <wp:extent cx="5943600" cy="467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76775"/>
                          </a:xfrm>
                          <a:prstGeom prst="rect">
                            <a:avLst/>
                          </a:prstGeom>
                          <a:noFill/>
                          <a:ln>
                            <a:noFill/>
                          </a:ln>
                        </pic:spPr>
                      </pic:pic>
                    </a:graphicData>
                  </a:graphic>
                </wp:inline>
              </w:drawing>
            </w:r>
          </w:p>
          <w:p w:rsidR="00C27E7C" w:rsidRDefault="00C27E7C" w:rsidP="00C27E7C">
            <w:pPr>
              <w:spacing w:after="0" w:line="240" w:lineRule="auto"/>
              <w:rPr>
                <w:rFonts w:ascii="Arial" w:hAnsi="Arial" w:cs="Arial"/>
                <w:b/>
                <w:sz w:val="20"/>
                <w:szCs w:val="20"/>
              </w:rPr>
            </w:pPr>
            <w:r w:rsidRPr="005A3A3E">
              <w:rPr>
                <w:rFonts w:ascii="Arial" w:hAnsi="Arial" w:cs="Arial"/>
                <w:b/>
                <w:sz w:val="20"/>
                <w:szCs w:val="20"/>
              </w:rPr>
              <w:t xml:space="preserve">Figure </w:t>
            </w:r>
            <w:r>
              <w:rPr>
                <w:rFonts w:ascii="Arial" w:hAnsi="Arial" w:cs="Arial"/>
                <w:b/>
                <w:sz w:val="20"/>
                <w:szCs w:val="20"/>
              </w:rPr>
              <w:t>2</w:t>
            </w:r>
            <w:r w:rsidRPr="005A3A3E">
              <w:rPr>
                <w:rFonts w:ascii="Arial" w:hAnsi="Arial" w:cs="Arial"/>
                <w:b/>
                <w:sz w:val="20"/>
                <w:szCs w:val="20"/>
              </w:rPr>
              <w:t xml:space="preserve">. A plot of measured maximum tensile force versus computed maximum tensile force for </w:t>
            </w:r>
            <w:r>
              <w:rPr>
                <w:rFonts w:ascii="Arial" w:hAnsi="Arial" w:cs="Arial"/>
                <w:b/>
                <w:sz w:val="20"/>
                <w:szCs w:val="20"/>
              </w:rPr>
              <w:t xml:space="preserve">ribbed-strip </w:t>
            </w:r>
            <w:r w:rsidRPr="005A3A3E">
              <w:rPr>
                <w:rFonts w:ascii="Arial" w:hAnsi="Arial" w:cs="Arial"/>
                <w:b/>
                <w:sz w:val="20"/>
                <w:szCs w:val="20"/>
              </w:rPr>
              <w:t>reinforcement</w:t>
            </w:r>
            <w:r>
              <w:rPr>
                <w:rFonts w:ascii="Arial" w:hAnsi="Arial" w:cs="Arial"/>
                <w:b/>
                <w:sz w:val="20"/>
                <w:szCs w:val="20"/>
              </w:rPr>
              <w:t>s.</w:t>
            </w:r>
          </w:p>
          <w:p w:rsidR="00C27E7C" w:rsidRDefault="00C27E7C" w:rsidP="00C27E7C">
            <w:pPr>
              <w:spacing w:after="0" w:line="240" w:lineRule="auto"/>
              <w:rPr>
                <w:rFonts w:ascii="Arial" w:hAnsi="Arial" w:cs="Arial"/>
                <w:b/>
                <w:sz w:val="20"/>
                <w:szCs w:val="20"/>
              </w:rPr>
            </w:pPr>
          </w:p>
          <w:p w:rsidR="00C27E7C" w:rsidRDefault="00C27E7C" w:rsidP="00C27E7C">
            <w:pPr>
              <w:spacing w:after="0" w:line="240" w:lineRule="auto"/>
              <w:rPr>
                <w:rFonts w:ascii="Arial" w:hAnsi="Arial" w:cs="Arial"/>
                <w:sz w:val="20"/>
                <w:szCs w:val="20"/>
              </w:rPr>
            </w:pPr>
            <w:r w:rsidRPr="00C27E7C">
              <w:rPr>
                <w:rFonts w:ascii="Arial" w:hAnsi="Arial" w:cs="Arial"/>
                <w:sz w:val="20"/>
                <w:szCs w:val="20"/>
              </w:rPr>
              <w:t>Prof. Rollins attend</w:t>
            </w:r>
            <w:r>
              <w:rPr>
                <w:rFonts w:ascii="Arial" w:hAnsi="Arial" w:cs="Arial"/>
                <w:sz w:val="20"/>
                <w:szCs w:val="20"/>
              </w:rPr>
              <w:t>ed</w:t>
            </w:r>
            <w:r w:rsidRPr="00C27E7C">
              <w:rPr>
                <w:rFonts w:ascii="Arial" w:hAnsi="Arial" w:cs="Arial"/>
                <w:sz w:val="20"/>
                <w:szCs w:val="20"/>
              </w:rPr>
              <w:t xml:space="preserve"> the AASHTO </w:t>
            </w:r>
            <w:r w:rsidR="00013A7D">
              <w:rPr>
                <w:rFonts w:ascii="Arial" w:hAnsi="Arial" w:cs="Arial"/>
                <w:sz w:val="20"/>
                <w:szCs w:val="20"/>
              </w:rPr>
              <w:t xml:space="preserve">SCOBS </w:t>
            </w:r>
            <w:r w:rsidRPr="00C27E7C">
              <w:rPr>
                <w:rFonts w:ascii="Arial" w:hAnsi="Arial" w:cs="Arial"/>
                <w:sz w:val="20"/>
                <w:szCs w:val="20"/>
              </w:rPr>
              <w:t xml:space="preserve">T-15 Substructures and Retaining Wall </w:t>
            </w:r>
            <w:r>
              <w:rPr>
                <w:rFonts w:ascii="Arial" w:hAnsi="Arial" w:cs="Arial"/>
                <w:sz w:val="20"/>
                <w:szCs w:val="20"/>
              </w:rPr>
              <w:t>committee meeting in Minneapolis, Minnesota this past June and made a 30</w:t>
            </w:r>
            <w:r w:rsidR="00013A7D">
              <w:rPr>
                <w:rFonts w:ascii="Arial" w:hAnsi="Arial" w:cs="Arial"/>
                <w:sz w:val="20"/>
                <w:szCs w:val="20"/>
              </w:rPr>
              <w:t>-</w:t>
            </w:r>
            <w:r>
              <w:rPr>
                <w:rFonts w:ascii="Arial" w:hAnsi="Arial" w:cs="Arial"/>
                <w:sz w:val="20"/>
                <w:szCs w:val="20"/>
              </w:rPr>
              <w:t>minute presentation on the results of the pooled fund study.  In addition, he suggested potential code changes where the results of the study could be incorporated into the AASHTO code.  The presentation was very well received and we have laid the groundwork for implementing the results of the study into engineering practice.  Some committee members felt it would be helpful to publish a peer-reviewed paper on the study as a reference that could be noted in the code. We are planning to submit the condensed summary of the research to the ASCE Journal of Geo</w:t>
            </w:r>
            <w:r w:rsidR="00013A7D">
              <w:rPr>
                <w:rFonts w:ascii="Arial" w:hAnsi="Arial" w:cs="Arial"/>
                <w:sz w:val="20"/>
                <w:szCs w:val="20"/>
              </w:rPr>
              <w:t xml:space="preserve">technical and </w:t>
            </w:r>
            <w:proofErr w:type="spellStart"/>
            <w:r w:rsidR="00013A7D">
              <w:rPr>
                <w:rFonts w:ascii="Arial" w:hAnsi="Arial" w:cs="Arial"/>
                <w:sz w:val="20"/>
                <w:szCs w:val="20"/>
              </w:rPr>
              <w:t>Geoenvironmental</w:t>
            </w:r>
            <w:proofErr w:type="spellEnd"/>
            <w:r w:rsidR="00013A7D">
              <w:rPr>
                <w:rFonts w:ascii="Arial" w:hAnsi="Arial" w:cs="Arial"/>
                <w:sz w:val="20"/>
                <w:szCs w:val="20"/>
              </w:rPr>
              <w:t xml:space="preserve"> E</w:t>
            </w:r>
            <w:r>
              <w:rPr>
                <w:rFonts w:ascii="Arial" w:hAnsi="Arial" w:cs="Arial"/>
                <w:sz w:val="20"/>
                <w:szCs w:val="20"/>
              </w:rPr>
              <w:t>ngineering for review in the next quarter.</w:t>
            </w:r>
          </w:p>
          <w:p w:rsidR="005A3A3E" w:rsidRPr="00C27E7C" w:rsidRDefault="005A3A3E" w:rsidP="00225C66">
            <w:pPr>
              <w:spacing w:after="0" w:line="240" w:lineRule="auto"/>
              <w:rPr>
                <w:rFonts w:ascii="Arial" w:hAnsi="Arial" w:cs="Arial"/>
                <w:sz w:val="20"/>
                <w:szCs w:val="20"/>
              </w:rPr>
            </w:pPr>
          </w:p>
          <w:p w:rsidR="005A3A3E" w:rsidRDefault="00C27E7C" w:rsidP="00225C66">
            <w:pPr>
              <w:spacing w:after="0" w:line="240" w:lineRule="auto"/>
              <w:rPr>
                <w:rFonts w:ascii="Arial" w:hAnsi="Arial" w:cs="Arial"/>
                <w:sz w:val="20"/>
                <w:szCs w:val="20"/>
              </w:rPr>
            </w:pPr>
            <w:r>
              <w:rPr>
                <w:rFonts w:ascii="Arial" w:hAnsi="Arial" w:cs="Arial"/>
                <w:sz w:val="20"/>
                <w:szCs w:val="20"/>
              </w:rPr>
              <w:t>Prof. Ro</w:t>
            </w:r>
            <w:r w:rsidR="00013A7D">
              <w:rPr>
                <w:rFonts w:ascii="Arial" w:hAnsi="Arial" w:cs="Arial"/>
                <w:sz w:val="20"/>
                <w:szCs w:val="20"/>
              </w:rPr>
              <w:t>llins also made a 30-</w:t>
            </w:r>
            <w:r>
              <w:rPr>
                <w:rFonts w:ascii="Arial" w:hAnsi="Arial" w:cs="Arial"/>
                <w:sz w:val="20"/>
                <w:szCs w:val="20"/>
              </w:rPr>
              <w:t xml:space="preserve">minute presentation on the results of the study at the International Bridge Conference </w:t>
            </w:r>
            <w:r w:rsidR="00372425">
              <w:rPr>
                <w:rFonts w:ascii="Arial" w:hAnsi="Arial" w:cs="Arial"/>
                <w:sz w:val="20"/>
                <w:szCs w:val="20"/>
              </w:rPr>
              <w:t xml:space="preserve">(IBC) </w:t>
            </w:r>
            <w:r>
              <w:rPr>
                <w:rFonts w:ascii="Arial" w:hAnsi="Arial" w:cs="Arial"/>
                <w:sz w:val="20"/>
                <w:szCs w:val="20"/>
              </w:rPr>
              <w:t xml:space="preserve">which </w:t>
            </w:r>
            <w:r w:rsidR="00013A7D">
              <w:rPr>
                <w:rFonts w:ascii="Arial" w:hAnsi="Arial" w:cs="Arial"/>
                <w:sz w:val="20"/>
                <w:szCs w:val="20"/>
              </w:rPr>
              <w:t>h</w:t>
            </w:r>
            <w:r>
              <w:rPr>
                <w:rFonts w:ascii="Arial" w:hAnsi="Arial" w:cs="Arial"/>
                <w:sz w:val="20"/>
                <w:szCs w:val="20"/>
              </w:rPr>
              <w:t>as traditionally been held in Pittsburgh, but was held for the first time in Washington</w:t>
            </w:r>
            <w:r w:rsidR="00013A7D">
              <w:rPr>
                <w:rFonts w:ascii="Arial" w:hAnsi="Arial" w:cs="Arial"/>
                <w:sz w:val="20"/>
                <w:szCs w:val="20"/>
              </w:rPr>
              <w:t>,</w:t>
            </w:r>
            <w:r>
              <w:rPr>
                <w:rFonts w:ascii="Arial" w:hAnsi="Arial" w:cs="Arial"/>
                <w:sz w:val="20"/>
                <w:szCs w:val="20"/>
              </w:rPr>
              <w:t xml:space="preserve"> DC</w:t>
            </w:r>
            <w:r w:rsidR="00587F86">
              <w:rPr>
                <w:rFonts w:ascii="Arial" w:hAnsi="Arial" w:cs="Arial"/>
                <w:sz w:val="20"/>
                <w:szCs w:val="20"/>
              </w:rPr>
              <w:t xml:space="preserve"> this past June</w:t>
            </w:r>
            <w:r>
              <w:rPr>
                <w:rFonts w:ascii="Arial" w:hAnsi="Arial" w:cs="Arial"/>
                <w:sz w:val="20"/>
                <w:szCs w:val="20"/>
              </w:rPr>
              <w:t>.</w:t>
            </w:r>
            <w:r w:rsidR="00587F86">
              <w:rPr>
                <w:rFonts w:ascii="Arial" w:hAnsi="Arial" w:cs="Arial"/>
                <w:sz w:val="20"/>
                <w:szCs w:val="20"/>
              </w:rPr>
              <w:t xml:space="preserve">  </w:t>
            </w:r>
            <w:r>
              <w:rPr>
                <w:rFonts w:ascii="Arial" w:hAnsi="Arial" w:cs="Arial"/>
                <w:sz w:val="20"/>
                <w:szCs w:val="20"/>
              </w:rPr>
              <w:t>Approximately 130 people were in attendance and the response was positive.</w:t>
            </w:r>
            <w:r w:rsidR="00372425">
              <w:rPr>
                <w:rFonts w:ascii="Arial" w:hAnsi="Arial" w:cs="Arial"/>
                <w:sz w:val="20"/>
                <w:szCs w:val="20"/>
              </w:rPr>
              <w:t xml:space="preserve">  A paper describing a subset of the research study has already been submitted and will be published later this year in the IBC proceedings.</w:t>
            </w:r>
          </w:p>
          <w:p w:rsidR="00E64214" w:rsidRPr="003D218F" w:rsidRDefault="003D218F" w:rsidP="00225C66">
            <w:pPr>
              <w:spacing w:after="0" w:line="240" w:lineRule="auto"/>
              <w:rPr>
                <w:rFonts w:ascii="Arial" w:hAnsi="Arial" w:cs="Arial"/>
                <w:sz w:val="20"/>
                <w:szCs w:val="20"/>
              </w:rPr>
            </w:pP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within the original time and budget anticipated.  Additional work tasks suggested during the recent TAC meeting will require an extension and solicitation of additional funds from TAC members.</w:t>
            </w:r>
          </w:p>
          <w:p w:rsidR="00C43F0F" w:rsidRPr="00955C38" w:rsidRDefault="00C43F0F"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T-15 committee to have the results of the study incorporated into new AASHTO codes.  Papers are being prepared</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ED" w:rsidRDefault="004676ED" w:rsidP="00106C83">
      <w:pPr>
        <w:spacing w:after="0" w:line="240" w:lineRule="auto"/>
      </w:pPr>
      <w:r>
        <w:separator/>
      </w:r>
    </w:p>
  </w:endnote>
  <w:endnote w:type="continuationSeparator" w:id="0">
    <w:p w:rsidR="004676ED" w:rsidRDefault="004676E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2F" w:rsidRDefault="009F132F" w:rsidP="00E371D1">
    <w:pPr>
      <w:pStyle w:val="Footer"/>
      <w:ind w:left="-810"/>
    </w:pPr>
    <w:r>
      <w:t>TPF Program Standard Quarterly Reporting Format – 7/2011</w:t>
    </w:r>
  </w:p>
  <w:p w:rsidR="009F132F" w:rsidRDefault="009F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ED" w:rsidRDefault="004676ED" w:rsidP="00106C83">
      <w:pPr>
        <w:spacing w:after="0" w:line="240" w:lineRule="auto"/>
      </w:pPr>
      <w:r>
        <w:separator/>
      </w:r>
    </w:p>
  </w:footnote>
  <w:footnote w:type="continuationSeparator" w:id="0">
    <w:p w:rsidR="004676ED" w:rsidRDefault="004676E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3A7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25C66"/>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3663E"/>
    <w:rsid w:val="003372CD"/>
    <w:rsid w:val="00340B50"/>
    <w:rsid w:val="00341D76"/>
    <w:rsid w:val="00360664"/>
    <w:rsid w:val="00362F45"/>
    <w:rsid w:val="003630A0"/>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4008C9"/>
    <w:rsid w:val="00403804"/>
    <w:rsid w:val="00406380"/>
    <w:rsid w:val="00407785"/>
    <w:rsid w:val="004114AF"/>
    <w:rsid w:val="00414429"/>
    <w:rsid w:val="004144E6"/>
    <w:rsid w:val="004156B2"/>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D5EEE"/>
    <w:rsid w:val="004D6151"/>
    <w:rsid w:val="004D6DF5"/>
    <w:rsid w:val="004E14DC"/>
    <w:rsid w:val="004E183A"/>
    <w:rsid w:val="004E4A6C"/>
    <w:rsid w:val="004E771A"/>
    <w:rsid w:val="004F0AB2"/>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735D"/>
    <w:rsid w:val="006F6A29"/>
    <w:rsid w:val="007045A0"/>
    <w:rsid w:val="00707493"/>
    <w:rsid w:val="007152B6"/>
    <w:rsid w:val="00731090"/>
    <w:rsid w:val="00733FC5"/>
    <w:rsid w:val="00741A4A"/>
    <w:rsid w:val="00741D56"/>
    <w:rsid w:val="0074364C"/>
    <w:rsid w:val="00743C01"/>
    <w:rsid w:val="007459FC"/>
    <w:rsid w:val="00754076"/>
    <w:rsid w:val="00760463"/>
    <w:rsid w:val="0076236B"/>
    <w:rsid w:val="00762B95"/>
    <w:rsid w:val="00763DDA"/>
    <w:rsid w:val="0077724D"/>
    <w:rsid w:val="00784A7F"/>
    <w:rsid w:val="00786412"/>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2075"/>
    <w:rsid w:val="00883F07"/>
    <w:rsid w:val="00883F30"/>
    <w:rsid w:val="008A083A"/>
    <w:rsid w:val="008A0F49"/>
    <w:rsid w:val="008A755F"/>
    <w:rsid w:val="008B3738"/>
    <w:rsid w:val="008B449D"/>
    <w:rsid w:val="008B6F8D"/>
    <w:rsid w:val="008D1E6B"/>
    <w:rsid w:val="008D2778"/>
    <w:rsid w:val="008E40BF"/>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756F9"/>
    <w:rsid w:val="009758BB"/>
    <w:rsid w:val="00986FE7"/>
    <w:rsid w:val="00987833"/>
    <w:rsid w:val="009944A4"/>
    <w:rsid w:val="00994C3D"/>
    <w:rsid w:val="00997B12"/>
    <w:rsid w:val="009A32D7"/>
    <w:rsid w:val="009A666B"/>
    <w:rsid w:val="009A76C8"/>
    <w:rsid w:val="009B112E"/>
    <w:rsid w:val="009B32D9"/>
    <w:rsid w:val="009B699B"/>
    <w:rsid w:val="009B77F8"/>
    <w:rsid w:val="009C3C41"/>
    <w:rsid w:val="009C48D3"/>
    <w:rsid w:val="009D59BC"/>
    <w:rsid w:val="009D624E"/>
    <w:rsid w:val="009F132F"/>
    <w:rsid w:val="00A00CBC"/>
    <w:rsid w:val="00A04F88"/>
    <w:rsid w:val="00A26E0B"/>
    <w:rsid w:val="00A41C8E"/>
    <w:rsid w:val="00A43875"/>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E185D"/>
    <w:rsid w:val="00AE46B0"/>
    <w:rsid w:val="00B06618"/>
    <w:rsid w:val="00B0667B"/>
    <w:rsid w:val="00B2185C"/>
    <w:rsid w:val="00B22CA7"/>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7676"/>
    <w:rsid w:val="00D033AA"/>
    <w:rsid w:val="00D0519C"/>
    <w:rsid w:val="00D056BA"/>
    <w:rsid w:val="00D06294"/>
    <w:rsid w:val="00D10420"/>
    <w:rsid w:val="00D11E6B"/>
    <w:rsid w:val="00D165FF"/>
    <w:rsid w:val="00D205E3"/>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9780D"/>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1777</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116</cp:revision>
  <cp:lastPrinted>2011-06-21T20:32:00Z</cp:lastPrinted>
  <dcterms:created xsi:type="dcterms:W3CDTF">2016-07-29T15:51:00Z</dcterms:created>
  <dcterms:modified xsi:type="dcterms:W3CDTF">2016-08-01T16:49:00Z</dcterms:modified>
</cp:coreProperties>
</file>