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1262A">
        <w:rPr>
          <w:rFonts w:ascii="Arial" w:hAnsi="Arial" w:cs="Arial"/>
          <w:sz w:val="24"/>
          <w:szCs w:val="24"/>
        </w:rPr>
        <w:t>7</w:t>
      </w:r>
      <w:r w:rsidR="0034175F">
        <w:rPr>
          <w:rFonts w:ascii="Arial" w:hAnsi="Arial" w:cs="Arial"/>
          <w:sz w:val="24"/>
          <w:szCs w:val="24"/>
        </w:rPr>
        <w:t>/2</w:t>
      </w:r>
      <w:r w:rsidR="00F1262A">
        <w:rPr>
          <w:rFonts w:ascii="Arial" w:hAnsi="Arial" w:cs="Arial"/>
          <w:sz w:val="24"/>
          <w:szCs w:val="24"/>
        </w:rPr>
        <w:t>8</w:t>
      </w:r>
      <w:r w:rsidR="00DD6B58">
        <w:rPr>
          <w:rFonts w:ascii="Arial" w:hAnsi="Arial" w:cs="Arial"/>
          <w:sz w:val="24"/>
          <w:szCs w:val="24"/>
        </w:rPr>
        <w:t>/</w:t>
      </w:r>
      <w:r w:rsidR="002E2F53">
        <w:rPr>
          <w:rFonts w:ascii="Arial" w:hAnsi="Arial" w:cs="Arial"/>
          <w:sz w:val="24"/>
          <w:szCs w:val="24"/>
        </w:rPr>
        <w:t>20</w:t>
      </w:r>
      <w:r w:rsidR="00DD6B58">
        <w:rPr>
          <w:rFonts w:ascii="Arial" w:hAnsi="Arial" w:cs="Arial"/>
          <w:sz w:val="24"/>
          <w:szCs w:val="24"/>
        </w:rPr>
        <w:t>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F1262A">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F1262A">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D6B58">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E8138D">
              <w:rPr>
                <w:rFonts w:ascii="Arial" w:hAnsi="Arial" w:cs="Arial"/>
                <w:sz w:val="20"/>
                <w:szCs w:val="20"/>
              </w:rPr>
              <w:t>Quarter 4 (October 1</w:t>
            </w:r>
            <w:r w:rsidR="00551D8A" w:rsidRPr="00E8138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92AE"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D311BC" w:rsidRPr="00F87F5B">
        <w:rPr>
          <w:rFonts w:ascii="Arial" w:hAnsi="Arial" w:cs="Arial"/>
          <w:sz w:val="36"/>
          <w:szCs w:val="36"/>
        </w:rPr>
        <w:t>□</w:t>
      </w:r>
      <w:r w:rsidR="00D311BC">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Pr="00E15B55" w:rsidRDefault="000D3819" w:rsidP="005439E0">
            <w:pPr>
              <w:ind w:right="-720"/>
              <w:rPr>
                <w:rFonts w:ascii="Arial" w:hAnsi="Arial" w:cs="Arial"/>
                <w:sz w:val="20"/>
                <w:szCs w:val="20"/>
              </w:rPr>
            </w:pPr>
            <w:r w:rsidRPr="00E15B55">
              <w:rPr>
                <w:rFonts w:ascii="Arial" w:hAnsi="Arial" w:cs="Arial"/>
                <w:sz w:val="20"/>
                <w:szCs w:val="20"/>
              </w:rPr>
              <w:t>$</w:t>
            </w:r>
            <w:r w:rsidR="002E3F0E" w:rsidRPr="00E15B55">
              <w:rPr>
                <w:rFonts w:ascii="Arial" w:hAnsi="Arial" w:cs="Arial"/>
                <w:sz w:val="20"/>
                <w:szCs w:val="20"/>
              </w:rPr>
              <w:t>2</w:t>
            </w:r>
            <w:r w:rsidR="00F800C0" w:rsidRPr="00E15B55">
              <w:rPr>
                <w:rFonts w:ascii="Arial" w:hAnsi="Arial" w:cs="Arial"/>
                <w:sz w:val="20"/>
                <w:szCs w:val="20"/>
              </w:rPr>
              <w:t>23,</w:t>
            </w:r>
            <w:r w:rsidR="00E15B55" w:rsidRPr="00E15B55">
              <w:rPr>
                <w:rFonts w:ascii="Arial" w:hAnsi="Arial" w:cs="Arial"/>
                <w:sz w:val="20"/>
                <w:szCs w:val="20"/>
              </w:rPr>
              <w:t>310.62</w:t>
            </w:r>
          </w:p>
          <w:p w:rsidR="000D3819" w:rsidRPr="00E15B55" w:rsidRDefault="000D3819" w:rsidP="00F800C0">
            <w:pPr>
              <w:ind w:right="-720"/>
              <w:rPr>
                <w:rFonts w:ascii="Arial" w:hAnsi="Arial" w:cs="Arial"/>
                <w:sz w:val="20"/>
                <w:szCs w:val="20"/>
              </w:rPr>
            </w:pPr>
            <w:r w:rsidRPr="00E15B55">
              <w:rPr>
                <w:rFonts w:ascii="Arial" w:hAnsi="Arial" w:cs="Arial"/>
                <w:sz w:val="20"/>
                <w:szCs w:val="20"/>
              </w:rPr>
              <w:t>(Ph1 $49,938 &amp; Ph2 $</w:t>
            </w:r>
            <w:r w:rsidR="00E15B55" w:rsidRPr="00E15B55">
              <w:rPr>
                <w:rFonts w:ascii="Arial" w:hAnsi="Arial" w:cs="Arial"/>
                <w:sz w:val="20"/>
                <w:szCs w:val="20"/>
              </w:rPr>
              <w:t>173,372.62</w:t>
            </w:r>
            <w:r w:rsidRPr="00E15B55">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3A59D0" w:rsidRDefault="00E15B55" w:rsidP="00F800C0">
            <w:pPr>
              <w:ind w:right="-720"/>
              <w:rPr>
                <w:rFonts w:ascii="Arial" w:hAnsi="Arial" w:cs="Arial"/>
                <w:sz w:val="20"/>
                <w:szCs w:val="20"/>
                <w:highlight w:val="yellow"/>
              </w:rPr>
            </w:pPr>
            <w:r w:rsidRPr="00E15B55">
              <w:rPr>
                <w:rFonts w:ascii="Arial" w:hAnsi="Arial" w:cs="Arial"/>
                <w:sz w:val="20"/>
                <w:szCs w:val="20"/>
              </w:rPr>
              <w:t>$57.74</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F3550" w:rsidRDefault="001F3550" w:rsidP="00551D8A">
            <w:pPr>
              <w:ind w:right="-720"/>
              <w:rPr>
                <w:rFonts w:ascii="Arial" w:hAnsi="Arial" w:cs="Arial"/>
                <w:sz w:val="20"/>
                <w:szCs w:val="20"/>
              </w:rPr>
            </w:pPr>
          </w:p>
          <w:p w:rsidR="003A59D0" w:rsidRPr="003A59D0" w:rsidRDefault="003A59D0" w:rsidP="003A59D0">
            <w:pPr>
              <w:jc w:val="both"/>
              <w:rPr>
                <w:rFonts w:ascii="Arial" w:hAnsi="Arial" w:cs="Arial"/>
                <w:sz w:val="20"/>
                <w:szCs w:val="20"/>
              </w:rPr>
            </w:pPr>
            <w:r w:rsidRPr="003A59D0">
              <w:rPr>
                <w:rFonts w:ascii="Arial" w:hAnsi="Arial" w:cs="Arial"/>
                <w:sz w:val="20"/>
                <w:szCs w:val="20"/>
              </w:rPr>
              <w:t xml:space="preserve">Task 1 (literature review) is ongoing throughout the duration of the project, and Task 2 (detailed design) was completed. Several additional </w:t>
            </w:r>
            <w:proofErr w:type="spellStart"/>
            <w:r w:rsidRPr="003A59D0">
              <w:rPr>
                <w:rFonts w:ascii="Arial" w:hAnsi="Arial" w:cs="Arial"/>
                <w:sz w:val="20"/>
                <w:szCs w:val="20"/>
              </w:rPr>
              <w:t>triaxial</w:t>
            </w:r>
            <w:proofErr w:type="spellEnd"/>
            <w:r w:rsidRPr="003A59D0">
              <w:rPr>
                <w:rFonts w:ascii="Arial" w:hAnsi="Arial" w:cs="Arial"/>
                <w:sz w:val="20"/>
                <w:szCs w:val="20"/>
              </w:rPr>
              <w:t xml:space="preserve"> tests were performed on the sand at different densities to help with scaling relationship assessment, and the soil-water retention curve was measured to assess the effects of unsaturated conditions on the shear strength of the sand. Our main efforts this quarter were related to Task 3 (MSE abutment testing program). Two shaking table tests were performed this quarter. Test 4 involved the same geometry as Test 1, but with an increased bridge deck load. After </w:t>
            </w:r>
            <w:r w:rsidR="001616A1">
              <w:rPr>
                <w:rFonts w:ascii="Arial" w:hAnsi="Arial" w:cs="Arial"/>
                <w:sz w:val="20"/>
                <w:szCs w:val="20"/>
              </w:rPr>
              <w:t>a TAC meeting (by teleconference) on June 6</w:t>
            </w:r>
            <w:r w:rsidR="001616A1" w:rsidRPr="001616A1">
              <w:rPr>
                <w:rFonts w:ascii="Arial" w:hAnsi="Arial" w:cs="Arial"/>
                <w:sz w:val="20"/>
                <w:szCs w:val="20"/>
                <w:vertAlign w:val="superscript"/>
              </w:rPr>
              <w:t>th</w:t>
            </w:r>
            <w:r w:rsidR="001616A1">
              <w:rPr>
                <w:rFonts w:ascii="Arial" w:hAnsi="Arial" w:cs="Arial"/>
                <w:sz w:val="20"/>
                <w:szCs w:val="20"/>
              </w:rPr>
              <w:t xml:space="preserve"> and </w:t>
            </w:r>
            <w:r w:rsidRPr="003A59D0">
              <w:rPr>
                <w:rFonts w:ascii="Arial" w:hAnsi="Arial" w:cs="Arial"/>
                <w:sz w:val="20"/>
                <w:szCs w:val="20"/>
              </w:rPr>
              <w:t xml:space="preserve">discussion with the pooled fund members, it was decided to repeat Test 1 due to improvements in construction techniques gained when performing Test 4. This test was repeated and is termed Test 7. Further, it was decided that Test 4 would become the new baseline, and Test 1 and 7 would be “reduced bridge load” tests. An updated testing plan was shared with Caltrans and the pooled fund members. Testing reports on this test were provided, including the instrumentation plan, the pre-test numerical simulation (Task 5), the reports on the proposed motions, and preliminary analyses of the results (Task 4). This quarter included salaries to support Yewei Zheng, the main PhD student working on the project, and the Powell laboratory staff. </w:t>
            </w:r>
            <w:proofErr w:type="spellStart"/>
            <w:r w:rsidRPr="003A59D0">
              <w:rPr>
                <w:rFonts w:ascii="Arial" w:hAnsi="Arial" w:cs="Arial"/>
                <w:sz w:val="20"/>
                <w:szCs w:val="20"/>
              </w:rPr>
              <w:t>Wenyong</w:t>
            </w:r>
            <w:proofErr w:type="spellEnd"/>
            <w:r w:rsidRPr="003A59D0">
              <w:rPr>
                <w:rFonts w:ascii="Arial" w:hAnsi="Arial" w:cs="Arial"/>
                <w:sz w:val="20"/>
                <w:szCs w:val="20"/>
              </w:rPr>
              <w:t xml:space="preserve"> </w:t>
            </w:r>
            <w:proofErr w:type="spellStart"/>
            <w:r w:rsidRPr="003A59D0">
              <w:rPr>
                <w:rFonts w:ascii="Arial" w:hAnsi="Arial" w:cs="Arial"/>
                <w:sz w:val="20"/>
                <w:szCs w:val="20"/>
              </w:rPr>
              <w:t>Rong</w:t>
            </w:r>
            <w:proofErr w:type="spellEnd"/>
            <w:r w:rsidRPr="003A59D0">
              <w:rPr>
                <w:rFonts w:ascii="Arial" w:hAnsi="Arial" w:cs="Arial"/>
                <w:sz w:val="20"/>
                <w:szCs w:val="20"/>
              </w:rPr>
              <w:t xml:space="preserve">, a PhD student supported on a departmental fellowship, also assisted with 3D numerical analyses and measurement of the soil-water retention curve for the sand. Several undergraduate assistants helped in the construction of the walls and </w:t>
            </w:r>
            <w:proofErr w:type="spellStart"/>
            <w:r w:rsidRPr="003A59D0">
              <w:rPr>
                <w:rFonts w:ascii="Arial" w:hAnsi="Arial" w:cs="Arial"/>
                <w:sz w:val="20"/>
                <w:szCs w:val="20"/>
              </w:rPr>
              <w:t>triaxial</w:t>
            </w:r>
            <w:proofErr w:type="spellEnd"/>
            <w:r w:rsidRPr="003A59D0">
              <w:rPr>
                <w:rFonts w:ascii="Arial" w:hAnsi="Arial" w:cs="Arial"/>
                <w:sz w:val="20"/>
                <w:szCs w:val="20"/>
              </w:rPr>
              <w:t xml:space="preserve"> testing. Equipment that was charged to this project was transferred to the Caltrans part of the project, which is the reason for the net negative balance from this quarter. </w:t>
            </w:r>
          </w:p>
          <w:p w:rsidR="003A59D0" w:rsidRPr="003A59D0" w:rsidRDefault="003A59D0" w:rsidP="003A59D0">
            <w:pPr>
              <w:ind w:left="360"/>
              <w:rPr>
                <w:rFonts w:ascii="Arial" w:hAnsi="Arial" w:cs="Arial"/>
                <w:sz w:val="20"/>
                <w:szCs w:val="20"/>
              </w:rPr>
            </w:pPr>
          </w:p>
          <w:p w:rsidR="003A59D0" w:rsidRPr="003A59D0" w:rsidRDefault="003A59D0" w:rsidP="003A59D0">
            <w:pPr>
              <w:rPr>
                <w:rFonts w:ascii="Arial" w:hAnsi="Arial" w:cs="Arial"/>
                <w:sz w:val="20"/>
                <w:szCs w:val="20"/>
              </w:rPr>
            </w:pPr>
            <w:r w:rsidRPr="003A59D0">
              <w:rPr>
                <w:rFonts w:ascii="Arial" w:hAnsi="Arial" w:cs="Arial"/>
                <w:sz w:val="20"/>
                <w:szCs w:val="20"/>
              </w:rPr>
              <w:t>A sum</w:t>
            </w:r>
            <w:r>
              <w:rPr>
                <w:rFonts w:ascii="Arial" w:hAnsi="Arial" w:cs="Arial"/>
                <w:sz w:val="20"/>
                <w:szCs w:val="20"/>
              </w:rPr>
              <w:t xml:space="preserve">mary of the specific tasks </w:t>
            </w:r>
            <w:r w:rsidRPr="003A59D0">
              <w:rPr>
                <w:rFonts w:ascii="Arial" w:hAnsi="Arial" w:cs="Arial"/>
                <w:sz w:val="20"/>
                <w:szCs w:val="20"/>
              </w:rPr>
              <w:t xml:space="preserve">completed:  </w:t>
            </w:r>
          </w:p>
          <w:p w:rsidR="003A59D0" w:rsidRPr="003A59D0" w:rsidRDefault="003A59D0" w:rsidP="003A59D0">
            <w:pPr>
              <w:pStyle w:val="ListParagraph"/>
              <w:numPr>
                <w:ilvl w:val="0"/>
                <w:numId w:val="10"/>
              </w:numPr>
              <w:jc w:val="both"/>
              <w:rPr>
                <w:rFonts w:ascii="Arial" w:hAnsi="Arial" w:cs="Arial"/>
                <w:sz w:val="20"/>
                <w:szCs w:val="20"/>
              </w:rPr>
            </w:pPr>
            <w:r w:rsidRPr="003A59D0">
              <w:rPr>
                <w:rFonts w:ascii="Arial" w:hAnsi="Arial" w:cs="Arial"/>
                <w:sz w:val="20"/>
                <w:szCs w:val="20"/>
              </w:rPr>
              <w:t>Soil-water retention curve was measured for the sand (Task 2).</w:t>
            </w:r>
          </w:p>
          <w:p w:rsidR="003A59D0" w:rsidRPr="003A59D0" w:rsidRDefault="003A59D0" w:rsidP="003A59D0">
            <w:pPr>
              <w:pStyle w:val="ListParagraph"/>
              <w:numPr>
                <w:ilvl w:val="0"/>
                <w:numId w:val="10"/>
              </w:numPr>
              <w:jc w:val="both"/>
              <w:rPr>
                <w:rFonts w:ascii="Arial" w:hAnsi="Arial" w:cs="Arial"/>
                <w:sz w:val="20"/>
                <w:szCs w:val="20"/>
              </w:rPr>
            </w:pPr>
            <w:r w:rsidRPr="003A59D0">
              <w:rPr>
                <w:rFonts w:ascii="Arial" w:hAnsi="Arial" w:cs="Arial"/>
                <w:sz w:val="20"/>
                <w:szCs w:val="20"/>
              </w:rPr>
              <w:t xml:space="preserve">Additional </w:t>
            </w:r>
            <w:proofErr w:type="spellStart"/>
            <w:r w:rsidRPr="003A59D0">
              <w:rPr>
                <w:rFonts w:ascii="Arial" w:hAnsi="Arial" w:cs="Arial"/>
                <w:sz w:val="20"/>
                <w:szCs w:val="20"/>
              </w:rPr>
              <w:t>triaxial</w:t>
            </w:r>
            <w:proofErr w:type="spellEnd"/>
            <w:r w:rsidRPr="003A59D0">
              <w:rPr>
                <w:rFonts w:ascii="Arial" w:hAnsi="Arial" w:cs="Arial"/>
                <w:sz w:val="20"/>
                <w:szCs w:val="20"/>
              </w:rPr>
              <w:t xml:space="preserve"> compression tests were performed on the sand under different densities (Task 2)</w:t>
            </w:r>
          </w:p>
          <w:p w:rsidR="003A59D0" w:rsidRPr="003A59D0" w:rsidRDefault="003A59D0" w:rsidP="003A59D0">
            <w:pPr>
              <w:pStyle w:val="ListParagraph"/>
              <w:numPr>
                <w:ilvl w:val="0"/>
                <w:numId w:val="10"/>
              </w:numPr>
              <w:jc w:val="both"/>
              <w:rPr>
                <w:rFonts w:ascii="Arial" w:hAnsi="Arial" w:cs="Arial"/>
                <w:sz w:val="20"/>
                <w:szCs w:val="20"/>
              </w:rPr>
            </w:pPr>
            <w:r w:rsidRPr="003A59D0">
              <w:rPr>
                <w:rFonts w:ascii="Arial" w:hAnsi="Arial" w:cs="Arial"/>
                <w:sz w:val="20"/>
                <w:szCs w:val="20"/>
              </w:rPr>
              <w:t>Perform shaking table Tests 4 and 7 (Task 3).</w:t>
            </w:r>
            <w:bookmarkStart w:id="0" w:name="_GoBack"/>
            <w:bookmarkEnd w:id="0"/>
          </w:p>
          <w:p w:rsidR="003A59D0" w:rsidRPr="003A59D0" w:rsidRDefault="003A59D0" w:rsidP="003A59D0">
            <w:pPr>
              <w:pStyle w:val="ListParagraph"/>
              <w:numPr>
                <w:ilvl w:val="0"/>
                <w:numId w:val="10"/>
              </w:numPr>
              <w:jc w:val="both"/>
              <w:rPr>
                <w:rFonts w:ascii="Arial" w:hAnsi="Arial" w:cs="Arial"/>
                <w:sz w:val="20"/>
                <w:szCs w:val="20"/>
              </w:rPr>
            </w:pPr>
            <w:r w:rsidRPr="003A59D0">
              <w:rPr>
                <w:rFonts w:ascii="Arial" w:hAnsi="Arial" w:cs="Arial"/>
                <w:sz w:val="20"/>
                <w:szCs w:val="20"/>
              </w:rPr>
              <w:t xml:space="preserve">Prepared test reports on the Test 1 for review by </w:t>
            </w:r>
            <w:proofErr w:type="spellStart"/>
            <w:r w:rsidRPr="003A59D0">
              <w:rPr>
                <w:rFonts w:ascii="Arial" w:hAnsi="Arial" w:cs="Arial"/>
                <w:sz w:val="20"/>
                <w:szCs w:val="20"/>
              </w:rPr>
              <w:t>CalTrans</w:t>
            </w:r>
            <w:proofErr w:type="spellEnd"/>
            <w:r w:rsidRPr="003A59D0">
              <w:rPr>
                <w:rFonts w:ascii="Arial" w:hAnsi="Arial" w:cs="Arial"/>
                <w:sz w:val="20"/>
                <w:szCs w:val="20"/>
              </w:rPr>
              <w:t xml:space="preserve"> and pooled fund partners (Task 3).</w:t>
            </w:r>
          </w:p>
          <w:p w:rsidR="003A59D0" w:rsidRPr="003A59D0" w:rsidRDefault="003A59D0" w:rsidP="003A59D0">
            <w:pPr>
              <w:pStyle w:val="ListParagraph"/>
              <w:numPr>
                <w:ilvl w:val="0"/>
                <w:numId w:val="10"/>
              </w:numPr>
              <w:jc w:val="both"/>
              <w:rPr>
                <w:rFonts w:ascii="Arial" w:hAnsi="Arial" w:cs="Arial"/>
                <w:sz w:val="20"/>
                <w:szCs w:val="20"/>
              </w:rPr>
            </w:pPr>
            <w:r w:rsidRPr="003A59D0">
              <w:rPr>
                <w:rFonts w:ascii="Arial" w:hAnsi="Arial" w:cs="Arial"/>
                <w:sz w:val="20"/>
                <w:szCs w:val="20"/>
              </w:rPr>
              <w:t>Prepared preliminary analyses of the data (Task 4).</w:t>
            </w:r>
          </w:p>
          <w:p w:rsidR="003A59D0" w:rsidRPr="003A59D0" w:rsidRDefault="003A59D0" w:rsidP="003A59D0">
            <w:pPr>
              <w:pStyle w:val="ListParagraph"/>
              <w:numPr>
                <w:ilvl w:val="0"/>
                <w:numId w:val="10"/>
              </w:numPr>
              <w:jc w:val="both"/>
              <w:rPr>
                <w:rFonts w:ascii="Arial" w:hAnsi="Arial" w:cs="Arial"/>
                <w:sz w:val="20"/>
                <w:szCs w:val="20"/>
              </w:rPr>
            </w:pPr>
            <w:r w:rsidRPr="003A59D0">
              <w:rPr>
                <w:rFonts w:ascii="Arial" w:hAnsi="Arial" w:cs="Arial"/>
                <w:sz w:val="20"/>
                <w:szCs w:val="20"/>
              </w:rPr>
              <w:t>Performed preliminary pre-test numerical simulations of Tests 1, 2, and 7 (Task 5).</w:t>
            </w:r>
          </w:p>
          <w:p w:rsidR="003A59D0" w:rsidRPr="003A59D0" w:rsidRDefault="003A59D0" w:rsidP="003A59D0">
            <w:pPr>
              <w:ind w:right="252"/>
              <w:rPr>
                <w:rFonts w:ascii="Arial" w:hAnsi="Arial" w:cs="Arial"/>
                <w:sz w:val="20"/>
                <w:szCs w:val="20"/>
              </w:rPr>
            </w:pPr>
          </w:p>
          <w:p w:rsidR="00E8138D" w:rsidRDefault="00E8138D" w:rsidP="00C25055">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3A59D0" w:rsidRPr="003A59D0" w:rsidRDefault="003A59D0" w:rsidP="003A59D0">
            <w:pPr>
              <w:jc w:val="both"/>
              <w:rPr>
                <w:rFonts w:ascii="Arial" w:hAnsi="Arial" w:cs="Arial"/>
                <w:sz w:val="20"/>
                <w:szCs w:val="20"/>
              </w:rPr>
            </w:pPr>
          </w:p>
          <w:p w:rsidR="003A59D0" w:rsidRPr="003A59D0" w:rsidRDefault="003A59D0" w:rsidP="003A59D0">
            <w:pPr>
              <w:jc w:val="both"/>
              <w:rPr>
                <w:rFonts w:ascii="Arial" w:hAnsi="Arial" w:cs="Arial"/>
                <w:sz w:val="20"/>
                <w:szCs w:val="20"/>
              </w:rPr>
            </w:pPr>
            <w:r w:rsidRPr="003A59D0">
              <w:rPr>
                <w:rFonts w:ascii="Arial" w:hAnsi="Arial" w:cs="Arial"/>
                <w:sz w:val="20"/>
                <w:szCs w:val="20"/>
              </w:rPr>
              <w:t>The work</w:t>
            </w:r>
            <w:r w:rsidRPr="003A59D0">
              <w:rPr>
                <w:rFonts w:ascii="Arial" w:hAnsi="Arial" w:cs="Arial"/>
                <w:sz w:val="20"/>
                <w:szCs w:val="20"/>
              </w:rPr>
              <w:t xml:space="preserve"> plan</w:t>
            </w:r>
            <w:r w:rsidRPr="003A59D0">
              <w:rPr>
                <w:rFonts w:ascii="Arial" w:hAnsi="Arial" w:cs="Arial"/>
                <w:sz w:val="20"/>
                <w:szCs w:val="20"/>
              </w:rPr>
              <w:t xml:space="preserve"> for the next quarter is</w:t>
            </w:r>
            <w:r w:rsidRPr="003A59D0">
              <w:rPr>
                <w:rFonts w:ascii="Arial" w:hAnsi="Arial" w:cs="Arial"/>
                <w:sz w:val="20"/>
                <w:szCs w:val="20"/>
              </w:rPr>
              <w:t xml:space="preserve"> to complete Task 2 and focus on Task 3 (MSE abutment testing program)</w:t>
            </w:r>
          </w:p>
          <w:p w:rsidR="003A59D0" w:rsidRPr="003A59D0" w:rsidRDefault="003A59D0" w:rsidP="003A59D0">
            <w:pPr>
              <w:pStyle w:val="ListParagraph"/>
              <w:numPr>
                <w:ilvl w:val="0"/>
                <w:numId w:val="12"/>
              </w:numPr>
              <w:jc w:val="both"/>
              <w:rPr>
                <w:rFonts w:ascii="Arial" w:hAnsi="Arial" w:cs="Arial"/>
                <w:sz w:val="20"/>
                <w:szCs w:val="20"/>
              </w:rPr>
            </w:pPr>
            <w:r w:rsidRPr="003A59D0">
              <w:rPr>
                <w:rFonts w:ascii="Arial" w:hAnsi="Arial" w:cs="Arial"/>
                <w:sz w:val="20"/>
                <w:szCs w:val="20"/>
              </w:rPr>
              <w:t>Finalize the shear strength testing on the sand under different densities (Task 2)</w:t>
            </w:r>
          </w:p>
          <w:p w:rsidR="003A59D0" w:rsidRPr="003A59D0" w:rsidRDefault="003A59D0" w:rsidP="003A59D0">
            <w:pPr>
              <w:pStyle w:val="ListParagraph"/>
              <w:numPr>
                <w:ilvl w:val="0"/>
                <w:numId w:val="12"/>
              </w:numPr>
              <w:jc w:val="both"/>
              <w:rPr>
                <w:rFonts w:ascii="Arial" w:hAnsi="Arial" w:cs="Arial"/>
                <w:sz w:val="20"/>
                <w:szCs w:val="20"/>
              </w:rPr>
            </w:pPr>
            <w:r w:rsidRPr="003A59D0">
              <w:rPr>
                <w:rFonts w:ascii="Arial" w:hAnsi="Arial" w:cs="Arial"/>
                <w:sz w:val="20"/>
                <w:szCs w:val="20"/>
              </w:rPr>
              <w:lastRenderedPageBreak/>
              <w:t xml:space="preserve">Finalize the soil-water retention curves for the sand under different densities. </w:t>
            </w:r>
          </w:p>
          <w:p w:rsidR="003A59D0" w:rsidRPr="003A59D0" w:rsidRDefault="003A59D0" w:rsidP="003A59D0">
            <w:pPr>
              <w:pStyle w:val="ListParagraph"/>
              <w:numPr>
                <w:ilvl w:val="0"/>
                <w:numId w:val="12"/>
              </w:numPr>
              <w:jc w:val="both"/>
              <w:rPr>
                <w:rFonts w:ascii="Arial" w:hAnsi="Arial" w:cs="Arial"/>
                <w:sz w:val="20"/>
                <w:szCs w:val="20"/>
              </w:rPr>
            </w:pPr>
            <w:r w:rsidRPr="003A59D0">
              <w:rPr>
                <w:rFonts w:ascii="Arial" w:hAnsi="Arial" w:cs="Arial"/>
                <w:sz w:val="20"/>
                <w:szCs w:val="20"/>
              </w:rPr>
              <w:t>Perform the tests with increased reinforcement spacing (Test 2) and decreased reinforcement stiffness (Test 3) (Task 3)</w:t>
            </w:r>
          </w:p>
          <w:p w:rsidR="003A59D0" w:rsidRPr="003A59D0" w:rsidRDefault="003A59D0" w:rsidP="003A59D0">
            <w:pPr>
              <w:pStyle w:val="ListParagraph"/>
              <w:numPr>
                <w:ilvl w:val="0"/>
                <w:numId w:val="12"/>
              </w:numPr>
              <w:jc w:val="both"/>
              <w:rPr>
                <w:rFonts w:ascii="Arial" w:hAnsi="Arial" w:cs="Arial"/>
                <w:sz w:val="20"/>
                <w:szCs w:val="20"/>
              </w:rPr>
            </w:pPr>
            <w:r w:rsidRPr="003A59D0">
              <w:rPr>
                <w:rFonts w:ascii="Arial" w:hAnsi="Arial" w:cs="Arial"/>
                <w:sz w:val="20"/>
                <w:szCs w:val="20"/>
              </w:rPr>
              <w:t>Perform preliminary pre-test numerical simulations of Tests 2 and 3 (Task 5)</w:t>
            </w:r>
          </w:p>
          <w:p w:rsidR="003A59D0" w:rsidRPr="003A59D0" w:rsidRDefault="003A59D0" w:rsidP="003A59D0">
            <w:pPr>
              <w:pStyle w:val="ListParagraph"/>
              <w:numPr>
                <w:ilvl w:val="0"/>
                <w:numId w:val="12"/>
              </w:numPr>
              <w:jc w:val="both"/>
              <w:rPr>
                <w:rFonts w:ascii="Arial" w:hAnsi="Arial" w:cs="Arial"/>
                <w:sz w:val="20"/>
                <w:szCs w:val="20"/>
              </w:rPr>
            </w:pPr>
            <w:r w:rsidRPr="003A59D0">
              <w:rPr>
                <w:rFonts w:ascii="Arial" w:hAnsi="Arial" w:cs="Arial"/>
                <w:sz w:val="20"/>
                <w:szCs w:val="20"/>
              </w:rPr>
              <w:t>Prepare preliminary analyses of the data from Tests 4, 7, 2 and 3 (Task 4)</w:t>
            </w:r>
          </w:p>
          <w:p w:rsidR="003A59D0" w:rsidRPr="003A59D0" w:rsidRDefault="003A59D0" w:rsidP="003A59D0">
            <w:pPr>
              <w:pStyle w:val="ListParagraph"/>
              <w:numPr>
                <w:ilvl w:val="0"/>
                <w:numId w:val="10"/>
              </w:numPr>
              <w:jc w:val="both"/>
              <w:rPr>
                <w:rFonts w:ascii="Arial" w:hAnsi="Arial" w:cs="Arial"/>
                <w:sz w:val="20"/>
                <w:szCs w:val="20"/>
              </w:rPr>
            </w:pPr>
            <w:r w:rsidRPr="003A59D0">
              <w:rPr>
                <w:rFonts w:ascii="Arial" w:hAnsi="Arial" w:cs="Arial"/>
                <w:sz w:val="20"/>
                <w:szCs w:val="20"/>
              </w:rPr>
              <w:t xml:space="preserve">Prepare associated test reports on Tests 4, 7 and 2 for review by </w:t>
            </w:r>
            <w:proofErr w:type="spellStart"/>
            <w:r w:rsidRPr="003A59D0">
              <w:rPr>
                <w:rFonts w:ascii="Arial" w:hAnsi="Arial" w:cs="Arial"/>
                <w:sz w:val="20"/>
                <w:szCs w:val="20"/>
              </w:rPr>
              <w:t>CalTrans</w:t>
            </w:r>
            <w:proofErr w:type="spellEnd"/>
            <w:r w:rsidRPr="003A59D0">
              <w:rPr>
                <w:rFonts w:ascii="Arial" w:hAnsi="Arial" w:cs="Arial"/>
                <w:sz w:val="20"/>
                <w:szCs w:val="20"/>
              </w:rPr>
              <w:t xml:space="preserve"> and pooled fund partners (Task 3)</w:t>
            </w:r>
          </w:p>
          <w:p w:rsidR="008634CA" w:rsidRPr="003A59D0" w:rsidRDefault="008634CA" w:rsidP="003A59D0">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C3E9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2"/>
  </w:num>
  <w:num w:numId="5">
    <w:abstractNumId w:val="4"/>
  </w:num>
  <w:num w:numId="6">
    <w:abstractNumId w:val="1"/>
  </w:num>
  <w:num w:numId="7">
    <w:abstractNumId w:val="7"/>
  </w:num>
  <w:num w:numId="8">
    <w:abstractNumId w:val="0"/>
  </w:num>
  <w:num w:numId="9">
    <w:abstractNumId w:val="8"/>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736BB"/>
    <w:rsid w:val="000A24F6"/>
    <w:rsid w:val="000B665A"/>
    <w:rsid w:val="000D3819"/>
    <w:rsid w:val="000E62BB"/>
    <w:rsid w:val="00106C83"/>
    <w:rsid w:val="00120032"/>
    <w:rsid w:val="001547D0"/>
    <w:rsid w:val="00161153"/>
    <w:rsid w:val="001616A1"/>
    <w:rsid w:val="001676A1"/>
    <w:rsid w:val="001871EA"/>
    <w:rsid w:val="001D34DB"/>
    <w:rsid w:val="001F3550"/>
    <w:rsid w:val="0021110F"/>
    <w:rsid w:val="0021446D"/>
    <w:rsid w:val="00221ADC"/>
    <w:rsid w:val="00225DB0"/>
    <w:rsid w:val="00237537"/>
    <w:rsid w:val="00243243"/>
    <w:rsid w:val="00266622"/>
    <w:rsid w:val="002674BA"/>
    <w:rsid w:val="002921E0"/>
    <w:rsid w:val="00293FD8"/>
    <w:rsid w:val="002A79C8"/>
    <w:rsid w:val="002B1249"/>
    <w:rsid w:val="002D024B"/>
    <w:rsid w:val="002E2F53"/>
    <w:rsid w:val="002E3F0E"/>
    <w:rsid w:val="00316FB8"/>
    <w:rsid w:val="0034175F"/>
    <w:rsid w:val="00354255"/>
    <w:rsid w:val="00377D6E"/>
    <w:rsid w:val="0038705A"/>
    <w:rsid w:val="003A2A68"/>
    <w:rsid w:val="003A59D0"/>
    <w:rsid w:val="003C2AE6"/>
    <w:rsid w:val="003D3F1B"/>
    <w:rsid w:val="004144E6"/>
    <w:rsid w:val="004156B2"/>
    <w:rsid w:val="00437734"/>
    <w:rsid w:val="00454CF6"/>
    <w:rsid w:val="00493687"/>
    <w:rsid w:val="004E14DC"/>
    <w:rsid w:val="00535598"/>
    <w:rsid w:val="005439E0"/>
    <w:rsid w:val="00547EE3"/>
    <w:rsid w:val="00551D8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743C01"/>
    <w:rsid w:val="00745FA9"/>
    <w:rsid w:val="00790C4A"/>
    <w:rsid w:val="007E5BD2"/>
    <w:rsid w:val="008341F4"/>
    <w:rsid w:val="00853C7E"/>
    <w:rsid w:val="008634CA"/>
    <w:rsid w:val="00872F18"/>
    <w:rsid w:val="00874EF7"/>
    <w:rsid w:val="0088036F"/>
    <w:rsid w:val="00884A39"/>
    <w:rsid w:val="00892DBB"/>
    <w:rsid w:val="008F6596"/>
    <w:rsid w:val="00905DAC"/>
    <w:rsid w:val="00971895"/>
    <w:rsid w:val="009D3E7C"/>
    <w:rsid w:val="00A43875"/>
    <w:rsid w:val="00A63677"/>
    <w:rsid w:val="00A6549C"/>
    <w:rsid w:val="00AE46B0"/>
    <w:rsid w:val="00B2185C"/>
    <w:rsid w:val="00B358DC"/>
    <w:rsid w:val="00B60EF7"/>
    <w:rsid w:val="00B66A21"/>
    <w:rsid w:val="00B93600"/>
    <w:rsid w:val="00BA0DA8"/>
    <w:rsid w:val="00BC7BBD"/>
    <w:rsid w:val="00BD4D95"/>
    <w:rsid w:val="00BE2C0A"/>
    <w:rsid w:val="00C12A61"/>
    <w:rsid w:val="00C13753"/>
    <w:rsid w:val="00C25055"/>
    <w:rsid w:val="00C43C2C"/>
    <w:rsid w:val="00CE7EF8"/>
    <w:rsid w:val="00D12A61"/>
    <w:rsid w:val="00D2263C"/>
    <w:rsid w:val="00D262FF"/>
    <w:rsid w:val="00D311BC"/>
    <w:rsid w:val="00D42A15"/>
    <w:rsid w:val="00D53DE7"/>
    <w:rsid w:val="00D679D0"/>
    <w:rsid w:val="00DD6B58"/>
    <w:rsid w:val="00DE61B2"/>
    <w:rsid w:val="00E15B55"/>
    <w:rsid w:val="00E35E0F"/>
    <w:rsid w:val="00E371D1"/>
    <w:rsid w:val="00E53738"/>
    <w:rsid w:val="00E70A78"/>
    <w:rsid w:val="00E71359"/>
    <w:rsid w:val="00E8138D"/>
    <w:rsid w:val="00E955E1"/>
    <w:rsid w:val="00EA09F2"/>
    <w:rsid w:val="00ED5F67"/>
    <w:rsid w:val="00EE7F42"/>
    <w:rsid w:val="00EF08AE"/>
    <w:rsid w:val="00EF5790"/>
    <w:rsid w:val="00F04709"/>
    <w:rsid w:val="00F1262A"/>
    <w:rsid w:val="00F30254"/>
    <w:rsid w:val="00F45CE8"/>
    <w:rsid w:val="00F53924"/>
    <w:rsid w:val="00F63AA0"/>
    <w:rsid w:val="00F72D82"/>
    <w:rsid w:val="00F800C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916FED"/>
  <w15:docId w15:val="{B6ACD14E-A9A6-471C-99F8-5109665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CE5BB-8923-4B9A-B6D1-9A350267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5</cp:revision>
  <cp:lastPrinted>2011-06-21T20:32:00Z</cp:lastPrinted>
  <dcterms:created xsi:type="dcterms:W3CDTF">2016-07-28T17:22:00Z</dcterms:created>
  <dcterms:modified xsi:type="dcterms:W3CDTF">2016-07-28T21:45:00Z</dcterms:modified>
</cp:coreProperties>
</file>