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9A4B10">
        <w:rPr>
          <w:rFonts w:ascii="Arial" w:hAnsi="Arial" w:cs="Arial"/>
          <w:sz w:val="24"/>
          <w:szCs w:val="24"/>
        </w:rPr>
        <w:t>Alabama DOT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9A4B10" w:rsidP="0070592F">
            <w:pPr>
              <w:ind w:right="-720"/>
              <w:jc w:val="center"/>
              <w:rPr>
                <w:rFonts w:ascii="Arial" w:hAnsi="Arial" w:cs="Arial"/>
                <w:sz w:val="20"/>
                <w:szCs w:val="20"/>
              </w:rPr>
            </w:pPr>
            <w:r>
              <w:rPr>
                <w:rFonts w:ascii="Arial" w:hAnsi="Arial" w:cs="Arial"/>
                <w:sz w:val="20"/>
                <w:szCs w:val="20"/>
              </w:rPr>
              <w:t>TPF-5(228)</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9A4B10" w:rsidRDefault="009A4B10" w:rsidP="00037FBC">
            <w:pPr>
              <w:ind w:right="-720"/>
              <w:rPr>
                <w:rFonts w:ascii="Arial" w:hAnsi="Arial" w:cs="Arial"/>
                <w:sz w:val="20"/>
                <w:szCs w:val="20"/>
              </w:rPr>
            </w:pPr>
          </w:p>
          <w:p w:rsidR="009A4B10" w:rsidRDefault="003D69D8" w:rsidP="0070592F">
            <w:pPr>
              <w:spacing w:before="120"/>
              <w:ind w:right="-720"/>
              <w:rPr>
                <w:rFonts w:ascii="Arial" w:hAnsi="Arial" w:cs="Arial"/>
                <w:sz w:val="20"/>
                <w:szCs w:val="20"/>
              </w:rPr>
            </w:pPr>
            <w:r>
              <w:rPr>
                <w:rFonts w:ascii="Agency FB" w:hAnsi="Agency FB" w:cs="Arial"/>
                <w:b/>
                <w:sz w:val="20"/>
                <w:szCs w:val="20"/>
              </w:rPr>
              <w:t xml:space="preserve"> </w:t>
            </w:r>
            <w:r w:rsidR="00FB2264">
              <w:rPr>
                <w:rFonts w:ascii="Agency FB" w:hAnsi="Agency FB" w:cs="Arial"/>
                <w:b/>
                <w:sz w:val="20"/>
                <w:szCs w:val="20"/>
              </w:rPr>
              <w:t xml:space="preserve">  </w:t>
            </w:r>
            <w:r w:rsidR="00551D8A">
              <w:rPr>
                <w:rFonts w:ascii="Arial" w:hAnsi="Arial" w:cs="Arial"/>
                <w:sz w:val="20"/>
                <w:szCs w:val="20"/>
              </w:rPr>
              <w:t>Quarter 1 (January 1 – March 31)</w:t>
            </w:r>
            <w:r w:rsidR="001745A9">
              <w:rPr>
                <w:rFonts w:ascii="Arial" w:hAnsi="Arial" w:cs="Arial"/>
                <w:sz w:val="20"/>
                <w:szCs w:val="20"/>
              </w:rPr>
              <w:t xml:space="preserve"> 2016</w:t>
            </w:r>
          </w:p>
          <w:p w:rsidR="009A4B10" w:rsidRDefault="008E7D21" w:rsidP="0070592F">
            <w:pPr>
              <w:spacing w:before="120"/>
              <w:ind w:right="-720"/>
              <w:rPr>
                <w:rFonts w:ascii="Arial" w:hAnsi="Arial" w:cs="Arial"/>
                <w:sz w:val="20"/>
                <w:szCs w:val="20"/>
              </w:rPr>
            </w:pPr>
            <w:r>
              <w:rPr>
                <w:rFonts w:ascii="Arial" w:hAnsi="Arial" w:cs="Arial"/>
                <w:b/>
                <w:sz w:val="20"/>
                <w:szCs w:val="20"/>
              </w:rPr>
              <w:t xml:space="preserve"> </w:t>
            </w:r>
            <w:r w:rsidR="00FB2264">
              <w:rPr>
                <w:rFonts w:ascii="Arial" w:hAnsi="Arial" w:cs="Arial"/>
                <w:b/>
                <w:sz w:val="20"/>
                <w:szCs w:val="20"/>
              </w:rPr>
              <w:t>√</w:t>
            </w:r>
            <w:r w:rsidR="00DD62F8">
              <w:rPr>
                <w:rFonts w:ascii="Arial" w:hAnsi="Arial" w:cs="Arial"/>
                <w:b/>
                <w:sz w:val="20"/>
                <w:szCs w:val="20"/>
              </w:rPr>
              <w:t xml:space="preserve"> </w:t>
            </w:r>
            <w:r w:rsidR="00551D8A">
              <w:rPr>
                <w:rFonts w:ascii="Arial" w:hAnsi="Arial" w:cs="Arial"/>
                <w:sz w:val="20"/>
                <w:szCs w:val="20"/>
              </w:rPr>
              <w:t>Quarter 2 (April 1 – June 30)</w:t>
            </w:r>
            <w:r w:rsidR="001745A9">
              <w:rPr>
                <w:rFonts w:ascii="Arial" w:hAnsi="Arial" w:cs="Arial"/>
                <w:sz w:val="20"/>
                <w:szCs w:val="20"/>
              </w:rPr>
              <w:t xml:space="preserve"> </w:t>
            </w:r>
          </w:p>
          <w:p w:rsidR="009A4B10" w:rsidRDefault="00DD62F8" w:rsidP="0070592F">
            <w:pPr>
              <w:spacing w:before="120"/>
              <w:ind w:right="-720"/>
              <w:rPr>
                <w:rFonts w:ascii="Arial" w:hAnsi="Arial" w:cs="Arial"/>
                <w:sz w:val="20"/>
                <w:szCs w:val="20"/>
              </w:rPr>
            </w:pPr>
            <w:r>
              <w:rPr>
                <w:rFonts w:ascii="Agency FB" w:hAnsi="Agency FB" w:cs="Arial"/>
                <w:b/>
                <w:sz w:val="20"/>
                <w:szCs w:val="20"/>
              </w:rPr>
              <w:t xml:space="preserve"> </w:t>
            </w:r>
            <w:r w:rsidR="003B5E96">
              <w:rPr>
                <w:rFonts w:ascii="Malgun Gothic" w:eastAsia="Malgun Gothic" w:hAnsi="Malgun Gothic" w:cs="Arial" w:hint="eastAsia"/>
                <w:b/>
                <w:sz w:val="20"/>
                <w:szCs w:val="20"/>
              </w:rPr>
              <w:t xml:space="preserve">  </w:t>
            </w:r>
            <w:r w:rsidR="00551D8A">
              <w:rPr>
                <w:rFonts w:ascii="Arial" w:hAnsi="Arial" w:cs="Arial"/>
                <w:sz w:val="20"/>
                <w:szCs w:val="20"/>
              </w:rPr>
              <w:t>Quarter 3 (July 1 – September 30)</w:t>
            </w:r>
          </w:p>
          <w:p w:rsidR="00551D8A" w:rsidRPr="00551D8A" w:rsidRDefault="008C3C6D" w:rsidP="008C3C6D">
            <w:pPr>
              <w:spacing w:before="120"/>
              <w:ind w:right="-720"/>
              <w:rPr>
                <w:rFonts w:ascii="Arial" w:hAnsi="Arial" w:cs="Arial"/>
                <w:sz w:val="20"/>
                <w:szCs w:val="20"/>
              </w:rPr>
            </w:pPr>
            <w:r>
              <w:rPr>
                <w:rFonts w:ascii="Arial" w:hAnsi="Arial" w:cs="Arial"/>
                <w:sz w:val="20"/>
                <w:szCs w:val="20"/>
              </w:rPr>
              <w:t xml:space="preserve"> </w:t>
            </w:r>
            <w:r w:rsidR="003B5E96">
              <w:rPr>
                <w:rFonts w:ascii="Arial" w:hAnsi="Arial" w:cs="Arial"/>
                <w:sz w:val="20"/>
                <w:szCs w:val="20"/>
              </w:rPr>
              <w:t xml:space="preserve"> </w:t>
            </w:r>
            <w:r w:rsidR="001745A9">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A4B10" w:rsidRDefault="009A4B10" w:rsidP="009A4B10">
            <w:pPr>
              <w:ind w:right="-720"/>
              <w:jc w:val="center"/>
              <w:rPr>
                <w:rFonts w:ascii="Arial" w:hAnsi="Arial" w:cs="Arial"/>
                <w:sz w:val="20"/>
                <w:szCs w:val="20"/>
              </w:rPr>
            </w:pPr>
            <w:r w:rsidRPr="009A4B10">
              <w:rPr>
                <w:rFonts w:ascii="Arial" w:hAnsi="Arial" w:cs="Arial"/>
                <w:sz w:val="20"/>
                <w:szCs w:val="20"/>
              </w:rPr>
              <w:t>Superpave Regional Center, Southeastern Region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Don Watson and Randy West</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(334) 844-7306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A4B10" w:rsidP="0070592F">
            <w:pPr>
              <w:spacing w:before="120"/>
              <w:ind w:right="-720"/>
              <w:rPr>
                <w:rFonts w:ascii="Arial" w:hAnsi="Arial" w:cs="Arial"/>
                <w:sz w:val="20"/>
                <w:szCs w:val="20"/>
              </w:rPr>
            </w:pPr>
            <w:r>
              <w:rPr>
                <w:rFonts w:ascii="Arial" w:hAnsi="Arial" w:cs="Arial"/>
                <w:sz w:val="20"/>
                <w:szCs w:val="20"/>
              </w:rPr>
              <w:t>watsode@auburn.edu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ALDOT Research Project No. 930-763P</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224574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0592F" w:rsidP="0070592F">
            <w:pPr>
              <w:spacing w:before="120"/>
              <w:ind w:right="-720"/>
              <w:rPr>
                <w:rFonts w:ascii="Arial" w:hAnsi="Arial" w:cs="Arial"/>
                <w:sz w:val="20"/>
                <w:szCs w:val="20"/>
              </w:rPr>
            </w:pPr>
            <w:r>
              <w:rPr>
                <w:rFonts w:ascii="Arial" w:hAnsi="Arial" w:cs="Arial"/>
                <w:sz w:val="20"/>
                <w:szCs w:val="20"/>
              </w:rPr>
              <w:t>April 28, 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70592F" w:rsidRPr="0070592F" w:rsidRDefault="00FB3705" w:rsidP="0070592F">
            <w:pPr>
              <w:spacing w:before="120"/>
              <w:ind w:right="-720"/>
              <w:rPr>
                <w:rFonts w:ascii="Arial" w:hAnsi="Arial" w:cs="Arial"/>
                <w:sz w:val="20"/>
                <w:szCs w:val="20"/>
              </w:rPr>
            </w:pPr>
            <w:r>
              <w:rPr>
                <w:rFonts w:ascii="Arial" w:hAnsi="Arial" w:cs="Arial"/>
                <w:sz w:val="20"/>
                <w:szCs w:val="20"/>
              </w:rPr>
              <w:t>September 30, 2017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FB3705" w:rsidP="0003476C">
            <w:pPr>
              <w:ind w:right="-720"/>
              <w:rPr>
                <w:rFonts w:ascii="Arial" w:hAnsi="Arial" w:cs="Arial"/>
                <w:sz w:val="20"/>
                <w:szCs w:val="20"/>
              </w:rPr>
            </w:pPr>
            <w:r>
              <w:rPr>
                <w:rFonts w:ascii="Arial" w:hAnsi="Arial" w:cs="Arial"/>
                <w:sz w:val="20"/>
                <w:szCs w:val="20"/>
              </w:rPr>
              <w:t>3</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8D1AB6">
        <w:rPr>
          <w:rFonts w:ascii="Arial" w:hAnsi="Arial" w:cs="Arial"/>
          <w:sz w:val="36"/>
          <w:szCs w:val="36"/>
        </w:rPr>
        <w:t xml:space="preserve">  </w:t>
      </w:r>
      <w:r w:rsidRPr="00B66A21">
        <w:rPr>
          <w:rFonts w:ascii="Arial" w:hAnsi="Arial" w:cs="Arial"/>
          <w:sz w:val="36"/>
          <w:szCs w:val="36"/>
        </w:rPr>
        <w:t xml:space="preserve"> </w:t>
      </w:r>
      <w:r w:rsidR="008D1AB6">
        <w:rPr>
          <w:rFonts w:ascii="Arial" w:hAnsi="Arial" w:cs="Arial"/>
          <w:sz w:val="36"/>
          <w:szCs w:val="36"/>
        </w:rPr>
        <w:t xml:space="preserve">   </w:t>
      </w:r>
      <w:r w:rsidR="00623334">
        <w:rPr>
          <w:rFonts w:ascii="Agency FB" w:hAnsi="Agency FB" w:cs="Arial"/>
          <w:sz w:val="36"/>
          <w:szCs w:val="36"/>
        </w:rPr>
        <w:t>√</w:t>
      </w:r>
      <w:r w:rsidR="008D1AB6">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D62F8" w:rsidP="00A33242">
            <w:pPr>
              <w:spacing w:before="120"/>
              <w:ind w:right="-720"/>
              <w:jc w:val="center"/>
              <w:rPr>
                <w:rFonts w:ascii="Arial" w:hAnsi="Arial" w:cs="Arial"/>
                <w:sz w:val="20"/>
                <w:szCs w:val="20"/>
              </w:rPr>
            </w:pPr>
            <w:r>
              <w:rPr>
                <w:rFonts w:ascii="Arial" w:hAnsi="Arial" w:cs="Arial"/>
                <w:sz w:val="20"/>
                <w:szCs w:val="20"/>
              </w:rPr>
              <w:t>$1,550</w:t>
            </w:r>
            <w:r w:rsidR="008C3C6D">
              <w:rPr>
                <w:rFonts w:ascii="Arial" w:hAnsi="Arial" w:cs="Arial"/>
                <w:sz w:val="20"/>
                <w:szCs w:val="20"/>
              </w:rPr>
              <w:t>,353</w:t>
            </w:r>
            <w:r w:rsidR="00642352">
              <w:rPr>
                <w:rFonts w:ascii="Arial" w:hAnsi="Arial" w:cs="Arial"/>
                <w:sz w:val="20"/>
                <w:szCs w:val="20"/>
              </w:rPr>
              <w:t xml:space="preserve"> </w:t>
            </w:r>
          </w:p>
        </w:tc>
        <w:tc>
          <w:tcPr>
            <w:tcW w:w="3330" w:type="dxa"/>
          </w:tcPr>
          <w:p w:rsidR="00874EF7" w:rsidRPr="00B66A21" w:rsidRDefault="008C3C6D" w:rsidP="00BA0AF7">
            <w:pPr>
              <w:spacing w:before="120"/>
              <w:ind w:right="-720"/>
              <w:jc w:val="center"/>
              <w:rPr>
                <w:rFonts w:ascii="Arial" w:hAnsi="Arial" w:cs="Arial"/>
                <w:sz w:val="20"/>
                <w:szCs w:val="20"/>
              </w:rPr>
            </w:pPr>
            <w:r>
              <w:rPr>
                <w:rFonts w:ascii="Arial" w:hAnsi="Arial" w:cs="Arial"/>
                <w:sz w:val="20"/>
                <w:szCs w:val="20"/>
              </w:rPr>
              <w:t>$</w:t>
            </w:r>
            <w:r w:rsidR="004B25F8">
              <w:rPr>
                <w:rFonts w:ascii="Arial" w:hAnsi="Arial" w:cs="Arial"/>
                <w:sz w:val="20"/>
                <w:szCs w:val="20"/>
              </w:rPr>
              <w:t>1,150,414</w:t>
            </w:r>
          </w:p>
        </w:tc>
        <w:tc>
          <w:tcPr>
            <w:tcW w:w="3420" w:type="dxa"/>
          </w:tcPr>
          <w:p w:rsidR="00874EF7" w:rsidRDefault="002E7F24" w:rsidP="008D1AB6">
            <w:pPr>
              <w:spacing w:before="120"/>
              <w:ind w:right="-720"/>
              <w:jc w:val="center"/>
              <w:rPr>
                <w:rFonts w:ascii="Arial" w:hAnsi="Arial" w:cs="Arial"/>
                <w:sz w:val="20"/>
                <w:szCs w:val="20"/>
              </w:rPr>
            </w:pPr>
            <w:r>
              <w:rPr>
                <w:rFonts w:ascii="Arial" w:hAnsi="Arial" w:cs="Arial"/>
                <w:sz w:val="20"/>
                <w:szCs w:val="20"/>
              </w:rPr>
              <w:t>7</w:t>
            </w:r>
            <w:r w:rsidR="00FB2264">
              <w:rPr>
                <w:rFonts w:ascii="Arial" w:hAnsi="Arial" w:cs="Arial"/>
                <w:sz w:val="20"/>
                <w:szCs w:val="20"/>
              </w:rPr>
              <w:t>4</w:t>
            </w:r>
          </w:p>
          <w:p w:rsidR="008D1AB6" w:rsidRPr="00B66A21" w:rsidRDefault="008D1AB6" w:rsidP="008D1AB6">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B25F8">
        <w:rPr>
          <w:rFonts w:ascii="Arial" w:hAnsi="Arial" w:cs="Arial"/>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w:t>
            </w:r>
            <w:r w:rsidR="003413CE">
              <w:rPr>
                <w:rFonts w:ascii="Arial" w:hAnsi="Arial" w:cs="Arial"/>
                <w:b/>
                <w:sz w:val="20"/>
                <w:szCs w:val="20"/>
              </w:rPr>
              <w:t xml:space="preserve"> as of</w:t>
            </w:r>
            <w:r w:rsidR="00547EE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8E7D21" w:rsidP="001745A9">
            <w:pPr>
              <w:spacing w:before="120"/>
              <w:ind w:right="-720"/>
              <w:jc w:val="center"/>
              <w:rPr>
                <w:rFonts w:ascii="Arial" w:hAnsi="Arial" w:cs="Arial"/>
                <w:sz w:val="20"/>
                <w:szCs w:val="20"/>
              </w:rPr>
            </w:pPr>
            <w:r>
              <w:rPr>
                <w:rFonts w:ascii="Arial" w:hAnsi="Arial" w:cs="Arial"/>
                <w:sz w:val="20"/>
                <w:szCs w:val="20"/>
              </w:rPr>
              <w:t>$</w:t>
            </w:r>
            <w:r w:rsidR="004B25F8">
              <w:rPr>
                <w:rFonts w:ascii="Arial" w:hAnsi="Arial" w:cs="Arial"/>
                <w:sz w:val="20"/>
                <w:szCs w:val="20"/>
              </w:rPr>
              <w:t>1,150,414 (74</w:t>
            </w:r>
            <w:r w:rsidR="00014344">
              <w:rPr>
                <w:rFonts w:ascii="Arial" w:hAnsi="Arial" w:cs="Arial"/>
                <w:sz w:val="20"/>
                <w:szCs w:val="20"/>
              </w:rPr>
              <w:t>% of budget)</w:t>
            </w:r>
          </w:p>
        </w:tc>
        <w:tc>
          <w:tcPr>
            <w:tcW w:w="3330" w:type="dxa"/>
          </w:tcPr>
          <w:p w:rsidR="00B66A21" w:rsidRPr="00B66A21" w:rsidRDefault="00D838A4" w:rsidP="00B81259">
            <w:pPr>
              <w:spacing w:before="120"/>
              <w:ind w:right="-720"/>
              <w:jc w:val="center"/>
              <w:rPr>
                <w:rFonts w:ascii="Arial" w:hAnsi="Arial" w:cs="Arial"/>
                <w:sz w:val="20"/>
                <w:szCs w:val="20"/>
              </w:rPr>
            </w:pPr>
            <w:r>
              <w:rPr>
                <w:rFonts w:ascii="Arial" w:hAnsi="Arial" w:cs="Arial"/>
                <w:sz w:val="20"/>
                <w:szCs w:val="20"/>
              </w:rPr>
              <w:t>$</w:t>
            </w:r>
            <w:r w:rsidR="004B25F8">
              <w:rPr>
                <w:rFonts w:ascii="Arial" w:hAnsi="Arial" w:cs="Arial"/>
                <w:sz w:val="20"/>
                <w:szCs w:val="20"/>
              </w:rPr>
              <w:t>24373</w:t>
            </w:r>
          </w:p>
        </w:tc>
        <w:tc>
          <w:tcPr>
            <w:tcW w:w="3420" w:type="dxa"/>
          </w:tcPr>
          <w:p w:rsidR="00B66A21" w:rsidRDefault="00B81259" w:rsidP="00014344">
            <w:pPr>
              <w:spacing w:before="120"/>
              <w:ind w:right="-720"/>
              <w:jc w:val="center"/>
              <w:rPr>
                <w:rFonts w:ascii="Arial" w:hAnsi="Arial" w:cs="Arial"/>
                <w:sz w:val="20"/>
                <w:szCs w:val="20"/>
              </w:rPr>
            </w:pPr>
            <w:r>
              <w:rPr>
                <w:rFonts w:ascii="Arial" w:hAnsi="Arial" w:cs="Arial"/>
                <w:sz w:val="20"/>
                <w:szCs w:val="20"/>
              </w:rPr>
              <w:t>7</w:t>
            </w:r>
            <w:r w:rsidR="00FB2264">
              <w:rPr>
                <w:rFonts w:ascii="Arial" w:hAnsi="Arial" w:cs="Arial"/>
                <w:sz w:val="20"/>
                <w:szCs w:val="20"/>
              </w:rPr>
              <w:t>5</w:t>
            </w:r>
          </w:p>
          <w:p w:rsidR="008D1AB6" w:rsidRPr="00B66A21" w:rsidRDefault="008D1AB6" w:rsidP="00014344">
            <w:pPr>
              <w:ind w:right="-720"/>
              <w:jc w:val="cente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8A7FB0" w:rsidRDefault="008A7FB0" w:rsidP="008A7FB0">
            <w:r w:rsidRPr="00E608EB">
              <w:t xml:space="preserve">The Southeastern Superpave Center </w:t>
            </w:r>
            <w:r>
              <w:t>has been</w:t>
            </w:r>
            <w:r w:rsidRPr="00E608EB">
              <w:t xml:space="preserve"> supported by </w:t>
            </w:r>
            <w:r>
              <w:t>state</w:t>
            </w:r>
            <w:r w:rsidRPr="00E608EB">
              <w:t xml:space="preserve"> agencies through a pooled-fund project </w:t>
            </w:r>
            <w:r>
              <w:t xml:space="preserve">that has </w:t>
            </w:r>
            <w:r w:rsidRPr="00E608EB">
              <w:t xml:space="preserve">been largely used to provide training, verify ruggedness of equipment, check equipment calibrations, provide materials research, and aid in keeping agency personnel abreast of changes in asphalt technology. In order to continue the efforts in training, technology transfer, and </w:t>
            </w:r>
            <w:r>
              <w:t>implementable</w:t>
            </w:r>
            <w:r w:rsidRPr="00E608EB">
              <w:t xml:space="preserve"> research, it is essential that the pooled-fund effort be continued. </w:t>
            </w:r>
          </w:p>
          <w:p w:rsidR="008A7FB0" w:rsidRDefault="008A7FB0" w:rsidP="008A7FB0"/>
          <w:p w:rsidR="008A7FB0" w:rsidRPr="00046643" w:rsidRDefault="008A7FB0" w:rsidP="008A7FB0">
            <w:pPr>
              <w:rPr>
                <w:i/>
              </w:rPr>
            </w:pPr>
            <w:r w:rsidRPr="00046643">
              <w:rPr>
                <w:b/>
                <w:i/>
              </w:rPr>
              <w:t>NOTE:</w:t>
            </w:r>
            <w:r>
              <w:t xml:space="preserve"> </w:t>
            </w:r>
            <w:r w:rsidRPr="00046643">
              <w:rPr>
                <w:i/>
              </w:rPr>
              <w:t>This pooled-fund</w:t>
            </w:r>
            <w:r>
              <w:rPr>
                <w:i/>
              </w:rPr>
              <w:t xml:space="preserve"> project</w:t>
            </w:r>
            <w:r w:rsidRPr="00046643">
              <w:rPr>
                <w:i/>
              </w:rPr>
              <w:t xml:space="preserve"> is not limited to states located in the southeast. Agencies throughout the country are invited to participate and take advantage of the research and training opportunities provided by the Southeastern Superpave Center.</w:t>
            </w:r>
          </w:p>
          <w:p w:rsidR="008A7FB0" w:rsidRPr="00E608EB" w:rsidRDefault="008A7FB0" w:rsidP="008A7FB0"/>
          <w:p w:rsidR="008A7FB0" w:rsidRPr="00E608EB" w:rsidRDefault="008A7FB0" w:rsidP="008A7FB0">
            <w:pPr>
              <w:rPr>
                <w:b/>
              </w:rPr>
            </w:pPr>
            <w:r w:rsidRPr="00E608EB">
              <w:rPr>
                <w:b/>
              </w:rPr>
              <w:t>OBJECTIVES</w:t>
            </w:r>
          </w:p>
          <w:p w:rsidR="008A7FB0" w:rsidRPr="00E608EB" w:rsidRDefault="008A7FB0" w:rsidP="008A7FB0">
            <w:pPr>
              <w:rPr>
                <w:b/>
              </w:rPr>
            </w:pPr>
          </w:p>
          <w:p w:rsidR="008A7FB0" w:rsidRDefault="008A7FB0" w:rsidP="008A7FB0">
            <w:r>
              <w:t>Several short-term and long-term objectives of the Southeastern Superpave Center are listed below. Several objectives deal with evaluating recently-developed performance test equipment and conducting research to address materials and tests issues. Objectives of the Center are:</w:t>
            </w:r>
          </w:p>
          <w:p w:rsidR="008A7FB0" w:rsidRDefault="008A7FB0" w:rsidP="008A7FB0">
            <w:pPr>
              <w:numPr>
                <w:ilvl w:val="0"/>
                <w:numId w:val="1"/>
              </w:numPr>
              <w:spacing w:before="120"/>
            </w:pPr>
            <w:r>
              <w:t>Conduct training in regard to Superpave binders, mix design, and performance testing. Provide training on special topics as requested by participating agencies at their on-site locations.</w:t>
            </w:r>
          </w:p>
          <w:p w:rsidR="008A7FB0" w:rsidRDefault="008A7FB0" w:rsidP="008A7FB0">
            <w:pPr>
              <w:numPr>
                <w:ilvl w:val="0"/>
                <w:numId w:val="1"/>
              </w:numPr>
              <w:spacing w:before="120"/>
            </w:pPr>
            <w:r>
              <w:t>Perform research, both cooperatively and agency-specific, sponsored by members of the pooled-fund.</w:t>
            </w:r>
          </w:p>
          <w:p w:rsidR="008A7FB0" w:rsidRDefault="008A7FB0" w:rsidP="008A7FB0">
            <w:pPr>
              <w:numPr>
                <w:ilvl w:val="0"/>
                <w:numId w:val="1"/>
              </w:numPr>
              <w:spacing w:before="120"/>
            </w:pPr>
            <w:r>
              <w:t>Perform precision and bias testing for asphalt-related performance test equipment.</w:t>
            </w:r>
          </w:p>
          <w:p w:rsidR="008A7FB0" w:rsidRDefault="008A7FB0" w:rsidP="008A7FB0">
            <w:pPr>
              <w:numPr>
                <w:ilvl w:val="0"/>
                <w:numId w:val="1"/>
              </w:numPr>
              <w:spacing w:before="120"/>
            </w:pPr>
            <w:r>
              <w:t>Conduct noise studies in an effort to develop quieter pavements.</w:t>
            </w:r>
          </w:p>
          <w:p w:rsidR="008A7FB0" w:rsidRDefault="008A7FB0" w:rsidP="008A7FB0">
            <w:pPr>
              <w:numPr>
                <w:ilvl w:val="0"/>
                <w:numId w:val="1"/>
              </w:numPr>
              <w:spacing w:before="120"/>
            </w:pPr>
            <w:r>
              <w:t>Perform forensic evaluations on materials or projects that have experienced premature distress.</w:t>
            </w:r>
          </w:p>
          <w:p w:rsidR="008A7FB0" w:rsidRDefault="008A7FB0" w:rsidP="008A7FB0">
            <w:pPr>
              <w:numPr>
                <w:ilvl w:val="0"/>
                <w:numId w:val="1"/>
              </w:numPr>
              <w:spacing w:before="120"/>
            </w:pPr>
            <w:r>
              <w:t xml:space="preserve">Prepare research articles of regional and national interest.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1088" w:type="dxa"/>
        <w:tblInd w:w="-720" w:type="dxa"/>
        <w:tblLayout w:type="fixed"/>
        <w:tblLook w:val="04A0" w:firstRow="1" w:lastRow="0" w:firstColumn="1" w:lastColumn="0" w:noHBand="0" w:noVBand="1"/>
      </w:tblPr>
      <w:tblGrid>
        <w:gridCol w:w="11088"/>
      </w:tblGrid>
      <w:tr w:rsidR="00601EBD" w:rsidTr="0098234D">
        <w:tc>
          <w:tcPr>
            <w:tcW w:w="11088" w:type="dxa"/>
            <w:tcBorders>
              <w:bottom w:val="single" w:sz="4" w:space="0" w:color="auto"/>
            </w:tcBorders>
          </w:tcPr>
          <w:p w:rsidR="00E35E0F" w:rsidRDefault="00E54459" w:rsidP="00551D8A">
            <w:pPr>
              <w:ind w:right="-720"/>
              <w:rPr>
                <w:rFonts w:ascii="Arial" w:hAnsi="Arial" w:cs="Arial"/>
                <w:b/>
                <w:sz w:val="20"/>
                <w:szCs w:val="20"/>
              </w:rPr>
            </w:pPr>
            <w:r>
              <w:br w:type="page"/>
            </w: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2B45C9" w:rsidRDefault="002B45C9" w:rsidP="00551D8A">
            <w:pPr>
              <w:ind w:right="-720"/>
              <w:rPr>
                <w:rFonts w:ascii="Arial" w:hAnsi="Arial" w:cs="Arial"/>
                <w:b/>
                <w:sz w:val="20"/>
                <w:szCs w:val="20"/>
              </w:rPr>
            </w:pPr>
          </w:p>
          <w:p w:rsidR="00F90F97" w:rsidRDefault="00F90F97" w:rsidP="00F601D5">
            <w:pPr>
              <w:autoSpaceDE w:val="0"/>
              <w:autoSpaceDN w:val="0"/>
              <w:adjustRightInd w:val="0"/>
              <w:rPr>
                <w:rFonts w:cs="Times New Roman"/>
              </w:rPr>
            </w:pPr>
            <w:r>
              <w:rPr>
                <w:rFonts w:cs="Times New Roman"/>
                <w:b/>
              </w:rPr>
              <w:t>ASPHALT REJUVENATORS</w:t>
            </w:r>
          </w:p>
          <w:p w:rsidR="00F90F97" w:rsidRPr="00F90F97" w:rsidRDefault="00B81259" w:rsidP="00F601D5">
            <w:pPr>
              <w:autoSpaceDE w:val="0"/>
              <w:autoSpaceDN w:val="0"/>
              <w:adjustRightInd w:val="0"/>
              <w:rPr>
                <w:rFonts w:cs="Times New Roman"/>
              </w:rPr>
            </w:pPr>
            <w:r>
              <w:rPr>
                <w:rFonts w:cs="Times New Roman"/>
              </w:rPr>
              <w:t>ALDOT sponsored</w:t>
            </w:r>
            <w:r w:rsidR="00F90F97">
              <w:rPr>
                <w:rFonts w:cs="Times New Roman"/>
              </w:rPr>
              <w:t xml:space="preserve"> research to evaluate the effectiveness of various asphalt rejuvenators/sealers in extending the durability of binders for OGFC applications.</w:t>
            </w:r>
            <w:r w:rsidR="002E7F24">
              <w:rPr>
                <w:rFonts w:cs="Times New Roman"/>
              </w:rPr>
              <w:t xml:space="preserve"> T</w:t>
            </w:r>
            <w:r>
              <w:rPr>
                <w:rFonts w:cs="Times New Roman"/>
              </w:rPr>
              <w:t>est results from t</w:t>
            </w:r>
            <w:r w:rsidR="002E7F24">
              <w:rPr>
                <w:rFonts w:cs="Times New Roman"/>
              </w:rPr>
              <w:t xml:space="preserve">wo rejuvenators </w:t>
            </w:r>
            <w:r>
              <w:rPr>
                <w:rFonts w:cs="Times New Roman"/>
              </w:rPr>
              <w:t>were</w:t>
            </w:r>
            <w:r w:rsidR="002E7F24">
              <w:rPr>
                <w:rFonts w:cs="Times New Roman"/>
              </w:rPr>
              <w:t xml:space="preserve"> compared to laboratory performance of a control mix. The work </w:t>
            </w:r>
            <w:r w:rsidR="00FB2264">
              <w:rPr>
                <w:rFonts w:cs="Times New Roman"/>
              </w:rPr>
              <w:t>has been completed and a draft final report has been prepared.</w:t>
            </w:r>
          </w:p>
          <w:p w:rsidR="00F50A15" w:rsidRDefault="00F50A15" w:rsidP="00F601D5">
            <w:pPr>
              <w:autoSpaceDE w:val="0"/>
              <w:autoSpaceDN w:val="0"/>
              <w:adjustRightInd w:val="0"/>
              <w:rPr>
                <w:rFonts w:cs="Times New Roman"/>
              </w:rPr>
            </w:pPr>
          </w:p>
          <w:p w:rsidR="0021489A" w:rsidRDefault="003B5E96" w:rsidP="008A7FB0">
            <w:pPr>
              <w:tabs>
                <w:tab w:val="left" w:pos="3330"/>
                <w:tab w:val="left" w:pos="3960"/>
              </w:tabs>
              <w:jc w:val="both"/>
              <w:rPr>
                <w:rFonts w:cstheme="minorHAnsi"/>
                <w:b/>
              </w:rPr>
            </w:pPr>
            <w:r>
              <w:rPr>
                <w:rFonts w:cstheme="minorHAnsi"/>
                <w:b/>
              </w:rPr>
              <w:t>SMA FLAT AND ELONGATED AGGREGATE STUDY</w:t>
            </w:r>
          </w:p>
          <w:p w:rsidR="001F05B1" w:rsidRDefault="001D28CF" w:rsidP="008A7FB0">
            <w:pPr>
              <w:tabs>
                <w:tab w:val="left" w:pos="3330"/>
                <w:tab w:val="left" w:pos="3960"/>
              </w:tabs>
              <w:jc w:val="both"/>
              <w:rPr>
                <w:rFonts w:cstheme="minorHAnsi"/>
              </w:rPr>
            </w:pPr>
            <w:r>
              <w:rPr>
                <w:rFonts w:cstheme="minorHAnsi"/>
              </w:rPr>
              <w:t>Work is well underway for</w:t>
            </w:r>
            <w:r w:rsidR="001F05B1">
              <w:rPr>
                <w:rFonts w:cstheme="minorHAnsi"/>
              </w:rPr>
              <w:t xml:space="preserve"> the </w:t>
            </w:r>
            <w:r>
              <w:rPr>
                <w:rFonts w:cstheme="minorHAnsi"/>
              </w:rPr>
              <w:t xml:space="preserve">GDOT </w:t>
            </w:r>
            <w:r w:rsidR="001F05B1">
              <w:rPr>
                <w:rFonts w:cstheme="minorHAnsi"/>
              </w:rPr>
              <w:t>F &amp; E study for SMA mixes.</w:t>
            </w:r>
            <w:r>
              <w:rPr>
                <w:rFonts w:cstheme="minorHAnsi"/>
              </w:rPr>
              <w:t xml:space="preserve"> Mix designs have been prepared for 8 mixes including sources that do not provide stone within the current specification of a maximum of 20% F &amp; E at a 3:1 ratio.</w:t>
            </w:r>
            <w:r w:rsidR="00D46921">
              <w:rPr>
                <w:rFonts w:cstheme="minorHAnsi"/>
              </w:rPr>
              <w:t xml:space="preserve"> Due to a shortage of fly ash, the research is also looking at the effect on performance when other mineral filler sources are used. It has been found that the 5:1 ratio is not very discriminating and that most materials can easily meet that requirement. A comparison of flat and elongated particles from one source found that only 6.2% failed the 5:1 ratio while 43.6% by mass failed the 3:1 ratio used for SMA stone.</w:t>
            </w:r>
          </w:p>
          <w:p w:rsidR="00B15545" w:rsidRDefault="00B15545" w:rsidP="008A7FB0">
            <w:pPr>
              <w:tabs>
                <w:tab w:val="left" w:pos="3330"/>
                <w:tab w:val="left" w:pos="3960"/>
              </w:tabs>
              <w:jc w:val="both"/>
              <w:rPr>
                <w:rFonts w:cstheme="minorHAnsi"/>
              </w:rPr>
            </w:pPr>
          </w:p>
          <w:p w:rsidR="00B15545" w:rsidRPr="001F05B1" w:rsidRDefault="00B15545" w:rsidP="008A7FB0">
            <w:pPr>
              <w:tabs>
                <w:tab w:val="left" w:pos="3330"/>
                <w:tab w:val="left" w:pos="3960"/>
              </w:tabs>
              <w:jc w:val="both"/>
              <w:rPr>
                <w:rFonts w:cstheme="minorHAnsi"/>
              </w:rPr>
            </w:pPr>
            <w:r>
              <w:rPr>
                <w:rFonts w:cstheme="minorHAnsi"/>
              </w:rPr>
              <w:t xml:space="preserve">Mix designs have been </w:t>
            </w:r>
            <w:r w:rsidR="00FB2264">
              <w:rPr>
                <w:rFonts w:cstheme="minorHAnsi"/>
              </w:rPr>
              <w:t>completed</w:t>
            </w:r>
            <w:r>
              <w:rPr>
                <w:rFonts w:cstheme="minorHAnsi"/>
              </w:rPr>
              <w:t xml:space="preserve"> using the 50-blow Marshall method. However, samples have been prepared at optimum asphalt content and compacted with a gyratory compactor in order to identify the locking point of aggregate structure and determine the rate of densification. </w:t>
            </w:r>
            <w:r w:rsidR="00FB2264">
              <w:rPr>
                <w:rFonts w:cstheme="minorHAnsi"/>
              </w:rPr>
              <w:t>T</w:t>
            </w:r>
            <w:r>
              <w:rPr>
                <w:rFonts w:cstheme="minorHAnsi"/>
              </w:rPr>
              <w:t>he aggregate structure</w:t>
            </w:r>
            <w:r w:rsidR="00FB2264">
              <w:rPr>
                <w:rFonts w:cstheme="minorHAnsi"/>
              </w:rPr>
              <w:t xml:space="preserve"> for 5 of the 6 mixes</w:t>
            </w:r>
            <w:r>
              <w:rPr>
                <w:rFonts w:cstheme="minorHAnsi"/>
              </w:rPr>
              <w:t xml:space="preserve"> began to lock up at an average of 67 gyrations</w:t>
            </w:r>
            <w:r w:rsidR="00FB2264">
              <w:rPr>
                <w:rFonts w:cstheme="minorHAnsi"/>
              </w:rPr>
              <w:t>. F</w:t>
            </w:r>
            <w:r w:rsidR="006B03C1">
              <w:rPr>
                <w:rFonts w:cstheme="minorHAnsi"/>
              </w:rPr>
              <w:t>or the limited tests thus far, it appears the locking point and 96% Gmm occur at about the same level of gyration</w:t>
            </w:r>
            <w:r w:rsidR="00FB2264">
              <w:rPr>
                <w:rFonts w:cstheme="minorHAnsi"/>
              </w:rPr>
              <w:t xml:space="preserve">. </w:t>
            </w:r>
            <w:r w:rsidR="00FB2264">
              <w:rPr>
                <w:rFonts w:cstheme="minorHAnsi"/>
              </w:rPr>
              <w:lastRenderedPageBreak/>
              <w:t>The mix with the h</w:t>
            </w:r>
            <w:r w:rsidR="00D72C82">
              <w:rPr>
                <w:rFonts w:cstheme="minorHAnsi"/>
              </w:rPr>
              <w:t>ighest flat and elongated ratio</w:t>
            </w:r>
            <w:r w:rsidR="00FB2264">
              <w:rPr>
                <w:rFonts w:cstheme="minorHAnsi"/>
              </w:rPr>
              <w:t xml:space="preserve"> reached a locking point at 54 gyrations, however, the mix never reached 96% of Gmm even up to 100 gyrations. This indicated that the mix may be unstable, so Marshall stability and flow tests were performed on the mix. </w:t>
            </w:r>
            <w:r w:rsidR="00801263">
              <w:rPr>
                <w:rFonts w:cstheme="minorHAnsi"/>
              </w:rPr>
              <w:t>At 7.5% Ac, the stability was 1358 lbs and the flow was 0.24</w:t>
            </w:r>
            <w:r w:rsidR="00D72C82">
              <w:rPr>
                <w:rFonts w:cstheme="minorHAnsi"/>
              </w:rPr>
              <w:t xml:space="preserve"> inches</w:t>
            </w:r>
            <w:r w:rsidR="00801263">
              <w:rPr>
                <w:rFonts w:cstheme="minorHAnsi"/>
              </w:rPr>
              <w:t xml:space="preserve"> which also indicates the mix is very unstable and is highly rut susceptible.</w:t>
            </w:r>
          </w:p>
          <w:p w:rsidR="0021489A" w:rsidRDefault="0021489A" w:rsidP="008A7FB0">
            <w:pPr>
              <w:tabs>
                <w:tab w:val="left" w:pos="3330"/>
                <w:tab w:val="left" w:pos="3960"/>
              </w:tabs>
              <w:jc w:val="both"/>
              <w:rPr>
                <w:rFonts w:cstheme="minorHAnsi"/>
                <w:b/>
              </w:rPr>
            </w:pPr>
          </w:p>
          <w:p w:rsidR="00C3342B" w:rsidRPr="00D838A4" w:rsidRDefault="00C3342B" w:rsidP="008A7FB0">
            <w:pPr>
              <w:tabs>
                <w:tab w:val="left" w:pos="3330"/>
                <w:tab w:val="left" w:pos="3960"/>
              </w:tabs>
              <w:jc w:val="both"/>
              <w:rPr>
                <w:rFonts w:cstheme="minorHAnsi"/>
                <w:b/>
              </w:rPr>
            </w:pPr>
            <w:r w:rsidRPr="00D838A4">
              <w:rPr>
                <w:rFonts w:cstheme="minorHAnsi"/>
                <w:b/>
              </w:rPr>
              <w:t>TECHNOLOGY TRANSFER/TECHNICAL MEETINGS</w:t>
            </w:r>
            <w:r w:rsidR="008A7FB0" w:rsidRPr="00D838A4">
              <w:rPr>
                <w:rFonts w:cstheme="minorHAnsi"/>
                <w:b/>
              </w:rPr>
              <w:t xml:space="preserve"> </w:t>
            </w:r>
          </w:p>
          <w:p w:rsidR="008A7FB0" w:rsidRDefault="008A7FB0" w:rsidP="008A7FB0">
            <w:pPr>
              <w:tabs>
                <w:tab w:val="left" w:pos="3330"/>
                <w:tab w:val="left" w:pos="3960"/>
              </w:tabs>
              <w:jc w:val="both"/>
              <w:rPr>
                <w:rFonts w:cstheme="minorHAnsi"/>
              </w:rPr>
            </w:pPr>
            <w:r w:rsidRPr="000A5509">
              <w:rPr>
                <w:rFonts w:cstheme="minorHAnsi"/>
              </w:rPr>
              <w:t xml:space="preserve">Several agencies used funds this period to pay travel and registration expenses for employees to attend </w:t>
            </w:r>
            <w:r w:rsidR="0085367B">
              <w:rPr>
                <w:rFonts w:cstheme="minorHAnsi"/>
              </w:rPr>
              <w:t>national</w:t>
            </w:r>
            <w:r w:rsidR="00A61B04">
              <w:rPr>
                <w:rFonts w:cstheme="minorHAnsi"/>
              </w:rPr>
              <w:t xml:space="preserve"> </w:t>
            </w:r>
            <w:r w:rsidRPr="000A5509">
              <w:rPr>
                <w:rFonts w:cstheme="minorHAnsi"/>
              </w:rPr>
              <w:t>meetings</w:t>
            </w:r>
            <w:r w:rsidR="0085367B">
              <w:rPr>
                <w:rFonts w:cstheme="minorHAnsi"/>
              </w:rPr>
              <w:t xml:space="preserve"> of technical interest</w:t>
            </w:r>
            <w:r w:rsidR="00A31437">
              <w:rPr>
                <w:rFonts w:cstheme="minorHAnsi"/>
              </w:rPr>
              <w:t xml:space="preserve"> such as </w:t>
            </w:r>
            <w:r w:rsidR="00801263">
              <w:rPr>
                <w:rFonts w:cstheme="minorHAnsi"/>
              </w:rPr>
              <w:t>the ASTM D04 Committee meeting and a pavement friction test section project in Tennessee.</w:t>
            </w:r>
            <w:r w:rsidR="008A72B7">
              <w:rPr>
                <w:rFonts w:cstheme="minorHAnsi"/>
              </w:rPr>
              <w:t xml:space="preserve"> </w:t>
            </w:r>
          </w:p>
          <w:p w:rsidR="00634462" w:rsidRDefault="00634462" w:rsidP="008A7FB0">
            <w:pPr>
              <w:tabs>
                <w:tab w:val="left" w:pos="3330"/>
                <w:tab w:val="left" w:pos="3960"/>
              </w:tabs>
              <w:jc w:val="both"/>
              <w:rPr>
                <w:rFonts w:cstheme="minorHAnsi"/>
              </w:rPr>
            </w:pPr>
          </w:p>
          <w:p w:rsidR="00801263" w:rsidRPr="00801263" w:rsidRDefault="00801263" w:rsidP="008A7FB0">
            <w:pPr>
              <w:tabs>
                <w:tab w:val="left" w:pos="3330"/>
                <w:tab w:val="left" w:pos="3960"/>
              </w:tabs>
              <w:jc w:val="both"/>
              <w:rPr>
                <w:rFonts w:cstheme="minorHAnsi"/>
                <w:b/>
              </w:rPr>
            </w:pPr>
            <w:r w:rsidRPr="00801263">
              <w:rPr>
                <w:rFonts w:cstheme="minorHAnsi"/>
                <w:b/>
              </w:rPr>
              <w:t>TESTING</w:t>
            </w:r>
          </w:p>
          <w:p w:rsidR="00801263" w:rsidRDefault="00801263" w:rsidP="008A7FB0">
            <w:pPr>
              <w:tabs>
                <w:tab w:val="left" w:pos="3330"/>
                <w:tab w:val="left" w:pos="3960"/>
              </w:tabs>
              <w:jc w:val="both"/>
              <w:rPr>
                <w:rFonts w:cstheme="minorHAnsi"/>
              </w:rPr>
            </w:pPr>
            <w:r>
              <w:rPr>
                <w:rFonts w:cstheme="minorHAnsi"/>
              </w:rPr>
              <w:t>Samples were received for ignition oven testing.</w:t>
            </w:r>
          </w:p>
          <w:p w:rsidR="00801263" w:rsidRDefault="00801263" w:rsidP="008A7FB0">
            <w:pPr>
              <w:tabs>
                <w:tab w:val="left" w:pos="3330"/>
                <w:tab w:val="left" w:pos="3960"/>
              </w:tabs>
              <w:jc w:val="both"/>
              <w:rPr>
                <w:rFonts w:cstheme="minorHAnsi"/>
              </w:rPr>
            </w:pPr>
          </w:p>
          <w:p w:rsidR="00CC1ED0" w:rsidRDefault="00CC1ED0" w:rsidP="00CC1ED0">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C1ED0" w:rsidRDefault="00CC1ED0" w:rsidP="00CC1ED0">
            <w:pPr>
              <w:ind w:right="-720"/>
              <w:rPr>
                <w:rFonts w:ascii="Arial" w:hAnsi="Arial" w:cs="Arial"/>
                <w:sz w:val="20"/>
                <w:szCs w:val="20"/>
              </w:rPr>
            </w:pPr>
          </w:p>
          <w:p w:rsidR="00D72C82" w:rsidRDefault="006B03C1" w:rsidP="008A527D">
            <w:pPr>
              <w:ind w:right="-720"/>
            </w:pPr>
            <w:r>
              <w:t xml:space="preserve">The final report for the </w:t>
            </w:r>
            <w:r w:rsidR="00092711">
              <w:t>Alabama research on the effectiveness and performance of asphalt rejuvenators</w:t>
            </w:r>
            <w:r w:rsidR="00D72C82">
              <w:t xml:space="preserve"> </w:t>
            </w:r>
            <w:r w:rsidR="008A527D">
              <w:t xml:space="preserve"> </w:t>
            </w:r>
            <w:r w:rsidR="001F05B1">
              <w:t xml:space="preserve">should be </w:t>
            </w:r>
          </w:p>
          <w:p w:rsidR="00E54459" w:rsidRDefault="001F05B1" w:rsidP="008A527D">
            <w:pPr>
              <w:ind w:right="-720"/>
            </w:pPr>
            <w:r>
              <w:t>complete</w:t>
            </w:r>
            <w:r w:rsidR="00092711">
              <w:t>.</w:t>
            </w:r>
          </w:p>
          <w:p w:rsidR="009F7E97" w:rsidRDefault="009F7E97" w:rsidP="008A527D">
            <w:pPr>
              <w:ind w:right="-720"/>
            </w:pPr>
          </w:p>
          <w:p w:rsidR="009F7E97" w:rsidRDefault="00801263" w:rsidP="008A527D">
            <w:pPr>
              <w:ind w:right="-720"/>
            </w:pPr>
            <w:r>
              <w:t>The final report</w:t>
            </w:r>
            <w:r w:rsidR="006B03C1">
              <w:t xml:space="preserve"> on the</w:t>
            </w:r>
            <w:r w:rsidR="009F7E97">
              <w:t xml:space="preserve"> flat and elongated </w:t>
            </w:r>
            <w:r w:rsidR="006B03C1">
              <w:t>study for SMA</w:t>
            </w:r>
            <w:r>
              <w:t xml:space="preserve"> should be completed</w:t>
            </w:r>
            <w:r w:rsidR="009F7E97">
              <w:t xml:space="preserve">. </w:t>
            </w:r>
            <w:r w:rsidR="006B03C1">
              <w:t xml:space="preserve">Comparisons will be made regarding </w:t>
            </w:r>
            <w:r w:rsidR="009F7E97">
              <w:t xml:space="preserve">rutting resistance of mixes with varying F &amp; E values to determine whether the high quality aggregate requirements for </w:t>
            </w:r>
          </w:p>
          <w:p w:rsidR="006B03C1" w:rsidRDefault="009F7E97" w:rsidP="008A527D">
            <w:pPr>
              <w:ind w:right="-720"/>
            </w:pPr>
            <w:r>
              <w:t>SMA are necessary, or whether standard Superpave criteria is sufficient.</w:t>
            </w:r>
            <w:r w:rsidR="006B03C1">
              <w:t xml:space="preserve"> Two additional sources of mineral filler will be </w:t>
            </w:r>
          </w:p>
          <w:p w:rsidR="009F7E97" w:rsidRDefault="006B03C1" w:rsidP="008A527D">
            <w:pPr>
              <w:ind w:right="-720"/>
            </w:pPr>
            <w:r>
              <w:t>evaluated to prepare for an industry shortage of fly ash.</w:t>
            </w:r>
          </w:p>
          <w:p w:rsidR="00B85B80" w:rsidRDefault="00B85B80" w:rsidP="008A527D">
            <w:pPr>
              <w:ind w:right="-720"/>
            </w:pPr>
          </w:p>
          <w:p w:rsidR="00B85B80" w:rsidRDefault="00B85B80" w:rsidP="008A527D">
            <w:pPr>
              <w:ind w:right="-720"/>
            </w:pPr>
          </w:p>
          <w:p w:rsidR="00B85B80" w:rsidRDefault="00B85B80" w:rsidP="008A527D">
            <w:pPr>
              <w:ind w:right="-720"/>
            </w:pPr>
            <w:r>
              <w:t>A three-year evaluation of WMA test sections in Colorado is planned.</w:t>
            </w:r>
          </w:p>
          <w:p w:rsidR="004B4BDE" w:rsidRDefault="004B4BDE" w:rsidP="004B4BDE">
            <w:pPr>
              <w:ind w:right="-720"/>
            </w:pPr>
          </w:p>
          <w:p w:rsidR="004B4BDE" w:rsidRDefault="004B4BDE" w:rsidP="004B4BDE">
            <w:pPr>
              <w:ind w:right="-720"/>
              <w:rPr>
                <w:rFonts w:ascii="Arial" w:hAnsi="Arial" w:cs="Arial"/>
                <w:sz w:val="20"/>
                <w:szCs w:val="20"/>
              </w:rPr>
            </w:pPr>
          </w:p>
        </w:tc>
      </w:tr>
      <w:tr w:rsidR="00601EBD" w:rsidTr="0098234D">
        <w:tc>
          <w:tcPr>
            <w:tcW w:w="11088" w:type="dxa"/>
            <w:tcBorders>
              <w:top w:val="single" w:sz="4" w:space="0" w:color="auto"/>
            </w:tcBorders>
          </w:tcPr>
          <w:p w:rsidR="00E35E0F" w:rsidRDefault="00E35E0F" w:rsidP="00551D8A">
            <w:pPr>
              <w:ind w:right="-720"/>
              <w:rPr>
                <w:rFonts w:ascii="Arial" w:hAnsi="Arial" w:cs="Arial"/>
                <w:b/>
                <w:sz w:val="20"/>
                <w:szCs w:val="20"/>
              </w:rPr>
            </w:pPr>
          </w:p>
          <w:p w:rsidR="00B85B80" w:rsidRDefault="00601EBD" w:rsidP="00551D8A">
            <w:pPr>
              <w:ind w:right="-720"/>
              <w:rPr>
                <w:rFonts w:ascii="Arial" w:hAnsi="Arial" w:cs="Arial"/>
                <w:sz w:val="20"/>
                <w:szCs w:val="20"/>
              </w:rPr>
            </w:pPr>
            <w:r>
              <w:rPr>
                <w:rFonts w:ascii="Arial" w:hAnsi="Arial" w:cs="Arial"/>
                <w:b/>
                <w:sz w:val="20"/>
                <w:szCs w:val="20"/>
              </w:rPr>
              <w:t>Significant Results:</w:t>
            </w:r>
            <w:r w:rsidR="00B85B80">
              <w:rPr>
                <w:rFonts w:ascii="Arial" w:hAnsi="Arial" w:cs="Arial"/>
                <w:b/>
                <w:sz w:val="20"/>
                <w:szCs w:val="20"/>
              </w:rPr>
              <w:t xml:space="preserve"> </w:t>
            </w:r>
            <w:r w:rsidR="00B85B80" w:rsidRPr="00B85B80">
              <w:rPr>
                <w:rFonts w:ascii="Arial" w:hAnsi="Arial" w:cs="Arial"/>
                <w:sz w:val="20"/>
                <w:szCs w:val="20"/>
              </w:rPr>
              <w:t>The 5:1 rati</w:t>
            </w:r>
            <w:r w:rsidR="00B85B80">
              <w:rPr>
                <w:rFonts w:ascii="Arial" w:hAnsi="Arial" w:cs="Arial"/>
                <w:sz w:val="20"/>
                <w:szCs w:val="20"/>
              </w:rPr>
              <w:t>o typically used for classifying</w:t>
            </w:r>
            <w:r w:rsidR="00B85B80" w:rsidRPr="00B85B80">
              <w:rPr>
                <w:rFonts w:ascii="Arial" w:hAnsi="Arial" w:cs="Arial"/>
                <w:sz w:val="20"/>
                <w:szCs w:val="20"/>
              </w:rPr>
              <w:t xml:space="preserve"> flat and elongated aggregate particles</w:t>
            </w:r>
            <w:r w:rsidR="00B85B80">
              <w:rPr>
                <w:rFonts w:ascii="Arial" w:hAnsi="Arial" w:cs="Arial"/>
                <w:sz w:val="20"/>
                <w:szCs w:val="20"/>
              </w:rPr>
              <w:t xml:space="preserve"> is not very </w:t>
            </w:r>
          </w:p>
          <w:p w:rsidR="00B85B80" w:rsidRDefault="00B85B80" w:rsidP="00551D8A">
            <w:pPr>
              <w:ind w:right="-720"/>
              <w:rPr>
                <w:rFonts w:ascii="Arial" w:hAnsi="Arial" w:cs="Arial"/>
                <w:sz w:val="20"/>
                <w:szCs w:val="20"/>
              </w:rPr>
            </w:pPr>
            <w:r>
              <w:rPr>
                <w:rFonts w:ascii="Arial" w:hAnsi="Arial" w:cs="Arial"/>
                <w:sz w:val="20"/>
                <w:szCs w:val="20"/>
              </w:rPr>
              <w:t xml:space="preserve">discriminating. This study has found that when aggregates were evaluated at the 3:1 ratio, the amount of F &amp; E could </w:t>
            </w:r>
          </w:p>
          <w:p w:rsidR="00601EBD" w:rsidRPr="00B85B80" w:rsidRDefault="00B85B80" w:rsidP="00551D8A">
            <w:pPr>
              <w:ind w:right="-720"/>
              <w:rPr>
                <w:rFonts w:ascii="Arial" w:hAnsi="Arial" w:cs="Arial"/>
                <w:sz w:val="20"/>
                <w:szCs w:val="20"/>
              </w:rPr>
            </w:pPr>
            <w:r>
              <w:rPr>
                <w:rFonts w:ascii="Arial" w:hAnsi="Arial" w:cs="Arial"/>
                <w:sz w:val="20"/>
                <w:szCs w:val="20"/>
              </w:rPr>
              <w:t>exceed 40% by mass.</w:t>
            </w:r>
          </w:p>
          <w:p w:rsidR="00C33C15" w:rsidRDefault="00C33C15" w:rsidP="00551D8A">
            <w:pPr>
              <w:ind w:right="-720"/>
              <w:rPr>
                <w:rFonts w:ascii="Arial" w:hAnsi="Arial" w:cs="Arial"/>
                <w:b/>
                <w:sz w:val="20"/>
                <w:szCs w:val="20"/>
              </w:rPr>
            </w:pPr>
          </w:p>
          <w:p w:rsidR="00601EBD" w:rsidRDefault="00601EBD" w:rsidP="001F05B1">
            <w:pPr>
              <w:ind w:right="-720"/>
              <w:rPr>
                <w:rFonts w:ascii="Arial" w:hAnsi="Arial" w:cs="Arial"/>
                <w:b/>
                <w:sz w:val="20"/>
                <w:szCs w:val="20"/>
              </w:rPr>
            </w:pPr>
          </w:p>
        </w:tc>
      </w:tr>
      <w:tr w:rsidR="00601EBD" w:rsidTr="0098234D">
        <w:tc>
          <w:tcPr>
            <w:tcW w:w="1108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21489A" w:rsidRDefault="0021489A" w:rsidP="0005714A">
            <w:pPr>
              <w:ind w:right="-720"/>
              <w:rPr>
                <w:rFonts w:ascii="Arial" w:hAnsi="Arial" w:cs="Arial"/>
                <w:sz w:val="20"/>
                <w:szCs w:val="20"/>
              </w:rPr>
            </w:pPr>
            <w:r w:rsidRPr="0021489A">
              <w:rPr>
                <w:rFonts w:ascii="Arial" w:hAnsi="Arial" w:cs="Arial"/>
                <w:sz w:val="20"/>
                <w:szCs w:val="20"/>
              </w:rPr>
              <w:t>N/A</w:t>
            </w:r>
          </w:p>
        </w:tc>
      </w:tr>
      <w:tr w:rsidR="00E35E0F" w:rsidTr="0098234D">
        <w:tc>
          <w:tcPr>
            <w:tcW w:w="1108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05714A" w:rsidRDefault="00F90F97" w:rsidP="00551D8A">
            <w:pPr>
              <w:ind w:right="-720"/>
              <w:rPr>
                <w:rFonts w:cs="Arial"/>
              </w:rPr>
            </w:pPr>
            <w:r>
              <w:rPr>
                <w:rFonts w:cs="Arial"/>
              </w:rPr>
              <w:t>Performance testing of</w:t>
            </w:r>
            <w:r w:rsidR="00D26E02" w:rsidRPr="00C33C15">
              <w:rPr>
                <w:rFonts w:cs="Arial"/>
              </w:rPr>
              <w:t xml:space="preserve"> </w:t>
            </w:r>
            <w:r w:rsidR="0005714A">
              <w:rPr>
                <w:rFonts w:cs="Arial"/>
              </w:rPr>
              <w:t xml:space="preserve">asphalt rejuvenators </w:t>
            </w:r>
            <w:r w:rsidR="00D26E02" w:rsidRPr="00C33C15">
              <w:rPr>
                <w:rFonts w:cs="Arial"/>
              </w:rPr>
              <w:t xml:space="preserve">will be used to improve specifications by evaluating </w:t>
            </w:r>
          </w:p>
          <w:p w:rsidR="00D26E02" w:rsidRDefault="00F90F97" w:rsidP="00551D8A">
            <w:pPr>
              <w:ind w:right="-720"/>
              <w:rPr>
                <w:rFonts w:cs="Arial"/>
              </w:rPr>
            </w:pPr>
            <w:r>
              <w:rPr>
                <w:rFonts w:cs="Arial"/>
              </w:rPr>
              <w:t>their effectiveness at extending the durability of asphalt binders.</w:t>
            </w:r>
          </w:p>
          <w:p w:rsidR="0021489A" w:rsidRDefault="0021489A" w:rsidP="00551D8A">
            <w:pPr>
              <w:ind w:right="-720"/>
              <w:rPr>
                <w:rFonts w:cs="Arial"/>
              </w:rPr>
            </w:pPr>
          </w:p>
          <w:p w:rsidR="00E35E0F" w:rsidRDefault="0021489A" w:rsidP="009F7E97">
            <w:pPr>
              <w:ind w:right="-720"/>
              <w:rPr>
                <w:rFonts w:ascii="Arial" w:hAnsi="Arial" w:cs="Arial"/>
                <w:sz w:val="20"/>
                <w:szCs w:val="20"/>
              </w:rPr>
            </w:pPr>
            <w:r>
              <w:rPr>
                <w:rFonts w:cs="Arial"/>
              </w:rPr>
              <w:t>Revising specifications for flat and elongated aggregate in SMA mixes could potentially save GDOT a</w:t>
            </w:r>
            <w:r w:rsidR="009F7E97">
              <w:rPr>
                <w:rFonts w:cs="Arial"/>
              </w:rPr>
              <w:t>nd other agencies</w:t>
            </w:r>
            <w:r>
              <w:rPr>
                <w:rFonts w:cs="Arial"/>
              </w:rPr>
              <w:t xml:space="preserve"> </w:t>
            </w:r>
            <w:r w:rsidR="009F7E97">
              <w:rPr>
                <w:rFonts w:cs="Arial"/>
              </w:rPr>
              <w:t>a considerable amount o</w:t>
            </w:r>
            <w:r>
              <w:rPr>
                <w:rFonts w:ascii="Arial" w:hAnsi="Arial" w:cs="Arial"/>
                <w:sz w:val="20"/>
                <w:szCs w:val="20"/>
              </w:rPr>
              <w:t>f funding as specially crushed aggregate may not be needed for SMA.</w:t>
            </w: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880" w:rsidRDefault="00145880" w:rsidP="00106C83">
      <w:pPr>
        <w:spacing w:after="0" w:line="240" w:lineRule="auto"/>
      </w:pPr>
      <w:r>
        <w:separator/>
      </w:r>
    </w:p>
  </w:endnote>
  <w:endnote w:type="continuationSeparator" w:id="0">
    <w:p w:rsidR="00145880" w:rsidRDefault="0014588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ency FB">
    <w:altName w:val="Malgun Gothic"/>
    <w:panose1 w:val="020B0503020202020204"/>
    <w:charset w:val="00"/>
    <w:family w:val="swiss"/>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3362265"/>
      <w:docPartObj>
        <w:docPartGallery w:val="Page Numbers (Bottom of Page)"/>
        <w:docPartUnique/>
      </w:docPartObj>
    </w:sdtPr>
    <w:sdtEndPr>
      <w:rPr>
        <w:noProof/>
      </w:rPr>
    </w:sdtEndPr>
    <w:sdtContent>
      <w:p w:rsidR="00300F3E" w:rsidRDefault="00300F3E">
        <w:pPr>
          <w:pStyle w:val="Footer"/>
          <w:jc w:val="center"/>
        </w:pPr>
        <w:r>
          <w:fldChar w:fldCharType="begin"/>
        </w:r>
        <w:r>
          <w:instrText xml:space="preserve"> PAGE   \* MERGEFORMAT </w:instrText>
        </w:r>
        <w:r>
          <w:fldChar w:fldCharType="separate"/>
        </w:r>
        <w:r w:rsidR="00714E05">
          <w:rPr>
            <w:noProof/>
          </w:rPr>
          <w:t>1</w:t>
        </w:r>
        <w:r>
          <w:rPr>
            <w:noProof/>
          </w:rPr>
          <w:fldChar w:fldCharType="end"/>
        </w:r>
      </w:p>
    </w:sdtContent>
  </w:sdt>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880" w:rsidRDefault="00145880" w:rsidP="00106C83">
      <w:pPr>
        <w:spacing w:after="0" w:line="240" w:lineRule="auto"/>
      </w:pPr>
      <w:r>
        <w:separator/>
      </w:r>
    </w:p>
  </w:footnote>
  <w:footnote w:type="continuationSeparator" w:id="0">
    <w:p w:rsidR="00145880" w:rsidRDefault="0014588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F45DD"/>
    <w:multiLevelType w:val="hybridMultilevel"/>
    <w:tmpl w:val="C6568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94E1937"/>
    <w:multiLevelType w:val="hybridMultilevel"/>
    <w:tmpl w:val="FF84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300408"/>
    <w:multiLevelType w:val="hybridMultilevel"/>
    <w:tmpl w:val="F4D4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72B0"/>
    <w:rsid w:val="00014344"/>
    <w:rsid w:val="00022040"/>
    <w:rsid w:val="000271DC"/>
    <w:rsid w:val="00037FBC"/>
    <w:rsid w:val="00040DFF"/>
    <w:rsid w:val="0005714A"/>
    <w:rsid w:val="000736BB"/>
    <w:rsid w:val="00092711"/>
    <w:rsid w:val="00094A80"/>
    <w:rsid w:val="000A479C"/>
    <w:rsid w:val="000A5509"/>
    <w:rsid w:val="000B665A"/>
    <w:rsid w:val="000E7489"/>
    <w:rsid w:val="000F1C8D"/>
    <w:rsid w:val="000F2782"/>
    <w:rsid w:val="00106C83"/>
    <w:rsid w:val="001079A8"/>
    <w:rsid w:val="00145880"/>
    <w:rsid w:val="001547D0"/>
    <w:rsid w:val="00161153"/>
    <w:rsid w:val="001745A9"/>
    <w:rsid w:val="001D28CF"/>
    <w:rsid w:val="001F05B1"/>
    <w:rsid w:val="00206FCD"/>
    <w:rsid w:val="0021446D"/>
    <w:rsid w:val="0021489A"/>
    <w:rsid w:val="00220C60"/>
    <w:rsid w:val="00224E48"/>
    <w:rsid w:val="0022593F"/>
    <w:rsid w:val="0023274B"/>
    <w:rsid w:val="00234BCE"/>
    <w:rsid w:val="00254CD4"/>
    <w:rsid w:val="00293FD8"/>
    <w:rsid w:val="0029510E"/>
    <w:rsid w:val="002A79C8"/>
    <w:rsid w:val="002B45C9"/>
    <w:rsid w:val="002C3D43"/>
    <w:rsid w:val="002E7F24"/>
    <w:rsid w:val="002F0C9E"/>
    <w:rsid w:val="00300F3E"/>
    <w:rsid w:val="003413CE"/>
    <w:rsid w:val="00361543"/>
    <w:rsid w:val="0038705A"/>
    <w:rsid w:val="003B2B8F"/>
    <w:rsid w:val="003B5E96"/>
    <w:rsid w:val="003D69D8"/>
    <w:rsid w:val="003F57C8"/>
    <w:rsid w:val="00407C07"/>
    <w:rsid w:val="004144E6"/>
    <w:rsid w:val="004156B2"/>
    <w:rsid w:val="00417A94"/>
    <w:rsid w:val="00437734"/>
    <w:rsid w:val="00463B3D"/>
    <w:rsid w:val="004B0BF4"/>
    <w:rsid w:val="004B25F8"/>
    <w:rsid w:val="004B4BDE"/>
    <w:rsid w:val="004E14DC"/>
    <w:rsid w:val="004E2F3A"/>
    <w:rsid w:val="004E46C6"/>
    <w:rsid w:val="004E75D6"/>
    <w:rsid w:val="005140AD"/>
    <w:rsid w:val="005229ED"/>
    <w:rsid w:val="00522C8F"/>
    <w:rsid w:val="00535598"/>
    <w:rsid w:val="005370EC"/>
    <w:rsid w:val="00547EE3"/>
    <w:rsid w:val="00551D8A"/>
    <w:rsid w:val="005631AF"/>
    <w:rsid w:val="00571ED2"/>
    <w:rsid w:val="00581B36"/>
    <w:rsid w:val="00581B95"/>
    <w:rsid w:val="00583E8E"/>
    <w:rsid w:val="005F2FDD"/>
    <w:rsid w:val="006005B0"/>
    <w:rsid w:val="00601EBD"/>
    <w:rsid w:val="00623334"/>
    <w:rsid w:val="00634462"/>
    <w:rsid w:val="00642352"/>
    <w:rsid w:val="00655415"/>
    <w:rsid w:val="00682C5E"/>
    <w:rsid w:val="006B03C1"/>
    <w:rsid w:val="006B6D68"/>
    <w:rsid w:val="006C550E"/>
    <w:rsid w:val="006E323B"/>
    <w:rsid w:val="006E6621"/>
    <w:rsid w:val="006E713B"/>
    <w:rsid w:val="006F27A2"/>
    <w:rsid w:val="007048C1"/>
    <w:rsid w:val="0070592F"/>
    <w:rsid w:val="00714E05"/>
    <w:rsid w:val="00743C01"/>
    <w:rsid w:val="007802B9"/>
    <w:rsid w:val="007835FC"/>
    <w:rsid w:val="00790C4A"/>
    <w:rsid w:val="007B090E"/>
    <w:rsid w:val="007C72E3"/>
    <w:rsid w:val="007E2786"/>
    <w:rsid w:val="007E5BD2"/>
    <w:rsid w:val="007E70C1"/>
    <w:rsid w:val="007F5974"/>
    <w:rsid w:val="00801263"/>
    <w:rsid w:val="00821973"/>
    <w:rsid w:val="00826EB8"/>
    <w:rsid w:val="00835F96"/>
    <w:rsid w:val="00853673"/>
    <w:rsid w:val="0085367B"/>
    <w:rsid w:val="00872F18"/>
    <w:rsid w:val="00874EF7"/>
    <w:rsid w:val="00896EE4"/>
    <w:rsid w:val="008A527D"/>
    <w:rsid w:val="008A72B7"/>
    <w:rsid w:val="008A7FB0"/>
    <w:rsid w:val="008C3C6D"/>
    <w:rsid w:val="008D1AB6"/>
    <w:rsid w:val="008E7D21"/>
    <w:rsid w:val="008F3821"/>
    <w:rsid w:val="00911522"/>
    <w:rsid w:val="00913A78"/>
    <w:rsid w:val="00923908"/>
    <w:rsid w:val="009574E5"/>
    <w:rsid w:val="00962BEC"/>
    <w:rsid w:val="0098234D"/>
    <w:rsid w:val="009A394E"/>
    <w:rsid w:val="009A4B10"/>
    <w:rsid w:val="009C7BEA"/>
    <w:rsid w:val="009D2405"/>
    <w:rsid w:val="009E1E27"/>
    <w:rsid w:val="009F7E97"/>
    <w:rsid w:val="00A10F7B"/>
    <w:rsid w:val="00A20753"/>
    <w:rsid w:val="00A31437"/>
    <w:rsid w:val="00A33242"/>
    <w:rsid w:val="00A43372"/>
    <w:rsid w:val="00A43875"/>
    <w:rsid w:val="00A61B04"/>
    <w:rsid w:val="00A63677"/>
    <w:rsid w:val="00A7193F"/>
    <w:rsid w:val="00A87952"/>
    <w:rsid w:val="00A955F3"/>
    <w:rsid w:val="00AD7FC2"/>
    <w:rsid w:val="00AE46B0"/>
    <w:rsid w:val="00AF14C3"/>
    <w:rsid w:val="00B15545"/>
    <w:rsid w:val="00B157DF"/>
    <w:rsid w:val="00B2185C"/>
    <w:rsid w:val="00B40749"/>
    <w:rsid w:val="00B41A3A"/>
    <w:rsid w:val="00B47800"/>
    <w:rsid w:val="00B66A21"/>
    <w:rsid w:val="00B777F4"/>
    <w:rsid w:val="00B80B95"/>
    <w:rsid w:val="00B81259"/>
    <w:rsid w:val="00B85B80"/>
    <w:rsid w:val="00B86930"/>
    <w:rsid w:val="00B923DF"/>
    <w:rsid w:val="00B931E2"/>
    <w:rsid w:val="00B93DF4"/>
    <w:rsid w:val="00BA0AF7"/>
    <w:rsid w:val="00BB65DC"/>
    <w:rsid w:val="00BC7CAA"/>
    <w:rsid w:val="00BD258C"/>
    <w:rsid w:val="00C04DFF"/>
    <w:rsid w:val="00C13753"/>
    <w:rsid w:val="00C3342B"/>
    <w:rsid w:val="00C33C15"/>
    <w:rsid w:val="00C360D4"/>
    <w:rsid w:val="00C70809"/>
    <w:rsid w:val="00C9575A"/>
    <w:rsid w:val="00CB5BC5"/>
    <w:rsid w:val="00CC1ED0"/>
    <w:rsid w:val="00D22480"/>
    <w:rsid w:val="00D26E02"/>
    <w:rsid w:val="00D46921"/>
    <w:rsid w:val="00D53A5C"/>
    <w:rsid w:val="00D7133B"/>
    <w:rsid w:val="00D72C82"/>
    <w:rsid w:val="00D838A4"/>
    <w:rsid w:val="00D86230"/>
    <w:rsid w:val="00DB19D2"/>
    <w:rsid w:val="00DB42DF"/>
    <w:rsid w:val="00DD5AD2"/>
    <w:rsid w:val="00DD62F8"/>
    <w:rsid w:val="00DE1E59"/>
    <w:rsid w:val="00DE6888"/>
    <w:rsid w:val="00DF04FD"/>
    <w:rsid w:val="00E12DBB"/>
    <w:rsid w:val="00E20ED3"/>
    <w:rsid w:val="00E35E0F"/>
    <w:rsid w:val="00E371D1"/>
    <w:rsid w:val="00E53738"/>
    <w:rsid w:val="00E54459"/>
    <w:rsid w:val="00E623A8"/>
    <w:rsid w:val="00E70887"/>
    <w:rsid w:val="00E73363"/>
    <w:rsid w:val="00E90052"/>
    <w:rsid w:val="00EA3847"/>
    <w:rsid w:val="00EA783E"/>
    <w:rsid w:val="00ED5F67"/>
    <w:rsid w:val="00EF08AE"/>
    <w:rsid w:val="00EF25BC"/>
    <w:rsid w:val="00EF5790"/>
    <w:rsid w:val="00F03318"/>
    <w:rsid w:val="00F05679"/>
    <w:rsid w:val="00F17990"/>
    <w:rsid w:val="00F21F77"/>
    <w:rsid w:val="00F22A73"/>
    <w:rsid w:val="00F46C3D"/>
    <w:rsid w:val="00F50A15"/>
    <w:rsid w:val="00F601D5"/>
    <w:rsid w:val="00F717AC"/>
    <w:rsid w:val="00F75259"/>
    <w:rsid w:val="00F776FA"/>
    <w:rsid w:val="00F90A6F"/>
    <w:rsid w:val="00F90F97"/>
    <w:rsid w:val="00F978E4"/>
    <w:rsid w:val="00FB2264"/>
    <w:rsid w:val="00FB3705"/>
    <w:rsid w:val="00FD1930"/>
    <w:rsid w:val="00FF1872"/>
    <w:rsid w:val="00FF32BE"/>
    <w:rsid w:val="00FF3B57"/>
    <w:rsid w:val="00FF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E710ED-0AA7-422C-AE65-03EE2469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34"/>
    <w:qFormat/>
    <w:rsid w:val="00E20ED3"/>
    <w:pPr>
      <w:spacing w:after="0"/>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139439">
      <w:bodyDiv w:val="1"/>
      <w:marLeft w:val="0"/>
      <w:marRight w:val="0"/>
      <w:marTop w:val="0"/>
      <w:marBottom w:val="0"/>
      <w:divBdr>
        <w:top w:val="none" w:sz="0" w:space="0" w:color="auto"/>
        <w:left w:val="none" w:sz="0" w:space="0" w:color="auto"/>
        <w:bottom w:val="none" w:sz="0" w:space="0" w:color="auto"/>
        <w:right w:val="none" w:sz="0" w:space="0" w:color="auto"/>
      </w:divBdr>
    </w:div>
    <w:div w:id="402722003">
      <w:bodyDiv w:val="1"/>
      <w:marLeft w:val="0"/>
      <w:marRight w:val="0"/>
      <w:marTop w:val="0"/>
      <w:marBottom w:val="0"/>
      <w:divBdr>
        <w:top w:val="none" w:sz="0" w:space="0" w:color="auto"/>
        <w:left w:val="none" w:sz="0" w:space="0" w:color="auto"/>
        <w:bottom w:val="none" w:sz="0" w:space="0" w:color="auto"/>
        <w:right w:val="none" w:sz="0" w:space="0" w:color="auto"/>
      </w:divBdr>
    </w:div>
    <w:div w:id="443354674">
      <w:bodyDiv w:val="1"/>
      <w:marLeft w:val="0"/>
      <w:marRight w:val="0"/>
      <w:marTop w:val="0"/>
      <w:marBottom w:val="0"/>
      <w:divBdr>
        <w:top w:val="none" w:sz="0" w:space="0" w:color="auto"/>
        <w:left w:val="none" w:sz="0" w:space="0" w:color="auto"/>
        <w:bottom w:val="none" w:sz="0" w:space="0" w:color="auto"/>
        <w:right w:val="none" w:sz="0" w:space="0" w:color="auto"/>
      </w:divBdr>
    </w:div>
    <w:div w:id="723063621">
      <w:bodyDiv w:val="1"/>
      <w:marLeft w:val="0"/>
      <w:marRight w:val="0"/>
      <w:marTop w:val="0"/>
      <w:marBottom w:val="0"/>
      <w:divBdr>
        <w:top w:val="none" w:sz="0" w:space="0" w:color="auto"/>
        <w:left w:val="none" w:sz="0" w:space="0" w:color="auto"/>
        <w:bottom w:val="none" w:sz="0" w:space="0" w:color="auto"/>
        <w:right w:val="none" w:sz="0" w:space="0" w:color="auto"/>
      </w:divBdr>
    </w:div>
    <w:div w:id="754280909">
      <w:bodyDiv w:val="1"/>
      <w:marLeft w:val="0"/>
      <w:marRight w:val="0"/>
      <w:marTop w:val="0"/>
      <w:marBottom w:val="0"/>
      <w:divBdr>
        <w:top w:val="none" w:sz="0" w:space="0" w:color="auto"/>
        <w:left w:val="none" w:sz="0" w:space="0" w:color="auto"/>
        <w:bottom w:val="none" w:sz="0" w:space="0" w:color="auto"/>
        <w:right w:val="none" w:sz="0" w:space="0" w:color="auto"/>
      </w:divBdr>
    </w:div>
    <w:div w:id="1943679656">
      <w:bodyDiv w:val="1"/>
      <w:marLeft w:val="0"/>
      <w:marRight w:val="0"/>
      <w:marTop w:val="0"/>
      <w:marBottom w:val="0"/>
      <w:divBdr>
        <w:top w:val="none" w:sz="0" w:space="0" w:color="auto"/>
        <w:left w:val="none" w:sz="0" w:space="0" w:color="auto"/>
        <w:bottom w:val="none" w:sz="0" w:space="0" w:color="auto"/>
        <w:right w:val="none" w:sz="0" w:space="0" w:color="auto"/>
      </w:divBdr>
    </w:div>
    <w:div w:id="20319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CF2E2-99E8-4680-B592-17B8B8D69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1125</Words>
  <Characters>6418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Johnson, Ron</cp:lastModifiedBy>
  <cp:revision>3</cp:revision>
  <cp:lastPrinted>2011-06-21T20:32:00Z</cp:lastPrinted>
  <dcterms:created xsi:type="dcterms:W3CDTF">2016-07-18T19:21:00Z</dcterms:created>
  <dcterms:modified xsi:type="dcterms:W3CDTF">2016-07-18T19:21:00Z</dcterms:modified>
</cp:coreProperties>
</file>