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D27742" w:rsidRPr="00E455BE">
        <w:rPr>
          <w:rFonts w:ascii="Arial" w:hAnsi="Arial" w:cs="Arial"/>
          <w:szCs w:val="23"/>
          <w:u w:val="single"/>
        </w:rPr>
        <w:t xml:space="preserve">Virginia DOT (VDOT)                                                                 </w:t>
      </w:r>
      <w:r w:rsidR="00D27742">
        <w:rPr>
          <w:rFonts w:ascii="Arial" w:hAnsi="Arial" w:cs="Arial"/>
          <w:szCs w:val="23"/>
          <w:u w:val="single"/>
        </w:rPr>
        <w:t xml:space="preserve">   .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798"/>
        <w:gridCol w:w="162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32697" w:rsidRPr="00D3415F" w:rsidRDefault="00D3415F" w:rsidP="00551D8A">
            <w:pPr>
              <w:ind w:right="-720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D3415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TPF-5(</w:t>
            </w:r>
            <w:r w:rsidR="00613743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268</w:t>
            </w:r>
            <w:r w:rsidRPr="00D3415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)</w:t>
            </w:r>
          </w:p>
          <w:p w:rsidR="00F32697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F32697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Pr="00F32697" w:rsidRDefault="00F32697" w:rsidP="00F32697">
            <w:pPr>
              <w:tabs>
                <w:tab w:val="left" w:pos="33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C175C6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 w:val="20"/>
                <w:szCs w:val="36"/>
              </w:rPr>
              <w:sym w:font="Wingdings" w:char="F0FE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FA56F7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B3FBF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F32697" w:rsidRDefault="00C175C6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81B36" w:rsidRPr="00F3269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F3269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E64733" w:rsidRPr="00E64733" w:rsidRDefault="00E64733" w:rsidP="00E64733">
            <w:pPr>
              <w:jc w:val="center"/>
              <w:rPr>
                <w:rFonts w:ascii="Times New Roman" w:hAnsi="Times New Roman" w:cs="Times New Roman"/>
                <w:b/>
                <w:color w:val="632423"/>
                <w:sz w:val="28"/>
                <w:szCs w:val="32"/>
              </w:rPr>
            </w:pPr>
            <w:r w:rsidRPr="00E64733">
              <w:rPr>
                <w:rFonts w:ascii="Times New Roman" w:hAnsi="Times New Roman" w:cs="Times New Roman"/>
                <w:b/>
                <w:color w:val="632423"/>
                <w:sz w:val="28"/>
                <w:szCs w:val="32"/>
              </w:rPr>
              <w:t>National Sustainable Pavement Consortium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D27742">
        <w:tc>
          <w:tcPr>
            <w:tcW w:w="3798" w:type="dxa"/>
          </w:tcPr>
          <w:p w:rsidR="00743C01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27742" w:rsidRPr="00C13753" w:rsidRDefault="008B3FBF" w:rsidP="00D277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 Bowers</w:t>
            </w:r>
          </w:p>
        </w:tc>
        <w:tc>
          <w:tcPr>
            <w:tcW w:w="3690" w:type="dxa"/>
            <w:gridSpan w:val="2"/>
          </w:tcPr>
          <w:p w:rsidR="00743C01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27742" w:rsidRPr="00C13753" w:rsidRDefault="00D27742" w:rsidP="00C175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(434) 293-1</w:t>
            </w:r>
            <w:r w:rsidR="00C175C6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3420" w:type="dxa"/>
          </w:tcPr>
          <w:p w:rsidR="00743C01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8228E" w:rsidRPr="00C175C6" w:rsidRDefault="00652B54" w:rsidP="0048228E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175C6" w:rsidRPr="00C175C6">
                <w:rPr>
                  <w:rStyle w:val="Hyperlink"/>
                  <w:rFonts w:ascii="Arial" w:hAnsi="Arial" w:cs="Arial"/>
                </w:rPr>
                <w:t>Ben.Bowers@vdot.virginia.gov</w:t>
              </w:r>
            </w:hyperlink>
          </w:p>
        </w:tc>
      </w:tr>
      <w:tr w:rsidR="00535598" w:rsidRPr="00B66A21" w:rsidTr="00D27742">
        <w:tc>
          <w:tcPr>
            <w:tcW w:w="3798" w:type="dxa"/>
          </w:tcPr>
          <w:p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D27742" w:rsidRPr="00D27742" w:rsidRDefault="00073B8C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VCTIR 103567</w:t>
            </w:r>
          </w:p>
        </w:tc>
        <w:tc>
          <w:tcPr>
            <w:tcW w:w="3690" w:type="dxa"/>
            <w:gridSpan w:val="2"/>
          </w:tcPr>
          <w:p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27742" w:rsidRPr="00073B8C" w:rsidRDefault="00073B8C" w:rsidP="00073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B8C">
              <w:rPr>
                <w:rFonts w:ascii="Arial" w:hAnsi="Arial" w:cs="Arial"/>
                <w:sz w:val="20"/>
                <w:szCs w:val="20"/>
              </w:rPr>
              <w:t>448679</w:t>
            </w:r>
          </w:p>
        </w:tc>
        <w:tc>
          <w:tcPr>
            <w:tcW w:w="3420" w:type="dxa"/>
          </w:tcPr>
          <w:p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C27321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7/1/2012</w:t>
            </w:r>
          </w:p>
        </w:tc>
      </w:tr>
      <w:tr w:rsidR="00535598" w:rsidRPr="00B66A21" w:rsidTr="00D27742">
        <w:tc>
          <w:tcPr>
            <w:tcW w:w="3798" w:type="dxa"/>
          </w:tcPr>
          <w:p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27742" w:rsidRPr="00D27742" w:rsidRDefault="00073B8C" w:rsidP="0085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27321" w:rsidRPr="00D27742">
              <w:rPr>
                <w:rFonts w:ascii="Arial" w:hAnsi="Arial" w:cs="Arial"/>
                <w:sz w:val="20"/>
                <w:szCs w:val="20"/>
              </w:rPr>
              <w:t>/30/201</w:t>
            </w:r>
            <w:r w:rsidR="00C2732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90" w:type="dxa"/>
            <w:gridSpan w:val="2"/>
          </w:tcPr>
          <w:p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27742" w:rsidRPr="00D27742" w:rsidRDefault="00D27742" w:rsidP="00C273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742">
              <w:rPr>
                <w:rFonts w:ascii="Arial" w:hAnsi="Arial" w:cs="Arial"/>
                <w:sz w:val="20"/>
                <w:szCs w:val="20"/>
              </w:rPr>
              <w:t>6/30/201</w:t>
            </w:r>
            <w:r w:rsidR="00C2732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B66A21" w:rsidRDefault="00C27321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0B47C1" w:rsidRDefault="00743C01" w:rsidP="000B47C1">
      <w:pPr>
        <w:pStyle w:val="ListParagraph"/>
        <w:numPr>
          <w:ilvl w:val="0"/>
          <w:numId w:val="4"/>
        </w:numPr>
        <w:spacing w:before="120" w:after="0"/>
        <w:ind w:right="-720"/>
        <w:rPr>
          <w:rFonts w:ascii="Arial" w:hAnsi="Arial" w:cs="Arial"/>
          <w:sz w:val="20"/>
          <w:szCs w:val="20"/>
        </w:rPr>
      </w:pP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schedule</w:t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revised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Ahead of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022719" w:rsidRDefault="00C27321" w:rsidP="00B8683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="00B86832">
              <w:rPr>
                <w:rFonts w:ascii="Arial" w:hAnsi="Arial" w:cs="Arial"/>
                <w:color w:val="333333"/>
                <w:sz w:val="20"/>
                <w:szCs w:val="20"/>
              </w:rPr>
              <w:t>450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 w:rsidR="00615E8A">
              <w:rPr>
                <w:rFonts w:ascii="Arial" w:hAnsi="Arial" w:cs="Arial"/>
                <w:color w:val="333333"/>
                <w:sz w:val="20"/>
                <w:szCs w:val="20"/>
              </w:rPr>
              <w:t>0</w:t>
            </w:r>
            <w:r w:rsidR="00B86832">
              <w:rPr>
                <w:rFonts w:ascii="Arial" w:hAnsi="Arial" w:cs="Arial"/>
                <w:color w:val="333333"/>
                <w:sz w:val="20"/>
                <w:szCs w:val="20"/>
              </w:rPr>
              <w:t>27</w:t>
            </w:r>
          </w:p>
        </w:tc>
        <w:tc>
          <w:tcPr>
            <w:tcW w:w="3330" w:type="dxa"/>
          </w:tcPr>
          <w:p w:rsidR="00874EF7" w:rsidRPr="00022719" w:rsidRDefault="00C27321" w:rsidP="008B3FB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C175C6" w:rsidRPr="00C175C6">
              <w:rPr>
                <w:rFonts w:ascii="Arial" w:hAnsi="Arial" w:cs="Arial"/>
                <w:sz w:val="20"/>
              </w:rPr>
              <w:t>413,770</w:t>
            </w:r>
          </w:p>
        </w:tc>
        <w:tc>
          <w:tcPr>
            <w:tcW w:w="3420" w:type="dxa"/>
          </w:tcPr>
          <w:p w:rsidR="00874EF7" w:rsidRPr="00022719" w:rsidRDefault="00C175C6" w:rsidP="005056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D3415F" w:rsidRPr="0002271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743C01" w:rsidRDefault="00743C0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</w:p>
    <w:p w:rsidR="00B66A21" w:rsidRDefault="00B66A2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2478B9" w:rsidP="00C175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175C6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B3FBF">
              <w:rPr>
                <w:rFonts w:ascii="Arial" w:hAnsi="Arial" w:cs="Arial"/>
                <w:sz w:val="20"/>
                <w:szCs w:val="20"/>
              </w:rPr>
              <w:t>6</w:t>
            </w:r>
            <w:r w:rsidR="00C175C6">
              <w:rPr>
                <w:rFonts w:ascii="Arial" w:hAnsi="Arial" w:cs="Arial"/>
                <w:sz w:val="20"/>
                <w:szCs w:val="20"/>
              </w:rPr>
              <w:t>91</w:t>
            </w:r>
            <w:r w:rsidR="00117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23CD">
              <w:rPr>
                <w:rFonts w:ascii="Arial" w:hAnsi="Arial" w:cs="Arial"/>
                <w:sz w:val="20"/>
                <w:szCs w:val="20"/>
              </w:rPr>
              <w:t>(</w:t>
            </w:r>
            <w:r w:rsidR="00C175C6">
              <w:rPr>
                <w:rFonts w:ascii="Arial" w:hAnsi="Arial" w:cs="Arial"/>
                <w:sz w:val="20"/>
                <w:szCs w:val="20"/>
              </w:rPr>
              <w:t>12.1</w:t>
            </w:r>
            <w:r w:rsidR="001D23CD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330" w:type="dxa"/>
          </w:tcPr>
          <w:p w:rsidR="00B66A21" w:rsidRPr="00B66A21" w:rsidRDefault="001D23CD" w:rsidP="00C175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175C6">
              <w:rPr>
                <w:rFonts w:ascii="Arial" w:hAnsi="Arial" w:cs="Arial"/>
                <w:sz w:val="20"/>
                <w:szCs w:val="20"/>
              </w:rPr>
              <w:t>54</w:t>
            </w:r>
            <w:r w:rsidR="00FA56F7">
              <w:rPr>
                <w:rFonts w:ascii="Arial" w:hAnsi="Arial" w:cs="Arial"/>
                <w:sz w:val="20"/>
                <w:szCs w:val="20"/>
              </w:rPr>
              <w:t>,</w:t>
            </w:r>
            <w:r w:rsidR="008B3FBF">
              <w:rPr>
                <w:rFonts w:ascii="Arial" w:hAnsi="Arial" w:cs="Arial"/>
                <w:sz w:val="20"/>
                <w:szCs w:val="20"/>
              </w:rPr>
              <w:t>6</w:t>
            </w:r>
            <w:r w:rsidR="00C175C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3420" w:type="dxa"/>
          </w:tcPr>
          <w:p w:rsidR="00B66A21" w:rsidRPr="00B66A21" w:rsidRDefault="00C175C6" w:rsidP="005056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1D23CD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27742" w:rsidRPr="002B6A52" w:rsidRDefault="00D27742" w:rsidP="00FE1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27321" w:rsidRDefault="00D27742" w:rsidP="00FE1B82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>Through a regional pooled fund, this program of research focus</w:t>
            </w:r>
            <w:r w:rsidR="00F32697" w:rsidRPr="00F90869">
              <w:rPr>
                <w:rFonts w:ascii="Times New Roman" w:hAnsi="Times New Roman" w:cs="Times New Roman"/>
                <w:color w:val="000000"/>
                <w:sz w:val="20"/>
              </w:rPr>
              <w:t>es</w:t>
            </w:r>
            <w:r w:rsidRPr="00F90869">
              <w:rPr>
                <w:rFonts w:ascii="Times New Roman" w:hAnsi="Times New Roman" w:cs="Times New Roman"/>
                <w:color w:val="000000"/>
                <w:sz w:val="20"/>
              </w:rPr>
              <w:t xml:space="preserve"> on </w:t>
            </w:r>
            <w:r w:rsidR="00C27321" w:rsidRPr="00C2732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enhancing pavement sustainability. The </w:t>
            </w:r>
            <w:r w:rsidR="001D23C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initial project scope covers</w:t>
            </w:r>
            <w:r w:rsidR="00C27321" w:rsidRPr="00C2732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:</w:t>
            </w:r>
          </w:p>
          <w:p w:rsidR="001D23CD" w:rsidRPr="001D23CD" w:rsidRDefault="001D23CD" w:rsidP="00FE1B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Examine emerging sustainable materials, technologies, products and pavement systems</w:t>
            </w:r>
            <w:r w:rsidR="00DE2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how to facilitate their adoption</w:t>
            </w:r>
            <w:r w:rsidR="00DE2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what testing approaches and methods are needed to implement these technological improvements</w:t>
            </w:r>
            <w:r w:rsidR="00DE27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D23CD" w:rsidRPr="001D23CD" w:rsidRDefault="001D23CD" w:rsidP="00FE1B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Identify an appropriate set of metrics that comprises all aspects of pavement sustainability and the adaption or development of tools designed to assess pavement sustainability on qualitative and quantitative scales.</w:t>
            </w:r>
          </w:p>
          <w:p w:rsidR="001D23CD" w:rsidRPr="001D23CD" w:rsidRDefault="001D23CD" w:rsidP="00FE1B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Examine how sustainability considerations will affect all aspects of pavement engineering and management such as planning, design, construction, maintenance, management, and reclamation and </w:t>
            </w:r>
            <w:r w:rsidRPr="001D23C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develop guidelines for integration of these tools into pavement/ asset management business processes.</w:t>
            </w:r>
          </w:p>
          <w:p w:rsidR="00601EBD" w:rsidRPr="001D23CD" w:rsidRDefault="001D23CD" w:rsidP="00FE1B8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1D2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Investigate the effect of climatic change on regional pavement engineering in terms of design, construction, maintenance, and management.</w:t>
            </w:r>
          </w:p>
          <w:p w:rsidR="00C27321" w:rsidRPr="00311385" w:rsidRDefault="00C27321" w:rsidP="00FE1B8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037FBC" w:rsidRDefault="00037FBC" w:rsidP="00FE1B82">
      <w:pPr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8B3FBF" w:rsidRDefault="008B3FBF" w:rsidP="00B5210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Continued work on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incorporating </w:t>
            </w:r>
            <w:r>
              <w:rPr>
                <w:rFonts w:ascii="Times New Roman" w:hAnsi="Times New Roman" w:cs="Times New Roman"/>
                <w:sz w:val="20"/>
              </w:rPr>
              <w:t xml:space="preserve">LCA </w:t>
            </w:r>
            <w:r w:rsidRPr="00A73F3C">
              <w:rPr>
                <w:rFonts w:ascii="Times New Roman" w:hAnsi="Times New Roman" w:cs="Times New Roman"/>
                <w:sz w:val="20"/>
              </w:rPr>
              <w:t>into the pavement-type selection process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3FBF" w:rsidRDefault="008B3FBF" w:rsidP="00B5210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Continued work on integrating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life-cycle </w:t>
            </w:r>
            <w:r>
              <w:rPr>
                <w:rFonts w:ascii="Times New Roman" w:hAnsi="Times New Roman" w:cs="Times New Roman"/>
                <w:sz w:val="20"/>
              </w:rPr>
              <w:t xml:space="preserve">environmental and cost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assessment </w:t>
            </w:r>
            <w:r>
              <w:rPr>
                <w:rFonts w:ascii="Times New Roman" w:hAnsi="Times New Roman" w:cs="Times New Roman"/>
                <w:sz w:val="20"/>
              </w:rPr>
              <w:t xml:space="preserve">tools for supporting </w:t>
            </w:r>
            <w:r w:rsidRPr="00A73F3C">
              <w:rPr>
                <w:rFonts w:ascii="Times New Roman" w:hAnsi="Times New Roman" w:cs="Times New Roman"/>
                <w:sz w:val="20"/>
              </w:rPr>
              <w:t>pavement</w:t>
            </w:r>
            <w:r>
              <w:rPr>
                <w:rFonts w:ascii="Times New Roman" w:hAnsi="Times New Roman" w:cs="Times New Roman"/>
                <w:sz w:val="20"/>
              </w:rPr>
              <w:t xml:space="preserve"> management.</w:t>
            </w:r>
          </w:p>
          <w:p w:rsidR="009E37B0" w:rsidRDefault="00C175C6" w:rsidP="009E37B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Continued work on </w:t>
            </w:r>
            <w:r w:rsidR="009E37B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E37B0" w:rsidRPr="009E37B0">
              <w:rPr>
                <w:rFonts w:ascii="Times New Roman" w:hAnsi="Times New Roman" w:cs="Times New Roman"/>
                <w:sz w:val="20"/>
                <w:szCs w:val="20"/>
              </w:rPr>
              <w:t>ynthesiz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9E37B0" w:rsidRPr="009E37B0">
              <w:rPr>
                <w:rFonts w:ascii="Times New Roman" w:hAnsi="Times New Roman" w:cs="Times New Roman"/>
                <w:sz w:val="20"/>
                <w:szCs w:val="20"/>
              </w:rPr>
              <w:t xml:space="preserve"> long-term performance data from states with active in-place recycling programs.</w:t>
            </w:r>
          </w:p>
          <w:p w:rsidR="008B3FBF" w:rsidRPr="00B52103" w:rsidRDefault="00C175C6" w:rsidP="00B5210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Participated in </w:t>
            </w:r>
            <w:r w:rsidR="008B3FBF">
              <w:rPr>
                <w:rFonts w:ascii="Times New Roman" w:hAnsi="Times New Roman" w:cs="Times New Roman"/>
                <w:sz w:val="20"/>
              </w:rPr>
              <w:t xml:space="preserve">the </w:t>
            </w:r>
            <w:r w:rsidR="001F231D" w:rsidRPr="001F231D">
              <w:rPr>
                <w:rFonts w:ascii="Times New Roman" w:hAnsi="Times New Roman" w:cs="Times New Roman"/>
                <w:i/>
                <w:sz w:val="20"/>
              </w:rPr>
              <w:t>95</w:t>
            </w:r>
            <w:r w:rsidR="001F231D" w:rsidRPr="001F231D">
              <w:rPr>
                <w:rFonts w:ascii="Times New Roman" w:hAnsi="Times New Roman" w:cs="Times New Roman"/>
                <w:i/>
                <w:sz w:val="20"/>
                <w:vertAlign w:val="superscript"/>
              </w:rPr>
              <w:t>th</w:t>
            </w:r>
            <w:r w:rsidR="001F231D" w:rsidRPr="001F231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8B3FBF" w:rsidRPr="001F231D">
              <w:rPr>
                <w:rFonts w:ascii="Times New Roman" w:hAnsi="Times New Roman" w:cs="Times New Roman"/>
                <w:i/>
                <w:sz w:val="20"/>
              </w:rPr>
              <w:t>Annual Meeting of the Transportation Research Board</w:t>
            </w:r>
            <w:r>
              <w:rPr>
                <w:rFonts w:ascii="Times New Roman" w:hAnsi="Times New Roman" w:cs="Times New Roman"/>
                <w:sz w:val="20"/>
              </w:rPr>
              <w:t xml:space="preserve"> with the following presentations</w:t>
            </w:r>
            <w:r w:rsidR="00B52103">
              <w:rPr>
                <w:rFonts w:ascii="Times New Roman" w:hAnsi="Times New Roman" w:cs="Times New Roman"/>
                <w:sz w:val="20"/>
              </w:rPr>
              <w:t>:</w:t>
            </w:r>
          </w:p>
          <w:p w:rsidR="00B52103" w:rsidRPr="001F231D" w:rsidRDefault="009E37B0" w:rsidP="009E37B0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697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1F231D">
              <w:rPr>
                <w:rFonts w:ascii="Times New Roman" w:hAnsi="Times New Roman" w:cs="Times New Roman"/>
                <w:bCs/>
                <w:sz w:val="20"/>
              </w:rPr>
              <w:t>Fernandez Flores, R., and Flintsch, G.W., “</w:t>
            </w:r>
            <w:r w:rsidRPr="001F231D">
              <w:rPr>
                <w:rFonts w:ascii="Helvetica Neue" w:hAnsi="Helvetica Neue" w:cs="Arial"/>
                <w:iCs/>
                <w:color w:val="232323"/>
                <w:sz w:val="20"/>
              </w:rPr>
              <w:t>ECOLABEL (now LCE4ROADS) Project (EU) and National Sustainable Pavement Consortium Project (US)</w:t>
            </w:r>
            <w:r w:rsidRPr="001F231D">
              <w:rPr>
                <w:rFonts w:ascii="Times New Roman" w:hAnsi="Times New Roman" w:cs="Times New Roman"/>
                <w:bCs/>
                <w:sz w:val="20"/>
              </w:rPr>
              <w:t xml:space="preserve">,” session </w:t>
            </w:r>
            <w:r w:rsidR="001F231D">
              <w:rPr>
                <w:rFonts w:ascii="Times New Roman" w:hAnsi="Times New Roman" w:cs="Times New Roman"/>
                <w:bCs/>
                <w:sz w:val="20"/>
              </w:rPr>
              <w:t xml:space="preserve">673 </w:t>
            </w:r>
            <w:r w:rsidRPr="001F231D">
              <w:rPr>
                <w:rFonts w:ascii="Times New Roman" w:hAnsi="Times New Roman" w:cs="Times New Roman"/>
                <w:bCs/>
                <w:i/>
                <w:sz w:val="20"/>
              </w:rPr>
              <w:t xml:space="preserve">Leveraging Knowledge </w:t>
            </w:r>
            <w:r w:rsidR="001F231D" w:rsidRPr="001F231D">
              <w:rPr>
                <w:rFonts w:ascii="Times New Roman" w:hAnsi="Times New Roman" w:cs="Times New Roman"/>
                <w:bCs/>
                <w:i/>
                <w:sz w:val="20"/>
              </w:rPr>
              <w:t>through</w:t>
            </w:r>
            <w:r w:rsidRPr="001F231D">
              <w:rPr>
                <w:rFonts w:ascii="Times New Roman" w:hAnsi="Times New Roman" w:cs="Times New Roman"/>
                <w:bCs/>
                <w:i/>
                <w:sz w:val="20"/>
              </w:rPr>
              <w:t xml:space="preserve"> Twinning of Research Projects: Three Twinned Projects from European Commission Horizon 2020 and FHWA</w:t>
            </w:r>
            <w:r w:rsidRPr="001F231D">
              <w:rPr>
                <w:rFonts w:ascii="Times New Roman" w:hAnsi="Times New Roman" w:cs="Times New Roman"/>
                <w:bCs/>
                <w:sz w:val="20"/>
              </w:rPr>
              <w:t xml:space="preserve">. </w:t>
            </w:r>
          </w:p>
          <w:p w:rsidR="00B52103" w:rsidRPr="001F231D" w:rsidRDefault="00B52103" w:rsidP="001F231D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697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1F231D">
              <w:rPr>
                <w:rFonts w:ascii="Times New Roman" w:hAnsi="Times New Roman" w:cs="Times New Roman"/>
                <w:sz w:val="20"/>
              </w:rPr>
              <w:t>Bryce, J., Parry, T., Lo Presti, D. and Flintsch, G.W. “</w:t>
            </w:r>
            <w:r w:rsidRPr="001F231D">
              <w:rPr>
                <w:rFonts w:ascii="Times New Roman" w:hAnsi="Times New Roman" w:cs="Times New Roman"/>
                <w:bCs/>
                <w:sz w:val="20"/>
              </w:rPr>
              <w:t>Approaches to Weighting within Transportation Infrastructure,”</w:t>
            </w:r>
            <w:r w:rsidR="001F231D" w:rsidRPr="001F231D">
              <w:rPr>
                <w:rFonts w:ascii="Times New Roman" w:hAnsi="Times New Roman" w:cs="Times New Roman"/>
                <w:bCs/>
                <w:sz w:val="20"/>
              </w:rPr>
              <w:t xml:space="preserve"> session 532 </w:t>
            </w:r>
            <w:r w:rsidR="001F231D" w:rsidRPr="001F231D">
              <w:rPr>
                <w:rFonts w:ascii="Times New Roman" w:hAnsi="Times New Roman" w:cs="Times New Roman"/>
                <w:bCs/>
                <w:i/>
                <w:sz w:val="20"/>
              </w:rPr>
              <w:t>Transportation and Sustainability: Highlighted Papers</w:t>
            </w:r>
            <w:r w:rsidRPr="001F231D">
              <w:rPr>
                <w:rFonts w:ascii="Times New Roman" w:hAnsi="Times New Roman" w:cs="Times New Roman"/>
                <w:sz w:val="20"/>
              </w:rPr>
              <w:t>.</w:t>
            </w:r>
          </w:p>
          <w:p w:rsidR="00A2331C" w:rsidRPr="00A2331C" w:rsidRDefault="00A2331C" w:rsidP="00A23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1B82" w:rsidRDefault="00FE1B82" w:rsidP="00FE1B82">
      <w:pPr>
        <w:pStyle w:val="NoSpacing"/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3" w:type="dxa"/>
          </w:tcPr>
          <w:p w:rsidR="00601EBD" w:rsidRDefault="00601EBD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B2B65" w:rsidRDefault="00C175C6" w:rsidP="000B2B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Complete</w:t>
            </w:r>
            <w:r w:rsidR="000B2B65">
              <w:rPr>
                <w:rFonts w:ascii="Times New Roman" w:hAnsi="Times New Roman" w:cs="Times New Roman"/>
                <w:sz w:val="20"/>
              </w:rPr>
              <w:t xml:space="preserve"> work on </w:t>
            </w:r>
            <w:r w:rsidR="000B2B65" w:rsidRPr="00A73F3C">
              <w:rPr>
                <w:rFonts w:ascii="Times New Roman" w:hAnsi="Times New Roman" w:cs="Times New Roman"/>
                <w:sz w:val="20"/>
              </w:rPr>
              <w:t xml:space="preserve">incorporating </w:t>
            </w:r>
            <w:r w:rsidR="00761218">
              <w:rPr>
                <w:rFonts w:ascii="Times New Roman" w:hAnsi="Times New Roman" w:cs="Times New Roman"/>
                <w:sz w:val="20"/>
              </w:rPr>
              <w:t xml:space="preserve">LCA </w:t>
            </w:r>
            <w:r w:rsidR="000B2B65" w:rsidRPr="00A73F3C">
              <w:rPr>
                <w:rFonts w:ascii="Times New Roman" w:hAnsi="Times New Roman" w:cs="Times New Roman"/>
                <w:sz w:val="20"/>
              </w:rPr>
              <w:t>into the pavement-type selection process</w:t>
            </w:r>
            <w:r w:rsidR="000B2B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331C" w:rsidRDefault="00A2331C" w:rsidP="000B2B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</w:t>
            </w:r>
            <w:r w:rsidR="00C175C6">
              <w:rPr>
                <w:rFonts w:ascii="Times New Roman" w:hAnsi="Times New Roman" w:cs="Times New Roman"/>
                <w:sz w:val="20"/>
              </w:rPr>
              <w:t>mplete</w:t>
            </w:r>
            <w:r>
              <w:rPr>
                <w:rFonts w:ascii="Times New Roman" w:hAnsi="Times New Roman" w:cs="Times New Roman"/>
                <w:sz w:val="20"/>
              </w:rPr>
              <w:t xml:space="preserve"> work on integrating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life-cycle </w:t>
            </w:r>
            <w:r>
              <w:rPr>
                <w:rFonts w:ascii="Times New Roman" w:hAnsi="Times New Roman" w:cs="Times New Roman"/>
                <w:sz w:val="20"/>
              </w:rPr>
              <w:t xml:space="preserve">environmental and cost </w:t>
            </w:r>
            <w:r w:rsidRPr="00A73F3C">
              <w:rPr>
                <w:rFonts w:ascii="Times New Roman" w:hAnsi="Times New Roman" w:cs="Times New Roman"/>
                <w:sz w:val="20"/>
              </w:rPr>
              <w:t xml:space="preserve">assessment </w:t>
            </w:r>
            <w:r>
              <w:rPr>
                <w:rFonts w:ascii="Times New Roman" w:hAnsi="Times New Roman" w:cs="Times New Roman"/>
                <w:sz w:val="20"/>
              </w:rPr>
              <w:t xml:space="preserve">tools for supporting </w:t>
            </w:r>
            <w:r w:rsidRPr="00A73F3C">
              <w:rPr>
                <w:rFonts w:ascii="Times New Roman" w:hAnsi="Times New Roman" w:cs="Times New Roman"/>
                <w:sz w:val="20"/>
              </w:rPr>
              <w:t>pavement</w:t>
            </w:r>
            <w:r>
              <w:rPr>
                <w:rFonts w:ascii="Times New Roman" w:hAnsi="Times New Roman" w:cs="Times New Roman"/>
                <w:sz w:val="20"/>
              </w:rPr>
              <w:t xml:space="preserve"> management</w:t>
            </w:r>
          </w:p>
          <w:p w:rsidR="00B52103" w:rsidRDefault="008B3FBF" w:rsidP="00A2331C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Continue work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the </w:t>
            </w:r>
            <w:r w:rsidRPr="008B3FBF">
              <w:rPr>
                <w:rFonts w:ascii="Times New Roman" w:hAnsi="Times New Roman" w:cs="Times New Roman"/>
                <w:sz w:val="20"/>
                <w:szCs w:val="20"/>
              </w:rPr>
              <w:t>synthesi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of</w:t>
            </w:r>
            <w:r w:rsidRPr="008B3FBF">
              <w:rPr>
                <w:rFonts w:ascii="Times New Roman" w:hAnsi="Times New Roman" w:cs="Times New Roman"/>
                <w:sz w:val="20"/>
                <w:szCs w:val="20"/>
              </w:rPr>
              <w:t xml:space="preserve"> long-term performance data from states with active in-place recycling programs</w:t>
            </w:r>
            <w:r w:rsidR="00B5210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D9781A" w:rsidRPr="00311385" w:rsidRDefault="00D9781A" w:rsidP="00C175C6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E1B82">
      <w:pPr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FE1B82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ignificant Results:</w:t>
            </w:r>
          </w:p>
          <w:p w:rsidR="00B52103" w:rsidRDefault="000A1AE0" w:rsidP="001F231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650F82">
              <w:rPr>
                <w:rFonts w:ascii="Times New Roman" w:hAnsi="Times New Roman" w:cs="Times New Roman"/>
                <w:sz w:val="20"/>
                <w:szCs w:val="20"/>
              </w:rPr>
              <w:t>Published</w:t>
            </w:r>
            <w:r w:rsidR="00650F82" w:rsidRPr="00650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1B82">
              <w:rPr>
                <w:rFonts w:ascii="Times New Roman" w:hAnsi="Times New Roman" w:cs="Times New Roman"/>
                <w:sz w:val="20"/>
                <w:szCs w:val="20"/>
              </w:rPr>
              <w:t xml:space="preserve">the following </w:t>
            </w:r>
            <w:r w:rsidR="00650F82" w:rsidRPr="00650F82">
              <w:rPr>
                <w:rFonts w:ascii="Times New Roman" w:hAnsi="Times New Roman" w:cs="Times New Roman"/>
                <w:sz w:val="20"/>
                <w:szCs w:val="20"/>
              </w:rPr>
              <w:t xml:space="preserve">peer-reviewed </w:t>
            </w:r>
            <w:r w:rsidR="00C175C6">
              <w:rPr>
                <w:rFonts w:ascii="Times New Roman" w:hAnsi="Times New Roman" w:cs="Times New Roman"/>
                <w:sz w:val="20"/>
                <w:szCs w:val="20"/>
              </w:rPr>
              <w:t xml:space="preserve">conference </w:t>
            </w:r>
            <w:r w:rsidR="00650F82" w:rsidRPr="00650F82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r w:rsidRPr="00650F8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FE1B82" w:rsidRPr="001F231D" w:rsidRDefault="00C175C6" w:rsidP="00C175C6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697"/>
              <w:contextualSpacing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2103">
              <w:rPr>
                <w:rFonts w:ascii="Times New Roman" w:hAnsi="Times New Roman" w:cs="Times New Roman"/>
                <w:sz w:val="20"/>
              </w:rPr>
              <w:t>Bryce, J., Parry, T., Lo Presti, D. and Flintsch, G.W. “</w:t>
            </w:r>
            <w:r w:rsidRPr="00B52103">
              <w:rPr>
                <w:rFonts w:ascii="Times New Roman" w:hAnsi="Times New Roman" w:cs="Times New Roman"/>
                <w:bCs/>
                <w:sz w:val="20"/>
              </w:rPr>
              <w:t xml:space="preserve">Approaches to Weighting within Transportation Infrastructure,” </w:t>
            </w:r>
            <w:r w:rsidRPr="00B52103">
              <w:rPr>
                <w:rFonts w:ascii="Times New Roman" w:hAnsi="Times New Roman" w:cs="Times New Roman"/>
                <w:sz w:val="20"/>
              </w:rPr>
              <w:t>Paper No. 16-3987</w:t>
            </w:r>
            <w:r w:rsidRPr="00B52103"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r w:rsidR="001F231D">
              <w:rPr>
                <w:rFonts w:ascii="Times New Roman" w:hAnsi="Times New Roman" w:cs="Times New Roman"/>
                <w:i/>
                <w:sz w:val="20"/>
              </w:rPr>
              <w:t xml:space="preserve">Proceedings of the </w:t>
            </w:r>
            <w:r w:rsidRPr="00B52103">
              <w:rPr>
                <w:rFonts w:ascii="Times New Roman" w:hAnsi="Times New Roman" w:cs="Times New Roman"/>
                <w:i/>
                <w:sz w:val="20"/>
              </w:rPr>
              <w:t>95</w:t>
            </w:r>
            <w:r w:rsidRPr="00B52103">
              <w:rPr>
                <w:rFonts w:ascii="Times New Roman" w:hAnsi="Times New Roman" w:cs="Times New Roman"/>
                <w:i/>
                <w:sz w:val="20"/>
                <w:vertAlign w:val="superscript"/>
              </w:rPr>
              <w:t>th</w:t>
            </w:r>
            <w:r w:rsidRPr="00B52103">
              <w:rPr>
                <w:rFonts w:ascii="Times New Roman" w:hAnsi="Times New Roman" w:cs="Times New Roman"/>
                <w:i/>
                <w:sz w:val="20"/>
              </w:rPr>
              <w:t xml:space="preserve"> Annual Meeting of the Transportation Research Board</w:t>
            </w:r>
            <w:r w:rsidRPr="00B52103">
              <w:rPr>
                <w:rFonts w:ascii="Times New Roman" w:hAnsi="Times New Roman" w:cs="Times New Roman"/>
                <w:sz w:val="20"/>
              </w:rPr>
              <w:t>, Jan 10-14, 2016, Washington, DC.</w:t>
            </w:r>
          </w:p>
          <w:p w:rsidR="00E62980" w:rsidRDefault="00E62980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62980" w:rsidRDefault="00E62980" w:rsidP="00FE1B82">
      <w:pPr>
        <w:spacing w:after="0" w:line="240" w:lineRule="auto"/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:rsidR="00601EBD" w:rsidRPr="00FE1B82" w:rsidRDefault="00601EBD" w:rsidP="00FE1B82">
            <w:pPr>
              <w:ind w:right="-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2329" w:rsidRPr="00FE1B82" w:rsidRDefault="00252329" w:rsidP="00FE1B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1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problems were encountered in this quarter.</w:t>
            </w:r>
          </w:p>
          <w:p w:rsidR="00601EBD" w:rsidRDefault="00601EBD" w:rsidP="00FE1B8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E1B82">
      <w:pPr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Pr="00FE1B82" w:rsidRDefault="00547EE3" w:rsidP="00FE1B82">
            <w:pPr>
              <w:ind w:right="-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B82" w:rsidRPr="00FE1B82" w:rsidRDefault="00FE1B82" w:rsidP="00FE1B82">
            <w:pPr>
              <w:ind w:right="-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E0F" w:rsidRPr="00FE1B82" w:rsidRDefault="00E35E0F" w:rsidP="00FE1B82">
            <w:pPr>
              <w:ind w:right="-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E0F" w:rsidRDefault="00E35E0F" w:rsidP="00FE1B8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E1B82">
      <w:pPr>
        <w:spacing w:after="0" w:line="240" w:lineRule="auto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AB" w:rsidRDefault="005037AB" w:rsidP="00106C83">
      <w:pPr>
        <w:spacing w:after="0" w:line="240" w:lineRule="auto"/>
      </w:pPr>
      <w:r>
        <w:separator/>
      </w:r>
    </w:p>
  </w:endnote>
  <w:endnote w:type="continuationSeparator" w:id="0">
    <w:p w:rsidR="005037AB" w:rsidRDefault="005037A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F69" w:rsidRPr="00D31096" w:rsidRDefault="009A4F69" w:rsidP="009E37B0">
    <w:pPr>
      <w:pStyle w:val="Footer"/>
      <w:ind w:left="-810"/>
      <w:rPr>
        <w:sz w:val="20"/>
      </w:rPr>
    </w:pPr>
    <w:r w:rsidRPr="00D31096">
      <w:rPr>
        <w:sz w:val="20"/>
      </w:rPr>
      <w:t>TPF Program Standar</w:t>
    </w:r>
    <w:r w:rsidR="00B15133" w:rsidRPr="00D31096">
      <w:rPr>
        <w:sz w:val="20"/>
      </w:rPr>
      <w:t xml:space="preserve">d Quarterly Reporting Format – </w:t>
    </w:r>
    <w:r w:rsidR="00C175C6">
      <w:rPr>
        <w:sz w:val="20"/>
      </w:rPr>
      <w:t>01</w:t>
    </w:r>
    <w:r w:rsidRPr="00D31096">
      <w:rPr>
        <w:sz w:val="20"/>
      </w:rPr>
      <w:t>/201</w:t>
    </w:r>
    <w:r w:rsidR="00C175C6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AB" w:rsidRDefault="005037AB" w:rsidP="00106C83">
      <w:pPr>
        <w:spacing w:after="0" w:line="240" w:lineRule="auto"/>
      </w:pPr>
      <w:r>
        <w:separator/>
      </w:r>
    </w:p>
  </w:footnote>
  <w:footnote w:type="continuationSeparator" w:id="0">
    <w:p w:rsidR="005037AB" w:rsidRDefault="005037AB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5F68"/>
    <w:multiLevelType w:val="hybridMultilevel"/>
    <w:tmpl w:val="AAA86CA4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D5AF1"/>
    <w:multiLevelType w:val="hybridMultilevel"/>
    <w:tmpl w:val="DF4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806ED"/>
    <w:multiLevelType w:val="hybridMultilevel"/>
    <w:tmpl w:val="A3EE5466"/>
    <w:lvl w:ilvl="0" w:tplc="3F2C0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44AD1"/>
    <w:multiLevelType w:val="hybridMultilevel"/>
    <w:tmpl w:val="6602E098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C188D"/>
    <w:multiLevelType w:val="hybridMultilevel"/>
    <w:tmpl w:val="42B44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DE7C5A"/>
    <w:multiLevelType w:val="hybridMultilevel"/>
    <w:tmpl w:val="D51C4AD4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5185790">
      <w:start w:val="1"/>
      <w:numFmt w:val="decimal"/>
      <w:lvlText w:val="(%2)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sz w:val="18"/>
        <w:vertAlign w:val="baseline"/>
      </w:rPr>
    </w:lvl>
    <w:lvl w:ilvl="2" w:tplc="57E67926">
      <w:start w:val="1"/>
      <w:numFmt w:val="bullet"/>
      <w:lvlText w:val="ü"/>
      <w:lvlJc w:val="left"/>
      <w:pPr>
        <w:ind w:left="2160" w:hanging="360"/>
      </w:pPr>
      <w:rPr>
        <w:rFonts w:ascii="Wingdings" w:hAnsi="Wingdings" w:hint="default"/>
        <w:sz w:val="16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F5903"/>
    <w:multiLevelType w:val="hybridMultilevel"/>
    <w:tmpl w:val="5978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60BD0"/>
    <w:multiLevelType w:val="hybridMultilevel"/>
    <w:tmpl w:val="DB14092C"/>
    <w:lvl w:ilvl="0" w:tplc="A2C02146">
      <w:start w:val="1"/>
      <w:numFmt w:val="bullet"/>
      <w:lvlText w:val=""/>
      <w:lvlJc w:val="left"/>
      <w:pPr>
        <w:ind w:left="-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44B05FE5"/>
    <w:multiLevelType w:val="hybridMultilevel"/>
    <w:tmpl w:val="1FAC8FA6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D62092"/>
    <w:multiLevelType w:val="hybridMultilevel"/>
    <w:tmpl w:val="60ECD4D4"/>
    <w:lvl w:ilvl="0" w:tplc="775C8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06B50"/>
    <w:multiLevelType w:val="singleLevel"/>
    <w:tmpl w:val="FFFFFFFF"/>
    <w:lvl w:ilvl="0">
      <w:numFmt w:val="decimal"/>
      <w:pStyle w:val="Heading6"/>
      <w:lvlText w:val="%1"/>
      <w:legacy w:legacy="1" w:legacySpace="0" w:legacyIndent="0"/>
      <w:lvlJc w:val="left"/>
    </w:lvl>
  </w:abstractNum>
  <w:abstractNum w:abstractNumId="11">
    <w:nsid w:val="50E64E2A"/>
    <w:multiLevelType w:val="hybridMultilevel"/>
    <w:tmpl w:val="BFB05DF0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E571B"/>
    <w:multiLevelType w:val="hybridMultilevel"/>
    <w:tmpl w:val="D27C7ECC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5326B"/>
    <w:multiLevelType w:val="hybridMultilevel"/>
    <w:tmpl w:val="062CFEEC"/>
    <w:lvl w:ilvl="0" w:tplc="877AB2F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246A3"/>
    <w:multiLevelType w:val="hybridMultilevel"/>
    <w:tmpl w:val="AF1C6724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55BB7"/>
    <w:multiLevelType w:val="hybridMultilevel"/>
    <w:tmpl w:val="D3085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57E67926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CC480B"/>
    <w:multiLevelType w:val="hybridMultilevel"/>
    <w:tmpl w:val="C16608DE"/>
    <w:lvl w:ilvl="0" w:tplc="E56C26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A32823"/>
    <w:multiLevelType w:val="hybridMultilevel"/>
    <w:tmpl w:val="16D68DFE"/>
    <w:lvl w:ilvl="0" w:tplc="57E6792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74F4A"/>
    <w:multiLevelType w:val="hybridMultilevel"/>
    <w:tmpl w:val="81EA648E"/>
    <w:lvl w:ilvl="0" w:tplc="0866859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664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13"/>
  </w:num>
  <w:num w:numId="6">
    <w:abstractNumId w:val="3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  <w:num w:numId="15">
    <w:abstractNumId w:val="17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20933"/>
    <w:rsid w:val="00022719"/>
    <w:rsid w:val="00033392"/>
    <w:rsid w:val="00037FBC"/>
    <w:rsid w:val="00045432"/>
    <w:rsid w:val="00053C82"/>
    <w:rsid w:val="00063343"/>
    <w:rsid w:val="000633BE"/>
    <w:rsid w:val="000736BB"/>
    <w:rsid w:val="00073B8C"/>
    <w:rsid w:val="0009799A"/>
    <w:rsid w:val="000A1AE0"/>
    <w:rsid w:val="000B2B65"/>
    <w:rsid w:val="000B47C1"/>
    <w:rsid w:val="000B665A"/>
    <w:rsid w:val="000C0C29"/>
    <w:rsid w:val="000C2A18"/>
    <w:rsid w:val="000D3E74"/>
    <w:rsid w:val="000F13CC"/>
    <w:rsid w:val="000F310F"/>
    <w:rsid w:val="00106C83"/>
    <w:rsid w:val="0011755D"/>
    <w:rsid w:val="00117DBD"/>
    <w:rsid w:val="001500A2"/>
    <w:rsid w:val="001547D0"/>
    <w:rsid w:val="00161153"/>
    <w:rsid w:val="00180B1A"/>
    <w:rsid w:val="001D23CD"/>
    <w:rsid w:val="001F231D"/>
    <w:rsid w:val="001F544C"/>
    <w:rsid w:val="001F72AA"/>
    <w:rsid w:val="0021446D"/>
    <w:rsid w:val="002230EC"/>
    <w:rsid w:val="00243BCD"/>
    <w:rsid w:val="002478B9"/>
    <w:rsid w:val="00252329"/>
    <w:rsid w:val="00280DA6"/>
    <w:rsid w:val="00291B47"/>
    <w:rsid w:val="00293168"/>
    <w:rsid w:val="00293FD8"/>
    <w:rsid w:val="002A79C8"/>
    <w:rsid w:val="002B19D5"/>
    <w:rsid w:val="002B5C96"/>
    <w:rsid w:val="002C48DC"/>
    <w:rsid w:val="002D410E"/>
    <w:rsid w:val="002E2339"/>
    <w:rsid w:val="002E2737"/>
    <w:rsid w:val="002E6C10"/>
    <w:rsid w:val="003052AE"/>
    <w:rsid w:val="00311385"/>
    <w:rsid w:val="00331E56"/>
    <w:rsid w:val="00387004"/>
    <w:rsid w:val="0038705A"/>
    <w:rsid w:val="003937D7"/>
    <w:rsid w:val="003F7C7B"/>
    <w:rsid w:val="0040025E"/>
    <w:rsid w:val="004144E6"/>
    <w:rsid w:val="004156B2"/>
    <w:rsid w:val="00437734"/>
    <w:rsid w:val="004815E6"/>
    <w:rsid w:val="0048228E"/>
    <w:rsid w:val="004A2B86"/>
    <w:rsid w:val="004D38AD"/>
    <w:rsid w:val="004E14DC"/>
    <w:rsid w:val="004F4A4E"/>
    <w:rsid w:val="005037AB"/>
    <w:rsid w:val="00505675"/>
    <w:rsid w:val="00507BF3"/>
    <w:rsid w:val="00535598"/>
    <w:rsid w:val="00547EE3"/>
    <w:rsid w:val="00551D8A"/>
    <w:rsid w:val="00581B36"/>
    <w:rsid w:val="00583E8E"/>
    <w:rsid w:val="005A094C"/>
    <w:rsid w:val="005C1F1D"/>
    <w:rsid w:val="005D2816"/>
    <w:rsid w:val="005D2EEE"/>
    <w:rsid w:val="005D63B2"/>
    <w:rsid w:val="005F495C"/>
    <w:rsid w:val="00601EBD"/>
    <w:rsid w:val="00613743"/>
    <w:rsid w:val="00615E8A"/>
    <w:rsid w:val="00630ED3"/>
    <w:rsid w:val="00650F82"/>
    <w:rsid w:val="00652B54"/>
    <w:rsid w:val="006640FE"/>
    <w:rsid w:val="00682C5E"/>
    <w:rsid w:val="006959CF"/>
    <w:rsid w:val="006D13B2"/>
    <w:rsid w:val="007309AD"/>
    <w:rsid w:val="007405FD"/>
    <w:rsid w:val="00743C01"/>
    <w:rsid w:val="00761218"/>
    <w:rsid w:val="00790C4A"/>
    <w:rsid w:val="007A0F2A"/>
    <w:rsid w:val="007E00B2"/>
    <w:rsid w:val="007E5BD2"/>
    <w:rsid w:val="007F5E7C"/>
    <w:rsid w:val="007F6174"/>
    <w:rsid w:val="00804D8C"/>
    <w:rsid w:val="00851F95"/>
    <w:rsid w:val="00872F18"/>
    <w:rsid w:val="00874EF7"/>
    <w:rsid w:val="00877839"/>
    <w:rsid w:val="00886229"/>
    <w:rsid w:val="008966C2"/>
    <w:rsid w:val="008B3FBF"/>
    <w:rsid w:val="009022DD"/>
    <w:rsid w:val="00956F6C"/>
    <w:rsid w:val="009A4F69"/>
    <w:rsid w:val="009C2571"/>
    <w:rsid w:val="009E37B0"/>
    <w:rsid w:val="009E41F0"/>
    <w:rsid w:val="00A0086F"/>
    <w:rsid w:val="00A04450"/>
    <w:rsid w:val="00A12E9C"/>
    <w:rsid w:val="00A2331C"/>
    <w:rsid w:val="00A27406"/>
    <w:rsid w:val="00A43875"/>
    <w:rsid w:val="00A63677"/>
    <w:rsid w:val="00A67502"/>
    <w:rsid w:val="00A73F3C"/>
    <w:rsid w:val="00AB6328"/>
    <w:rsid w:val="00AE3A35"/>
    <w:rsid w:val="00AE46B0"/>
    <w:rsid w:val="00AF3BD9"/>
    <w:rsid w:val="00B15133"/>
    <w:rsid w:val="00B2185C"/>
    <w:rsid w:val="00B242E2"/>
    <w:rsid w:val="00B3765E"/>
    <w:rsid w:val="00B52103"/>
    <w:rsid w:val="00B62C1E"/>
    <w:rsid w:val="00B66A21"/>
    <w:rsid w:val="00B67DF3"/>
    <w:rsid w:val="00B86832"/>
    <w:rsid w:val="00BA3A51"/>
    <w:rsid w:val="00BA3B78"/>
    <w:rsid w:val="00BB2552"/>
    <w:rsid w:val="00BF65F3"/>
    <w:rsid w:val="00C00EA1"/>
    <w:rsid w:val="00C03DC2"/>
    <w:rsid w:val="00C05196"/>
    <w:rsid w:val="00C070E3"/>
    <w:rsid w:val="00C13753"/>
    <w:rsid w:val="00C175C6"/>
    <w:rsid w:val="00C27321"/>
    <w:rsid w:val="00C45B8C"/>
    <w:rsid w:val="00C5699A"/>
    <w:rsid w:val="00C70EB4"/>
    <w:rsid w:val="00C77B1F"/>
    <w:rsid w:val="00C83395"/>
    <w:rsid w:val="00CA0D41"/>
    <w:rsid w:val="00CE494D"/>
    <w:rsid w:val="00CF54D2"/>
    <w:rsid w:val="00D05DC0"/>
    <w:rsid w:val="00D17D0F"/>
    <w:rsid w:val="00D27742"/>
    <w:rsid w:val="00D31096"/>
    <w:rsid w:val="00D3415F"/>
    <w:rsid w:val="00D538B1"/>
    <w:rsid w:val="00D55EF6"/>
    <w:rsid w:val="00D563FD"/>
    <w:rsid w:val="00D67E74"/>
    <w:rsid w:val="00D71B3E"/>
    <w:rsid w:val="00D859E1"/>
    <w:rsid w:val="00D869A5"/>
    <w:rsid w:val="00D9781A"/>
    <w:rsid w:val="00DE1DC8"/>
    <w:rsid w:val="00DE278D"/>
    <w:rsid w:val="00DF1ACA"/>
    <w:rsid w:val="00DF4AC5"/>
    <w:rsid w:val="00E047A4"/>
    <w:rsid w:val="00E35E0F"/>
    <w:rsid w:val="00E371D1"/>
    <w:rsid w:val="00E53738"/>
    <w:rsid w:val="00E62980"/>
    <w:rsid w:val="00E6380B"/>
    <w:rsid w:val="00E64733"/>
    <w:rsid w:val="00E71C6A"/>
    <w:rsid w:val="00E73C5C"/>
    <w:rsid w:val="00E77CF2"/>
    <w:rsid w:val="00ED5CBC"/>
    <w:rsid w:val="00ED5F67"/>
    <w:rsid w:val="00EF08AE"/>
    <w:rsid w:val="00EF5790"/>
    <w:rsid w:val="00F1051C"/>
    <w:rsid w:val="00F32697"/>
    <w:rsid w:val="00F73308"/>
    <w:rsid w:val="00F90869"/>
    <w:rsid w:val="00FA2E48"/>
    <w:rsid w:val="00FA56F7"/>
    <w:rsid w:val="00FE1B82"/>
    <w:rsid w:val="00FF047F"/>
    <w:rsid w:val="00FF32BE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43BCD"/>
    <w:pPr>
      <w:numPr>
        <w:numId w:val="7"/>
      </w:numPr>
      <w:tabs>
        <w:tab w:val="left" w:pos="360"/>
      </w:tabs>
      <w:spacing w:before="240" w:after="60" w:line="240" w:lineRule="auto"/>
      <w:ind w:left="360" w:hanging="360"/>
      <w:jc w:val="both"/>
      <w:outlineLvl w:val="5"/>
    </w:pPr>
    <w:rPr>
      <w:rFonts w:ascii="Arial" w:eastAsia="Times New Roman" w:hAnsi="Arial" w:cs="Times New Roman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99"/>
    <w:qFormat/>
    <w:rsid w:val="00D27742"/>
    <w:pPr>
      <w:ind w:left="720"/>
      <w:contextualSpacing/>
    </w:pPr>
  </w:style>
  <w:style w:type="paragraph" w:customStyle="1" w:styleId="Default">
    <w:name w:val="Default"/>
    <w:rsid w:val="00D2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autoRedefine/>
    <w:rsid w:val="003F7C7B"/>
    <w:pPr>
      <w:numPr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43BCD"/>
    <w:rPr>
      <w:rFonts w:ascii="Arial" w:eastAsia="Times New Roman" w:hAnsi="Arial" w:cs="Times New Roman"/>
      <w:i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43BCD"/>
    <w:pPr>
      <w:numPr>
        <w:numId w:val="7"/>
      </w:numPr>
      <w:tabs>
        <w:tab w:val="left" w:pos="360"/>
      </w:tabs>
      <w:spacing w:before="240" w:after="60" w:line="240" w:lineRule="auto"/>
      <w:ind w:left="360" w:hanging="360"/>
      <w:jc w:val="both"/>
      <w:outlineLvl w:val="5"/>
    </w:pPr>
    <w:rPr>
      <w:rFonts w:ascii="Arial" w:eastAsia="Times New Roman" w:hAnsi="Arial" w:cs="Times New Roman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99"/>
    <w:qFormat/>
    <w:rsid w:val="00D27742"/>
    <w:pPr>
      <w:ind w:left="720"/>
      <w:contextualSpacing/>
    </w:pPr>
  </w:style>
  <w:style w:type="paragraph" w:customStyle="1" w:styleId="Default">
    <w:name w:val="Default"/>
    <w:rsid w:val="00D2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autoRedefine/>
    <w:rsid w:val="003F7C7B"/>
    <w:pPr>
      <w:numPr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43BCD"/>
    <w:rPr>
      <w:rFonts w:ascii="Arial" w:eastAsia="Times New Roman" w:hAnsi="Arial" w:cs="Times New Roman"/>
      <w:i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en.Bowers@vdot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311A2-C645-4827-8769-F0200956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Ben.Bowers</cp:lastModifiedBy>
  <cp:revision>2</cp:revision>
  <cp:lastPrinted>2014-05-26T16:06:00Z</cp:lastPrinted>
  <dcterms:created xsi:type="dcterms:W3CDTF">2016-06-06T12:00:00Z</dcterms:created>
  <dcterms:modified xsi:type="dcterms:W3CDTF">2016-06-06T12:00:00Z</dcterms:modified>
</cp:coreProperties>
</file>