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6A516A">
        <w:rPr>
          <w:rFonts w:ascii="Arial" w:hAnsi="Arial" w:cs="Arial"/>
          <w:sz w:val="24"/>
          <w:szCs w:val="24"/>
          <w:u w:val="thick"/>
        </w:rPr>
        <w:t>April 26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6A516A">
        <w:rPr>
          <w:rFonts w:ascii="Arial" w:hAnsi="Arial" w:cs="Arial"/>
          <w:sz w:val="24"/>
          <w:szCs w:val="24"/>
          <w:u w:val="thick"/>
        </w:rPr>
        <w:t xml:space="preserve"> 2016 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D7F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D7FB6">
              <w:rPr>
                <w:rFonts w:ascii="Arial" w:hAnsi="Arial" w:cs="Arial"/>
                <w:sz w:val="32"/>
                <w:szCs w:val="32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456B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551D8A" w:rsidP="006A51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6A516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2015-2016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3725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Conkle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182999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72526" w:rsidRPr="00815393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Michelle.Conkle@txdot.gov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8/31/17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C23E2">
              <w:rPr>
                <w:rFonts w:ascii="Arial" w:hAnsi="Arial" w:cs="Arial"/>
                <w:sz w:val="20"/>
                <w:szCs w:val="20"/>
              </w:rPr>
              <w:t>3,060,000</w:t>
            </w:r>
          </w:p>
        </w:tc>
        <w:tc>
          <w:tcPr>
            <w:tcW w:w="3330" w:type="dxa"/>
          </w:tcPr>
          <w:p w:rsidR="00874EF7" w:rsidRPr="00B66A21" w:rsidRDefault="000D02DF" w:rsidP="001829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82999">
              <w:rPr>
                <w:rFonts w:ascii="Arial" w:hAnsi="Arial" w:cs="Arial"/>
                <w:sz w:val="20"/>
                <w:szCs w:val="20"/>
              </w:rPr>
              <w:t>2,452,940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1829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82999">
              <w:rPr>
                <w:rFonts w:ascii="Arial" w:hAnsi="Arial" w:cs="Arial"/>
                <w:sz w:val="20"/>
                <w:szCs w:val="20"/>
              </w:rPr>
              <w:t>38,878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C86FE1" w:rsidRDefault="007A4585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F42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Convene a meeting at which the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Steering Committee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</w:t>
                  </w:r>
                  <w:r w:rsidR="00C86FE1" w:rsidRP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Maintain existing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congestion measurement practices while continuously improving 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efin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ing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ment strategies and methodologies to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meet changing needs.</w:t>
                  </w:r>
                </w:p>
                <w:p w:rsidR="00C86FE1" w:rsidRDefault="00C86FE1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Collect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information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for all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relevant transportation modes to improve congestion measurement and management.  </w:t>
                  </w:r>
                </w:p>
                <w:p w:rsidR="007A4585" w:rsidRPr="007A4585" w:rsidRDefault="007A4585" w:rsidP="003B0A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Address congestion monitoring needs related to freight mobility and vehicle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5) Respond to requests for mobility d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2015.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576DD8" w:rsidP="00576DD8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DD8">
              <w:rPr>
                <w:rFonts w:ascii="Arial" w:hAnsi="Arial" w:cs="Arial"/>
                <w:sz w:val="20"/>
                <w:szCs w:val="20"/>
              </w:rPr>
              <w:t xml:space="preserve">MMUT FY 2016-17 scope topics were ranked and incorporated into the new contract: </w:t>
            </w:r>
            <w:r w:rsidRPr="00576D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Analysis considerations for using probe data; Freight multimodal performance measures; Private-sector origin-destination data; Arterial multi-modal performance monitoring; and MAP-21 system performance and freight NPRM characterization.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5D2AA8">
              <w:t xml:space="preserve">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 xml:space="preserve">Project team members </w:t>
            </w:r>
            <w:r w:rsidR="00AD7FB6"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analysis of outlier data in the NPMRDS dataset to better understand when, and under what conditions, speed data</w:t>
            </w:r>
            <w:r w:rsidR="00AD7FB6">
              <w:rPr>
                <w:rFonts w:ascii="Arial" w:hAnsi="Arial" w:cs="Arial"/>
                <w:sz w:val="20"/>
                <w:szCs w:val="20"/>
              </w:rPr>
              <w:t xml:space="preserve"> may be outliers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. Eventual guidance will include recommendations on how practitioners should handle suspect data for their applications.</w:t>
            </w:r>
          </w:p>
          <w:p w:rsidR="005D2AA8" w:rsidRDefault="005D2AA8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CC68EC" w:rsidRDefault="00CC68EC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TTI continued analysis of methods to compute arte</w:t>
            </w:r>
            <w:r w:rsidR="000F7BC3">
              <w:rPr>
                <w:rFonts w:ascii="Arial" w:hAnsi="Arial" w:cs="Arial"/>
                <w:sz w:val="20"/>
                <w:szCs w:val="20"/>
              </w:rPr>
              <w:t xml:space="preserve">rial reliability;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investigating arterial reference speed calculations.</w:t>
            </w: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D2AA8">
              <w:rPr>
                <w:rFonts w:ascii="Arial" w:hAnsi="Arial" w:cs="Arial"/>
                <w:sz w:val="20"/>
                <w:szCs w:val="20"/>
              </w:rPr>
              <w:t>Draft product from Task 2 (Arterial Performance Monitoring) entitled “Improved Methods for Estimating Route Reliability Estimates”</w:t>
            </w:r>
            <w:r w:rsidR="00CF06C0">
              <w:rPr>
                <w:rFonts w:ascii="Arial" w:hAnsi="Arial" w:cs="Arial"/>
                <w:sz w:val="20"/>
                <w:szCs w:val="20"/>
              </w:rPr>
              <w:t xml:space="preserve"> submitted early March; final (draft) to be submitted in April prior to 2016 annual meeting in Miami</w:t>
            </w:r>
            <w:r w:rsidRPr="005D2A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F7BC3" w:rsidRDefault="00B85E80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4A30A4">
              <w:t xml:space="preserve"> 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>TTI is finalizing documentation of a process to assist states/MPOs in setting targets</w:t>
            </w:r>
            <w:r w:rsidR="000F7BC3">
              <w:rPr>
                <w:rFonts w:ascii="Arial" w:hAnsi="Arial" w:cs="Arial"/>
                <w:sz w:val="20"/>
                <w:szCs w:val="20"/>
              </w:rPr>
              <w:t xml:space="preserve"> (ongoing)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>.</w:t>
            </w:r>
            <w:r w:rsidR="000F7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C3" w:rsidRPr="000F7BC3">
              <w:rPr>
                <w:rFonts w:ascii="Arial" w:hAnsi="Arial" w:cs="Arial"/>
                <w:sz w:val="20"/>
                <w:szCs w:val="20"/>
              </w:rPr>
              <w:t>Additional work on this task will begin when the FHWA NPRM is released.</w:t>
            </w:r>
          </w:p>
          <w:p w:rsidR="00B85E80" w:rsidRDefault="00B85E80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0F7BC3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4A30A4">
              <w:rPr>
                <w:rFonts w:ascii="Arial" w:hAnsi="Arial" w:cs="Arial"/>
                <w:sz w:val="20"/>
                <w:szCs w:val="20"/>
              </w:rPr>
              <w:t xml:space="preserve">TTI </w:t>
            </w:r>
            <w:r w:rsidR="000F7BC3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0F7BC3" w:rsidRPr="004A30A4">
              <w:rPr>
                <w:rFonts w:ascii="Arial" w:hAnsi="Arial" w:cs="Arial"/>
                <w:sz w:val="20"/>
                <w:szCs w:val="20"/>
              </w:rPr>
              <w:t>"analysis considerations for using probe data"</w:t>
            </w:r>
            <w:r w:rsidR="000F7BC3">
              <w:rPr>
                <w:rFonts w:ascii="Arial" w:hAnsi="Arial" w:cs="Arial"/>
                <w:sz w:val="20"/>
                <w:szCs w:val="20"/>
              </w:rPr>
              <w:t>, and delivered to the group via e-mail (1/27/16).</w:t>
            </w:r>
          </w:p>
          <w:p w:rsidR="000F7BC3" w:rsidRDefault="000F7BC3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4A30A4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A30A4">
              <w:rPr>
                <w:rFonts w:ascii="Arial" w:hAnsi="Arial" w:cs="Arial"/>
                <w:sz w:val="20"/>
                <w:szCs w:val="20"/>
              </w:rPr>
              <w:t xml:space="preserve">TTI </w:t>
            </w:r>
            <w:r w:rsidR="00AE3AE3">
              <w:rPr>
                <w:rFonts w:ascii="Arial" w:hAnsi="Arial" w:cs="Arial"/>
                <w:sz w:val="20"/>
                <w:szCs w:val="20"/>
              </w:rPr>
              <w:t xml:space="preserve">continued analysis </w:t>
            </w:r>
            <w:r w:rsidRPr="00B627C5">
              <w:rPr>
                <w:rFonts w:ascii="Arial" w:hAnsi="Arial" w:cs="Arial"/>
                <w:sz w:val="20"/>
                <w:szCs w:val="20"/>
              </w:rPr>
              <w:t>on syntheses</w:t>
            </w:r>
            <w:r w:rsidRPr="004A30A4">
              <w:rPr>
                <w:rFonts w:ascii="Arial" w:hAnsi="Arial" w:cs="Arial"/>
                <w:sz w:val="20"/>
                <w:szCs w:val="20"/>
              </w:rPr>
              <w:t xml:space="preserve"> and "arterial multi-modal performance monitoring."</w:t>
            </w:r>
            <w:r w:rsidRPr="004A30A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576DD8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A3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D7">
              <w:rPr>
                <w:rFonts w:ascii="Arial" w:hAnsi="Arial" w:cs="Arial"/>
                <w:sz w:val="20"/>
                <w:szCs w:val="20"/>
              </w:rPr>
              <w:t>TTI p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rovided telephone and email support to Kentucky and Florida staff.</w:t>
            </w:r>
          </w:p>
          <w:p w:rsidR="00601EBD" w:rsidRDefault="004C6AA5" w:rsidP="00F176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 under the new 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2016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6C7" w:rsidRDefault="003B3F3F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 C</w:t>
            </w:r>
            <w:r w:rsidRPr="003B3F3F">
              <w:rPr>
                <w:rFonts w:ascii="Arial" w:hAnsi="Arial" w:cs="Arial"/>
                <w:sz w:val="20"/>
                <w:szCs w:val="20"/>
              </w:rPr>
              <w:t>ontinued analysis of outlier data in the NPMRDS dataset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AA5">
              <w:rPr>
                <w:rFonts w:ascii="Arial" w:hAnsi="Arial" w:cs="Arial"/>
                <w:sz w:val="20"/>
                <w:szCs w:val="20"/>
              </w:rPr>
              <w:t xml:space="preserve">Continue analysis of methods to compute arterial reliability.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A30A4">
              <w:rPr>
                <w:rFonts w:ascii="Arial" w:hAnsi="Arial" w:cs="Arial"/>
                <w:sz w:val="20"/>
                <w:szCs w:val="20"/>
              </w:rPr>
              <w:t xml:space="preserve">Additional work on this task will begin when the FHWA NPRM is released. 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>TTI continued analysis on syntheses and "arterial multi-modal performance monitoring."</w:t>
            </w:r>
            <w:r w:rsidR="00B627C5" w:rsidRPr="00B627C5">
              <w:rPr>
                <w:rFonts w:ascii="Arial" w:hAnsi="Arial" w:cs="Arial"/>
                <w:sz w:val="20"/>
                <w:szCs w:val="20"/>
              </w:rPr>
              <w:tab/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27C5">
              <w:rPr>
                <w:rFonts w:ascii="Arial" w:hAnsi="Arial" w:cs="Arial"/>
                <w:sz w:val="20"/>
                <w:szCs w:val="20"/>
              </w:rPr>
              <w:t xml:space="preserve">Provide assistance with future sponsor requests. </w:t>
            </w:r>
          </w:p>
          <w:p w:rsidR="00601EBD" w:rsidRPr="009A7BE5" w:rsidRDefault="00B627C5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Pr="00B627C5">
              <w:rPr>
                <w:rFonts w:ascii="Arial" w:hAnsi="Arial" w:cs="Arial"/>
                <w:sz w:val="20"/>
                <w:szCs w:val="20"/>
              </w:rPr>
              <w:t>Annual meeting i</w:t>
            </w:r>
            <w:r>
              <w:rPr>
                <w:rFonts w:ascii="Arial" w:hAnsi="Arial" w:cs="Arial"/>
                <w:sz w:val="20"/>
                <w:szCs w:val="20"/>
              </w:rPr>
              <w:t xml:space="preserve">n Miami </w:t>
            </w:r>
            <w:r w:rsidRPr="00B627C5">
              <w:rPr>
                <w:rFonts w:ascii="Arial" w:hAnsi="Arial" w:cs="Arial"/>
                <w:sz w:val="20"/>
                <w:szCs w:val="20"/>
              </w:rPr>
              <w:t>May 2016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4C6A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 This Quarter as most of the work completed was significant.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A" w:rsidRDefault="009E42BA" w:rsidP="00106C83">
      <w:pPr>
        <w:spacing w:after="0" w:line="240" w:lineRule="auto"/>
      </w:pPr>
      <w:r>
        <w:separator/>
      </w:r>
    </w:p>
  </w:endnote>
  <w:endnote w:type="continuationSeparator" w:id="0">
    <w:p w:rsidR="009E42BA" w:rsidRDefault="009E42B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A" w:rsidRDefault="009E42BA" w:rsidP="00106C83">
      <w:pPr>
        <w:spacing w:after="0" w:line="240" w:lineRule="auto"/>
      </w:pPr>
      <w:r>
        <w:separator/>
      </w:r>
    </w:p>
  </w:footnote>
  <w:footnote w:type="continuationSeparator" w:id="0">
    <w:p w:rsidR="009E42BA" w:rsidRDefault="009E42B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4504"/>
    <w:rsid w:val="000736BB"/>
    <w:rsid w:val="00097EAF"/>
    <w:rsid w:val="000B665A"/>
    <w:rsid w:val="000C7107"/>
    <w:rsid w:val="000D02DF"/>
    <w:rsid w:val="000F7BC3"/>
    <w:rsid w:val="00106C83"/>
    <w:rsid w:val="001121C0"/>
    <w:rsid w:val="00150C51"/>
    <w:rsid w:val="001547D0"/>
    <w:rsid w:val="00161153"/>
    <w:rsid w:val="00162E6E"/>
    <w:rsid w:val="00182999"/>
    <w:rsid w:val="001829BD"/>
    <w:rsid w:val="001A5043"/>
    <w:rsid w:val="001A6CF9"/>
    <w:rsid w:val="001B0A4C"/>
    <w:rsid w:val="001C7F1E"/>
    <w:rsid w:val="001D2559"/>
    <w:rsid w:val="001D5364"/>
    <w:rsid w:val="001E7007"/>
    <w:rsid w:val="0021446D"/>
    <w:rsid w:val="002166F3"/>
    <w:rsid w:val="00216E70"/>
    <w:rsid w:val="002201A7"/>
    <w:rsid w:val="002409D3"/>
    <w:rsid w:val="00241970"/>
    <w:rsid w:val="00266B6E"/>
    <w:rsid w:val="00280254"/>
    <w:rsid w:val="00284AA4"/>
    <w:rsid w:val="00293FD8"/>
    <w:rsid w:val="002A79C8"/>
    <w:rsid w:val="002B7493"/>
    <w:rsid w:val="002D78C8"/>
    <w:rsid w:val="0032777A"/>
    <w:rsid w:val="003335A4"/>
    <w:rsid w:val="003503A4"/>
    <w:rsid w:val="00370931"/>
    <w:rsid w:val="00372526"/>
    <w:rsid w:val="0038705A"/>
    <w:rsid w:val="003A00E5"/>
    <w:rsid w:val="003B0A62"/>
    <w:rsid w:val="003B3F3F"/>
    <w:rsid w:val="003D27BA"/>
    <w:rsid w:val="003D57A6"/>
    <w:rsid w:val="003E0A45"/>
    <w:rsid w:val="003E4D98"/>
    <w:rsid w:val="003E5369"/>
    <w:rsid w:val="003E59D5"/>
    <w:rsid w:val="00404047"/>
    <w:rsid w:val="004144E6"/>
    <w:rsid w:val="004156B2"/>
    <w:rsid w:val="00425091"/>
    <w:rsid w:val="00431BFF"/>
    <w:rsid w:val="00437734"/>
    <w:rsid w:val="004436C4"/>
    <w:rsid w:val="00451717"/>
    <w:rsid w:val="00456B49"/>
    <w:rsid w:val="00457520"/>
    <w:rsid w:val="004A30A4"/>
    <w:rsid w:val="004B0793"/>
    <w:rsid w:val="004B6E0F"/>
    <w:rsid w:val="004C23E2"/>
    <w:rsid w:val="004C6AA5"/>
    <w:rsid w:val="004E019B"/>
    <w:rsid w:val="004E14DC"/>
    <w:rsid w:val="004F08DE"/>
    <w:rsid w:val="004F2545"/>
    <w:rsid w:val="0050412D"/>
    <w:rsid w:val="00512F76"/>
    <w:rsid w:val="00535598"/>
    <w:rsid w:val="00540DFD"/>
    <w:rsid w:val="00545D47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D1415"/>
    <w:rsid w:val="005D2AA8"/>
    <w:rsid w:val="005F42AD"/>
    <w:rsid w:val="00601EBD"/>
    <w:rsid w:val="00606D6C"/>
    <w:rsid w:val="00653356"/>
    <w:rsid w:val="00656A30"/>
    <w:rsid w:val="00661BD7"/>
    <w:rsid w:val="00667509"/>
    <w:rsid w:val="0067502E"/>
    <w:rsid w:val="00682C5E"/>
    <w:rsid w:val="00694B65"/>
    <w:rsid w:val="0069676A"/>
    <w:rsid w:val="006A516A"/>
    <w:rsid w:val="006E219E"/>
    <w:rsid w:val="007101E0"/>
    <w:rsid w:val="00737D47"/>
    <w:rsid w:val="00743C01"/>
    <w:rsid w:val="007907C1"/>
    <w:rsid w:val="00790C4A"/>
    <w:rsid w:val="007913B6"/>
    <w:rsid w:val="007926C7"/>
    <w:rsid w:val="007A4585"/>
    <w:rsid w:val="007B0E2E"/>
    <w:rsid w:val="007B63EF"/>
    <w:rsid w:val="007C031A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D53BA"/>
    <w:rsid w:val="00905DAC"/>
    <w:rsid w:val="009069A5"/>
    <w:rsid w:val="0091089A"/>
    <w:rsid w:val="00963F4B"/>
    <w:rsid w:val="00965BF3"/>
    <w:rsid w:val="0097163C"/>
    <w:rsid w:val="009A7BE5"/>
    <w:rsid w:val="009B5A06"/>
    <w:rsid w:val="009D1895"/>
    <w:rsid w:val="009E42BA"/>
    <w:rsid w:val="00A065EE"/>
    <w:rsid w:val="00A13C57"/>
    <w:rsid w:val="00A173CA"/>
    <w:rsid w:val="00A31A58"/>
    <w:rsid w:val="00A43875"/>
    <w:rsid w:val="00A460CF"/>
    <w:rsid w:val="00A63677"/>
    <w:rsid w:val="00A64A3A"/>
    <w:rsid w:val="00AD35B4"/>
    <w:rsid w:val="00AD7FB6"/>
    <w:rsid w:val="00AE3AE3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627C5"/>
    <w:rsid w:val="00B66A21"/>
    <w:rsid w:val="00B7069B"/>
    <w:rsid w:val="00B85E80"/>
    <w:rsid w:val="00BA0077"/>
    <w:rsid w:val="00BA0E5D"/>
    <w:rsid w:val="00BA568A"/>
    <w:rsid w:val="00BB2500"/>
    <w:rsid w:val="00BB75E7"/>
    <w:rsid w:val="00BF50C8"/>
    <w:rsid w:val="00C13753"/>
    <w:rsid w:val="00C32D62"/>
    <w:rsid w:val="00C637A4"/>
    <w:rsid w:val="00C8669C"/>
    <w:rsid w:val="00C86FE1"/>
    <w:rsid w:val="00CA1073"/>
    <w:rsid w:val="00CA1D4A"/>
    <w:rsid w:val="00CA2872"/>
    <w:rsid w:val="00CA5A45"/>
    <w:rsid w:val="00CB68A0"/>
    <w:rsid w:val="00CC68EC"/>
    <w:rsid w:val="00CD089D"/>
    <w:rsid w:val="00CF06C0"/>
    <w:rsid w:val="00D0267B"/>
    <w:rsid w:val="00D357FA"/>
    <w:rsid w:val="00D42A15"/>
    <w:rsid w:val="00D700DE"/>
    <w:rsid w:val="00DA1CBA"/>
    <w:rsid w:val="00DA2970"/>
    <w:rsid w:val="00DB6D71"/>
    <w:rsid w:val="00DD23BF"/>
    <w:rsid w:val="00DE7B0E"/>
    <w:rsid w:val="00DF5D3F"/>
    <w:rsid w:val="00E04AEE"/>
    <w:rsid w:val="00E35E0F"/>
    <w:rsid w:val="00E371D1"/>
    <w:rsid w:val="00E43F94"/>
    <w:rsid w:val="00E53738"/>
    <w:rsid w:val="00E76002"/>
    <w:rsid w:val="00EA6590"/>
    <w:rsid w:val="00ED4E42"/>
    <w:rsid w:val="00ED5F67"/>
    <w:rsid w:val="00EF08AE"/>
    <w:rsid w:val="00EF5790"/>
    <w:rsid w:val="00F075A6"/>
    <w:rsid w:val="00F17615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Conkle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54EA-409B-461A-B480-D8965DE6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2016-01-08T14:29:00Z</cp:lastPrinted>
  <dcterms:created xsi:type="dcterms:W3CDTF">2016-05-02T13:44:00Z</dcterms:created>
  <dcterms:modified xsi:type="dcterms:W3CDTF">2016-05-02T14:03:00Z</dcterms:modified>
</cp:coreProperties>
</file>