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094479">
        <w:rPr>
          <w:rFonts w:ascii="Arial" w:hAnsi="Arial" w:cs="Arial"/>
          <w:sz w:val="24"/>
          <w:szCs w:val="24"/>
        </w:rPr>
        <w:t>4</w:t>
      </w:r>
      <w:r w:rsidR="00C05B7A">
        <w:rPr>
          <w:rFonts w:ascii="Arial" w:hAnsi="Arial" w:cs="Arial"/>
          <w:sz w:val="24"/>
          <w:szCs w:val="24"/>
        </w:rPr>
        <w:t>/</w:t>
      </w:r>
      <w:r w:rsidR="00F94B58">
        <w:rPr>
          <w:rFonts w:ascii="Arial" w:hAnsi="Arial" w:cs="Arial"/>
          <w:sz w:val="24"/>
          <w:szCs w:val="24"/>
        </w:rPr>
        <w:t>26</w:t>
      </w:r>
      <w:r w:rsidR="000452EB">
        <w:rPr>
          <w:rFonts w:ascii="Arial" w:hAnsi="Arial" w:cs="Arial"/>
          <w:sz w:val="24"/>
          <w:szCs w:val="24"/>
        </w:rPr>
        <w:t>/201</w:t>
      </w:r>
      <w:r w:rsidR="00652F43">
        <w:rPr>
          <w:rFonts w:ascii="Arial" w:hAnsi="Arial" w:cs="Arial"/>
          <w:sz w:val="24"/>
          <w:szCs w:val="24"/>
        </w:rPr>
        <w:t>6</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94B58" w:rsidP="0065500C">
            <w:pPr>
              <w:spacing w:before="120"/>
              <w:ind w:right="-720"/>
              <w:rPr>
                <w:rFonts w:ascii="Arial" w:hAnsi="Arial" w:cs="Arial"/>
                <w:sz w:val="20"/>
                <w:szCs w:val="20"/>
              </w:rPr>
            </w:pPr>
            <w:sdt>
              <w:sdtPr>
                <w:rPr>
                  <w:rFonts w:ascii="Arial" w:hAnsi="Arial" w:cs="Arial"/>
                  <w:sz w:val="24"/>
                  <w:szCs w:val="36"/>
                </w:rPr>
                <w:id w:val="-168482148"/>
                <w14:checkbox>
                  <w14:checked w14:val="1"/>
                  <w14:checkedState w14:val="2612" w14:font="MS Gothic"/>
                  <w14:uncheckedState w14:val="2610" w14:font="MS Gothic"/>
                </w14:checkbox>
              </w:sdtPr>
              <w:sdtEndPr/>
              <w:sdtContent>
                <w:r w:rsidR="00094479">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F94B58"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C0080">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F94B58"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F1A0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F94B58"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094479">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F94B58" w:rsidRDefault="00F94B58" w:rsidP="00551D8A">
            <w:pPr>
              <w:ind w:right="-720"/>
              <w:rPr>
                <w:rFonts w:ascii="Arial" w:hAnsi="Arial" w:cs="Arial"/>
                <w:sz w:val="20"/>
                <w:szCs w:val="20"/>
              </w:rPr>
            </w:pPr>
            <w:r w:rsidRPr="00F94B58">
              <w:rPr>
                <w:rFonts w:ascii="Arial" w:hAnsi="Arial" w:cs="Arial"/>
                <w:sz w:val="20"/>
                <w:szCs w:val="20"/>
              </w:rPr>
              <w:t>3,290,742</w:t>
            </w:r>
          </w:p>
        </w:tc>
        <w:tc>
          <w:tcPr>
            <w:tcW w:w="3330" w:type="dxa"/>
          </w:tcPr>
          <w:p w:rsidR="00874EF7" w:rsidRPr="00F94B58" w:rsidRDefault="00F94B58" w:rsidP="00551D8A">
            <w:pPr>
              <w:ind w:right="-720"/>
              <w:rPr>
                <w:rFonts w:ascii="Arial" w:hAnsi="Arial" w:cs="Arial"/>
                <w:sz w:val="20"/>
                <w:szCs w:val="20"/>
              </w:rPr>
            </w:pPr>
            <w:r w:rsidRPr="00F94B58">
              <w:rPr>
                <w:rFonts w:ascii="Arial" w:hAnsi="Arial" w:cs="Arial"/>
                <w:sz w:val="20"/>
                <w:szCs w:val="20"/>
              </w:rPr>
              <w:t>2,152,731</w:t>
            </w:r>
          </w:p>
        </w:tc>
        <w:tc>
          <w:tcPr>
            <w:tcW w:w="3420" w:type="dxa"/>
          </w:tcPr>
          <w:p w:rsidR="00874EF7" w:rsidRPr="00F94B58" w:rsidRDefault="00F94B58" w:rsidP="00551D8A">
            <w:pPr>
              <w:ind w:right="-720"/>
              <w:rPr>
                <w:rFonts w:ascii="Arial" w:hAnsi="Arial" w:cs="Arial"/>
                <w:sz w:val="20"/>
                <w:szCs w:val="20"/>
              </w:rPr>
            </w:pPr>
            <w:r w:rsidRPr="00F94B58">
              <w:rPr>
                <w:rFonts w:ascii="Arial" w:hAnsi="Arial" w:cs="Arial"/>
                <w:sz w:val="20"/>
                <w:szCs w:val="20"/>
              </w:rPr>
              <w:t>65</w:t>
            </w:r>
          </w:p>
          <w:p w:rsidR="00874EF7" w:rsidRPr="00F94B58"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F94B58" w:rsidRDefault="00F94B58" w:rsidP="00F54200">
            <w:pPr>
              <w:ind w:right="-720"/>
              <w:rPr>
                <w:rFonts w:ascii="Arial" w:hAnsi="Arial" w:cs="Arial"/>
                <w:sz w:val="20"/>
                <w:szCs w:val="20"/>
              </w:rPr>
            </w:pPr>
            <w:r w:rsidRPr="00F94B58">
              <w:rPr>
                <w:rFonts w:ascii="Arial" w:hAnsi="Arial" w:cs="Arial"/>
                <w:sz w:val="20"/>
                <w:szCs w:val="20"/>
              </w:rPr>
              <w:t>28,296</w:t>
            </w:r>
          </w:p>
        </w:tc>
        <w:tc>
          <w:tcPr>
            <w:tcW w:w="3330" w:type="dxa"/>
          </w:tcPr>
          <w:p w:rsidR="00B66A21" w:rsidRPr="00F94B58" w:rsidRDefault="00F94B58" w:rsidP="00874EF7">
            <w:pPr>
              <w:ind w:right="-720"/>
              <w:rPr>
                <w:rFonts w:ascii="Arial" w:hAnsi="Arial" w:cs="Arial"/>
                <w:sz w:val="20"/>
                <w:szCs w:val="20"/>
              </w:rPr>
            </w:pPr>
            <w:r w:rsidRPr="00F94B58">
              <w:rPr>
                <w:rFonts w:ascii="Arial" w:hAnsi="Arial" w:cs="Arial"/>
                <w:sz w:val="20"/>
                <w:szCs w:val="20"/>
              </w:rPr>
              <w:t>28,296</w:t>
            </w:r>
            <w:bookmarkStart w:id="0" w:name="_GoBack"/>
            <w:bookmarkEnd w:id="0"/>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C63B72" w:rsidRDefault="00C63B72" w:rsidP="00AA6A8C">
            <w:pPr>
              <w:rPr>
                <w:rFonts w:ascii="Arial" w:hAnsi="Arial" w:cs="Arial"/>
                <w:sz w:val="20"/>
                <w:szCs w:val="20"/>
              </w:rPr>
            </w:pPr>
            <w:r>
              <w:rPr>
                <w:rFonts w:ascii="Arial" w:hAnsi="Arial" w:cs="Arial"/>
                <w:sz w:val="20"/>
                <w:szCs w:val="20"/>
              </w:rPr>
              <w:t>A quarterly conference call was held on January 20. Members reviewed the progress of various on-going projects and discussed the plan for the annual in-person meeting.</w:t>
            </w:r>
          </w:p>
          <w:p w:rsidR="00C63B72" w:rsidRDefault="00C63B72" w:rsidP="00AA6A8C">
            <w:pPr>
              <w:rPr>
                <w:rFonts w:ascii="Arial" w:hAnsi="Arial" w:cs="Arial"/>
                <w:sz w:val="20"/>
                <w:szCs w:val="20"/>
              </w:rPr>
            </w:pPr>
          </w:p>
          <w:p w:rsidR="00AA6A8C" w:rsidRDefault="00094479" w:rsidP="00AA6A8C">
            <w:pPr>
              <w:rPr>
                <w:rFonts w:ascii="Arial" w:hAnsi="Arial" w:cs="Arial"/>
                <w:sz w:val="20"/>
                <w:szCs w:val="20"/>
              </w:rPr>
            </w:pPr>
            <w:r>
              <w:rPr>
                <w:rFonts w:ascii="Arial" w:hAnsi="Arial" w:cs="Arial"/>
                <w:sz w:val="20"/>
                <w:szCs w:val="20"/>
              </w:rPr>
              <w:t>A final draft report for t</w:t>
            </w:r>
            <w:r w:rsidR="00857490">
              <w:rPr>
                <w:rFonts w:ascii="Arial" w:hAnsi="Arial" w:cs="Arial"/>
                <w:sz w:val="20"/>
                <w:szCs w:val="20"/>
              </w:rPr>
              <w:t xml:space="preserve">he Public Perception of Public Safety Messages on DMS in Rural Areas project </w:t>
            </w:r>
            <w:r>
              <w:rPr>
                <w:rFonts w:ascii="Arial" w:hAnsi="Arial" w:cs="Arial"/>
                <w:sz w:val="20"/>
                <w:szCs w:val="20"/>
              </w:rPr>
              <w:t>was reviewed by the members. Final report will be completed and published in the next quarter.</w:t>
            </w:r>
          </w:p>
          <w:p w:rsidR="00D72D45" w:rsidRDefault="00D72D45" w:rsidP="00AA6A8C">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 xml:space="preserve">The TMC Video Recording and Archiving Best General Practice project </w:t>
            </w:r>
            <w:r w:rsidR="00094479">
              <w:rPr>
                <w:rFonts w:ascii="Arial" w:hAnsi="Arial" w:cs="Arial"/>
                <w:sz w:val="20"/>
                <w:szCs w:val="20"/>
              </w:rPr>
              <w:t>has been completed</w:t>
            </w:r>
            <w:r>
              <w:rPr>
                <w:rFonts w:ascii="Arial" w:hAnsi="Arial" w:cs="Arial"/>
                <w:sz w:val="20"/>
                <w:szCs w:val="20"/>
              </w:rPr>
              <w:t xml:space="preserve">. </w:t>
            </w:r>
            <w:r w:rsidR="005F1A0A">
              <w:rPr>
                <w:rFonts w:ascii="Arial" w:hAnsi="Arial" w:cs="Arial"/>
                <w:sz w:val="20"/>
                <w:szCs w:val="20"/>
              </w:rPr>
              <w:t>A</w:t>
            </w:r>
            <w:r>
              <w:rPr>
                <w:rFonts w:ascii="Arial" w:hAnsi="Arial" w:cs="Arial"/>
                <w:sz w:val="20"/>
                <w:szCs w:val="20"/>
              </w:rPr>
              <w:t xml:space="preserve"> </w:t>
            </w:r>
            <w:r w:rsidR="00094479">
              <w:rPr>
                <w:rFonts w:ascii="Arial" w:hAnsi="Arial" w:cs="Arial"/>
                <w:sz w:val="20"/>
                <w:szCs w:val="20"/>
              </w:rPr>
              <w:t>webinar was held on March 16 to disseminate the study results. Over 130 transportation practitioners participated</w:t>
            </w:r>
            <w:r w:rsidR="005F1A0A">
              <w:rPr>
                <w:rFonts w:ascii="Arial" w:hAnsi="Arial" w:cs="Arial"/>
                <w:sz w:val="20"/>
                <w:szCs w:val="20"/>
              </w:rPr>
              <w:t xml:space="preserve">. The final report will be </w:t>
            </w:r>
            <w:r w:rsidR="00094479">
              <w:rPr>
                <w:rFonts w:ascii="Arial" w:hAnsi="Arial" w:cs="Arial"/>
                <w:sz w:val="20"/>
                <w:szCs w:val="20"/>
              </w:rPr>
              <w:t>published in the next quarter</w:t>
            </w:r>
            <w:r>
              <w:rPr>
                <w:rFonts w:ascii="Arial" w:hAnsi="Arial" w:cs="Arial"/>
                <w:sz w:val="20"/>
                <w:szCs w:val="20"/>
              </w:rPr>
              <w:t>.</w:t>
            </w:r>
          </w:p>
          <w:p w:rsidR="00C54BB2" w:rsidRDefault="00C54BB2" w:rsidP="00C54BB2">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 xml:space="preserve">The Freeway Service Patrol Prioritization and Best Practice project was </w:t>
            </w:r>
            <w:r w:rsidR="005F1A0A">
              <w:rPr>
                <w:rFonts w:ascii="Arial" w:hAnsi="Arial" w:cs="Arial"/>
                <w:sz w:val="20"/>
                <w:szCs w:val="20"/>
              </w:rPr>
              <w:t>on schedule</w:t>
            </w:r>
            <w:r>
              <w:rPr>
                <w:rFonts w:ascii="Arial" w:hAnsi="Arial" w:cs="Arial"/>
                <w:sz w:val="20"/>
                <w:szCs w:val="20"/>
              </w:rPr>
              <w:t>.</w:t>
            </w:r>
            <w:r w:rsidR="00094479">
              <w:rPr>
                <w:rFonts w:ascii="Arial" w:hAnsi="Arial" w:cs="Arial"/>
                <w:sz w:val="20"/>
                <w:szCs w:val="20"/>
              </w:rPr>
              <w:t xml:space="preserve"> A final synthesis report will be reviewed and published in the next quarter.</w:t>
            </w:r>
          </w:p>
          <w:p w:rsidR="00C50FA4" w:rsidRDefault="00C50FA4" w:rsidP="00C54BB2">
            <w:pPr>
              <w:rPr>
                <w:rFonts w:ascii="Arial" w:hAnsi="Arial" w:cs="Arial"/>
                <w:sz w:val="20"/>
                <w:szCs w:val="20"/>
              </w:rPr>
            </w:pPr>
          </w:p>
          <w:p w:rsidR="00C54BB2" w:rsidRDefault="00C54BB2" w:rsidP="003831F2">
            <w:pPr>
              <w:rPr>
                <w:rFonts w:ascii="Arial" w:hAnsi="Arial" w:cs="Arial"/>
                <w:sz w:val="20"/>
                <w:szCs w:val="20"/>
              </w:rPr>
            </w:pPr>
          </w:p>
          <w:p w:rsidR="00C63B72" w:rsidRDefault="00C63B72"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5F1A0A">
              <w:rPr>
                <w:rFonts w:ascii="Arial" w:hAnsi="Arial" w:cs="Arial"/>
                <w:sz w:val="20"/>
                <w:szCs w:val="20"/>
              </w:rPr>
              <w:t>o</w:t>
            </w:r>
            <w:r w:rsidR="00C50FA4">
              <w:rPr>
                <w:rFonts w:ascii="Arial" w:hAnsi="Arial" w:cs="Arial"/>
                <w:sz w:val="20"/>
                <w:szCs w:val="20"/>
              </w:rPr>
              <w:t xml:space="preserve">n </w:t>
            </w:r>
            <w:r w:rsidR="00C63B72">
              <w:rPr>
                <w:rFonts w:ascii="Arial" w:hAnsi="Arial" w:cs="Arial"/>
                <w:sz w:val="20"/>
                <w:szCs w:val="20"/>
              </w:rPr>
              <w:t>April 14</w:t>
            </w:r>
            <w:r w:rsidR="005F1A0A">
              <w:rPr>
                <w:rFonts w:ascii="Arial" w:hAnsi="Arial" w:cs="Arial"/>
                <w:sz w:val="20"/>
                <w:szCs w:val="20"/>
              </w:rPr>
              <w:t>, 2016</w:t>
            </w:r>
            <w:r w:rsidR="00E6717E">
              <w:rPr>
                <w:rFonts w:ascii="Arial" w:hAnsi="Arial" w:cs="Arial"/>
                <w:sz w:val="20"/>
                <w:szCs w:val="20"/>
              </w:rPr>
              <w:t>.</w:t>
            </w:r>
          </w:p>
          <w:p w:rsidR="00C63B72" w:rsidRDefault="00C63B72" w:rsidP="003831F2">
            <w:pPr>
              <w:rPr>
                <w:rFonts w:ascii="Arial" w:hAnsi="Arial" w:cs="Arial"/>
                <w:sz w:val="20"/>
                <w:szCs w:val="20"/>
              </w:rPr>
            </w:pPr>
          </w:p>
          <w:p w:rsidR="00C63B72" w:rsidRDefault="00C63B72" w:rsidP="003831F2">
            <w:pPr>
              <w:rPr>
                <w:rFonts w:ascii="Arial" w:hAnsi="Arial" w:cs="Arial"/>
                <w:sz w:val="20"/>
                <w:szCs w:val="20"/>
              </w:rPr>
            </w:pPr>
            <w:r>
              <w:rPr>
                <w:rFonts w:ascii="Arial" w:hAnsi="Arial" w:cs="Arial"/>
                <w:sz w:val="20"/>
                <w:szCs w:val="20"/>
              </w:rPr>
              <w:t>The study for the Synthesis of Variable Speed Limit Signs Project will be kicked off in April.</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 xml:space="preserve">The </w:t>
            </w:r>
            <w:r w:rsidR="005F1A0A">
              <w:rPr>
                <w:rFonts w:ascii="Arial" w:hAnsi="Arial" w:cs="Arial"/>
                <w:sz w:val="20"/>
                <w:szCs w:val="20"/>
              </w:rPr>
              <w:t xml:space="preserve">synthesis </w:t>
            </w:r>
            <w:r>
              <w:rPr>
                <w:rFonts w:ascii="Arial" w:hAnsi="Arial" w:cs="Arial"/>
                <w:sz w:val="20"/>
                <w:szCs w:val="20"/>
              </w:rPr>
              <w:t xml:space="preserve">report for the </w:t>
            </w:r>
            <w:r w:rsidR="005F1A0A">
              <w:rPr>
                <w:rFonts w:ascii="Arial" w:hAnsi="Arial" w:cs="Arial"/>
                <w:sz w:val="20"/>
                <w:szCs w:val="20"/>
              </w:rPr>
              <w:t xml:space="preserve">TMC Video Recording and Archiving Best General Practice </w:t>
            </w:r>
            <w:r>
              <w:rPr>
                <w:rFonts w:ascii="Arial" w:hAnsi="Arial" w:cs="Arial"/>
                <w:sz w:val="20"/>
                <w:szCs w:val="20"/>
              </w:rPr>
              <w:t>will be published.</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 xml:space="preserve">The </w:t>
            </w:r>
            <w:r w:rsidR="00C63B72">
              <w:rPr>
                <w:rFonts w:ascii="Arial" w:hAnsi="Arial" w:cs="Arial"/>
                <w:sz w:val="20"/>
                <w:szCs w:val="20"/>
              </w:rPr>
              <w:t>final</w:t>
            </w:r>
            <w:r w:rsidR="005F1A0A">
              <w:rPr>
                <w:rFonts w:ascii="Arial" w:hAnsi="Arial" w:cs="Arial"/>
                <w:sz w:val="20"/>
                <w:szCs w:val="20"/>
              </w:rPr>
              <w:t xml:space="preserve"> </w:t>
            </w:r>
            <w:r>
              <w:rPr>
                <w:rFonts w:ascii="Arial" w:hAnsi="Arial" w:cs="Arial"/>
                <w:sz w:val="20"/>
                <w:szCs w:val="20"/>
              </w:rPr>
              <w:t xml:space="preserve">report for the </w:t>
            </w:r>
            <w:r w:rsidR="005F1A0A">
              <w:rPr>
                <w:rFonts w:ascii="Arial" w:hAnsi="Arial" w:cs="Arial"/>
                <w:sz w:val="20"/>
                <w:szCs w:val="20"/>
              </w:rPr>
              <w:t xml:space="preserve">Public Perception of Public Safety Messages on DMS in Rural Areas </w:t>
            </w:r>
            <w:r>
              <w:rPr>
                <w:rFonts w:ascii="Arial" w:hAnsi="Arial" w:cs="Arial"/>
                <w:sz w:val="20"/>
                <w:szCs w:val="20"/>
              </w:rPr>
              <w:t xml:space="preserve">will be </w:t>
            </w:r>
            <w:r w:rsidR="00C63B72">
              <w:rPr>
                <w:rFonts w:ascii="Arial" w:hAnsi="Arial" w:cs="Arial"/>
                <w:sz w:val="20"/>
                <w:szCs w:val="20"/>
              </w:rPr>
              <w:t>published</w:t>
            </w:r>
            <w:r>
              <w:rPr>
                <w:rFonts w:ascii="Arial" w:hAnsi="Arial" w:cs="Arial"/>
                <w:sz w:val="20"/>
                <w:szCs w:val="20"/>
              </w:rPr>
              <w:t>.</w:t>
            </w:r>
          </w:p>
          <w:p w:rsidR="00C63B72" w:rsidRDefault="00C63B72" w:rsidP="003831F2">
            <w:pPr>
              <w:rPr>
                <w:rFonts w:ascii="Arial" w:hAnsi="Arial" w:cs="Arial"/>
                <w:sz w:val="20"/>
                <w:szCs w:val="20"/>
              </w:rPr>
            </w:pPr>
          </w:p>
          <w:p w:rsidR="00C63B72" w:rsidRDefault="00C63B72" w:rsidP="003831F2">
            <w:pPr>
              <w:rPr>
                <w:rFonts w:ascii="Arial" w:hAnsi="Arial" w:cs="Arial"/>
                <w:sz w:val="20"/>
                <w:szCs w:val="20"/>
              </w:rPr>
            </w:pPr>
            <w:r>
              <w:rPr>
                <w:rFonts w:ascii="Arial" w:hAnsi="Arial" w:cs="Arial"/>
                <w:sz w:val="20"/>
                <w:szCs w:val="20"/>
              </w:rPr>
              <w:t xml:space="preserve">The TMC Pooled Fund Study Annual Meeting will be held on May 17 and 18 in Detroit, Michigan. Members will review the project status and progress, discuss plans for </w:t>
            </w:r>
            <w:r w:rsidR="00757BC2">
              <w:rPr>
                <w:rFonts w:ascii="Arial" w:hAnsi="Arial" w:cs="Arial"/>
                <w:sz w:val="20"/>
                <w:szCs w:val="20"/>
              </w:rPr>
              <w:t>the program</w:t>
            </w:r>
            <w:r>
              <w:rPr>
                <w:rFonts w:ascii="Arial" w:hAnsi="Arial" w:cs="Arial"/>
                <w:sz w:val="20"/>
                <w:szCs w:val="20"/>
              </w:rPr>
              <w:t xml:space="preserve">, and prioritize and select </w:t>
            </w:r>
            <w:r w:rsidR="00757BC2">
              <w:rPr>
                <w:rFonts w:ascii="Arial" w:hAnsi="Arial" w:cs="Arial"/>
                <w:sz w:val="20"/>
                <w:szCs w:val="20"/>
              </w:rPr>
              <w:t>projects/studies</w:t>
            </w:r>
            <w:r>
              <w:rPr>
                <w:rFonts w:ascii="Arial" w:hAnsi="Arial" w:cs="Arial"/>
                <w:sz w:val="20"/>
                <w:szCs w:val="20"/>
              </w:rPr>
              <w:t xml:space="preserve"> </w:t>
            </w:r>
            <w:r w:rsidR="00757BC2">
              <w:rPr>
                <w:rFonts w:ascii="Arial" w:hAnsi="Arial" w:cs="Arial"/>
                <w:sz w:val="20"/>
                <w:szCs w:val="20"/>
              </w:rPr>
              <w:t>to initiate in 2017.</w:t>
            </w:r>
          </w:p>
          <w:p w:rsidR="00CD7628" w:rsidRDefault="00CD7628" w:rsidP="003831F2">
            <w:pPr>
              <w:rPr>
                <w:rFonts w:ascii="Arial" w:hAnsi="Arial" w:cs="Arial"/>
                <w:sz w:val="20"/>
                <w:szCs w:val="20"/>
              </w:rPr>
            </w:pP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57BC2" w:rsidP="004D1943">
            <w:pPr>
              <w:rPr>
                <w:rFonts w:ascii="Arial" w:hAnsi="Arial" w:cs="Arial"/>
                <w:sz w:val="20"/>
                <w:szCs w:val="20"/>
              </w:rPr>
            </w:pPr>
            <w:r>
              <w:rPr>
                <w:rFonts w:ascii="Arial" w:hAnsi="Arial" w:cs="Arial"/>
                <w:sz w:val="20"/>
                <w:szCs w:val="20"/>
              </w:rPr>
              <w:t xml:space="preserve">The TMC Pooled Fund Study hosted a T3 webinar on the subject of “TMC Video Best Practices.” </w:t>
            </w:r>
            <w:r w:rsidRPr="00757BC2">
              <w:rPr>
                <w:rFonts w:ascii="Arial" w:hAnsi="Arial" w:cs="Arial"/>
                <w:sz w:val="20"/>
                <w:szCs w:val="20"/>
              </w:rPr>
              <w:t>This webinar present</w:t>
            </w:r>
            <w:r>
              <w:rPr>
                <w:rFonts w:ascii="Arial" w:hAnsi="Arial" w:cs="Arial"/>
                <w:sz w:val="20"/>
                <w:szCs w:val="20"/>
              </w:rPr>
              <w:t>ed</w:t>
            </w:r>
            <w:r w:rsidRPr="00757BC2">
              <w:rPr>
                <w:rFonts w:ascii="Arial" w:hAnsi="Arial" w:cs="Arial"/>
                <w:sz w:val="20"/>
                <w:szCs w:val="20"/>
              </w:rPr>
              <w:t xml:space="preserve"> the findings of the </w:t>
            </w:r>
            <w:r>
              <w:rPr>
                <w:rFonts w:ascii="Arial" w:hAnsi="Arial" w:cs="Arial"/>
                <w:sz w:val="20"/>
                <w:szCs w:val="20"/>
              </w:rPr>
              <w:t xml:space="preserve">TMC Pooled Fund Study sponsored “TMC Video Recording and Archiving Best General Practice” </w:t>
            </w:r>
            <w:r w:rsidRPr="00757BC2">
              <w:rPr>
                <w:rFonts w:ascii="Arial" w:hAnsi="Arial" w:cs="Arial"/>
                <w:sz w:val="20"/>
                <w:szCs w:val="20"/>
              </w:rPr>
              <w:t>as well as highlight</w:t>
            </w:r>
            <w:r>
              <w:rPr>
                <w:rFonts w:ascii="Arial" w:hAnsi="Arial" w:cs="Arial"/>
                <w:sz w:val="20"/>
                <w:szCs w:val="20"/>
              </w:rPr>
              <w:t>ed</w:t>
            </w:r>
            <w:r w:rsidRPr="00757BC2">
              <w:rPr>
                <w:rFonts w:ascii="Arial" w:hAnsi="Arial" w:cs="Arial"/>
                <w:sz w:val="20"/>
                <w:szCs w:val="20"/>
              </w:rPr>
              <w:t xml:space="preserve"> the experiences of representatives from </w:t>
            </w:r>
            <w:r w:rsidR="00953C2C">
              <w:rPr>
                <w:rFonts w:ascii="Arial" w:hAnsi="Arial" w:cs="Arial"/>
                <w:sz w:val="20"/>
                <w:szCs w:val="20"/>
              </w:rPr>
              <w:t>Wisconsin DOT and Tennessee DOT</w:t>
            </w:r>
            <w:r w:rsidRPr="00757BC2">
              <w:rPr>
                <w:rFonts w:ascii="Arial" w:hAnsi="Arial" w:cs="Arial"/>
                <w:sz w:val="20"/>
                <w:szCs w:val="20"/>
              </w:rPr>
              <w:t>. The webinar also discuss</w:t>
            </w:r>
            <w:r w:rsidR="00953C2C">
              <w:rPr>
                <w:rFonts w:ascii="Arial" w:hAnsi="Arial" w:cs="Arial"/>
                <w:sz w:val="20"/>
                <w:szCs w:val="20"/>
              </w:rPr>
              <w:t>ed</w:t>
            </w:r>
            <w:r w:rsidRPr="00757BC2">
              <w:rPr>
                <w:rFonts w:ascii="Arial" w:hAnsi="Arial" w:cs="Arial"/>
                <w:sz w:val="20"/>
                <w:szCs w:val="20"/>
              </w:rPr>
              <w:t xml:space="preserve"> recording and sharing video and the factors that influence their specific decision-making and operational functions.</w:t>
            </w:r>
            <w:r w:rsidR="00953C2C">
              <w:rPr>
                <w:rFonts w:ascii="Arial" w:hAnsi="Arial" w:cs="Arial"/>
                <w:sz w:val="20"/>
                <w:szCs w:val="20"/>
              </w:rPr>
              <w:t xml:space="preserve"> Over 130 practitioners participated in the webinar.</w:t>
            </w: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4"/>
  </w:num>
  <w:num w:numId="6">
    <w:abstractNumId w:val="0"/>
  </w:num>
  <w:num w:numId="7">
    <w:abstractNumId w:val="7"/>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F1A0A"/>
    <w:rsid w:val="005F51EE"/>
    <w:rsid w:val="005F68BC"/>
    <w:rsid w:val="00601EBD"/>
    <w:rsid w:val="0060329E"/>
    <w:rsid w:val="00613269"/>
    <w:rsid w:val="00624577"/>
    <w:rsid w:val="0063162C"/>
    <w:rsid w:val="00652F43"/>
    <w:rsid w:val="0065500C"/>
    <w:rsid w:val="00682C5E"/>
    <w:rsid w:val="006C0080"/>
    <w:rsid w:val="006E7D64"/>
    <w:rsid w:val="007357F1"/>
    <w:rsid w:val="007434AC"/>
    <w:rsid w:val="00743C01"/>
    <w:rsid w:val="00757BC2"/>
    <w:rsid w:val="00786BF4"/>
    <w:rsid w:val="00790C4A"/>
    <w:rsid w:val="007B267F"/>
    <w:rsid w:val="007D26F3"/>
    <w:rsid w:val="007E049B"/>
    <w:rsid w:val="007E5BD2"/>
    <w:rsid w:val="00835671"/>
    <w:rsid w:val="00857490"/>
    <w:rsid w:val="00861239"/>
    <w:rsid w:val="00872F18"/>
    <w:rsid w:val="00874EF7"/>
    <w:rsid w:val="00886F96"/>
    <w:rsid w:val="008A04BE"/>
    <w:rsid w:val="008E61F9"/>
    <w:rsid w:val="00905DAC"/>
    <w:rsid w:val="0094066B"/>
    <w:rsid w:val="00953C2C"/>
    <w:rsid w:val="009552C5"/>
    <w:rsid w:val="009D408F"/>
    <w:rsid w:val="009E15E5"/>
    <w:rsid w:val="009E24D8"/>
    <w:rsid w:val="009F370F"/>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50FA4"/>
    <w:rsid w:val="00C54BB2"/>
    <w:rsid w:val="00C63B72"/>
    <w:rsid w:val="00CA5F36"/>
    <w:rsid w:val="00CB1464"/>
    <w:rsid w:val="00CB1CC6"/>
    <w:rsid w:val="00CC2697"/>
    <w:rsid w:val="00CD7628"/>
    <w:rsid w:val="00CF2E32"/>
    <w:rsid w:val="00D42A15"/>
    <w:rsid w:val="00D72D45"/>
    <w:rsid w:val="00D7661D"/>
    <w:rsid w:val="00D9235A"/>
    <w:rsid w:val="00E33A47"/>
    <w:rsid w:val="00E35E0F"/>
    <w:rsid w:val="00E371D1"/>
    <w:rsid w:val="00E3731D"/>
    <w:rsid w:val="00E53738"/>
    <w:rsid w:val="00E665AD"/>
    <w:rsid w:val="00E6717E"/>
    <w:rsid w:val="00E716E6"/>
    <w:rsid w:val="00E7727F"/>
    <w:rsid w:val="00ED5F67"/>
    <w:rsid w:val="00EF08AE"/>
    <w:rsid w:val="00EF5790"/>
    <w:rsid w:val="00F32135"/>
    <w:rsid w:val="00F54200"/>
    <w:rsid w:val="00F84278"/>
    <w:rsid w:val="00F94B5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CC32-CF15-4011-B1F5-250835D2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2016-04-26T14:12:00Z</dcterms:created>
  <dcterms:modified xsi:type="dcterms:W3CDTF">2016-04-26T14:12:00Z</dcterms:modified>
</cp:coreProperties>
</file>