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1745A9">
              <w:rPr>
                <w:rFonts w:ascii="Malgun Gothic" w:eastAsia="Malgun Gothic" w:hAnsi="Malgun Gothic" w:cs="Arial" w:hint="eastAsia"/>
                <w:b/>
                <w:sz w:val="20"/>
                <w:szCs w:val="20"/>
              </w:rPr>
              <w:t>√</w:t>
            </w:r>
            <w:r w:rsidR="008F3821">
              <w:rPr>
                <w:rFonts w:ascii="Arial" w:hAnsi="Arial" w:cs="Arial"/>
                <w:sz w:val="20"/>
                <w:szCs w:val="20"/>
              </w:rPr>
              <w:t xml:space="preserve"> </w:t>
            </w:r>
            <w:r w:rsidR="00A33242">
              <w:rPr>
                <w:rFonts w:ascii="Arial" w:hAnsi="Arial" w:cs="Arial"/>
                <w:sz w:val="20"/>
                <w:szCs w:val="20"/>
              </w:rPr>
              <w:t xml:space="preserve"> </w:t>
            </w:r>
            <w:r w:rsidR="008C3C6D">
              <w:rPr>
                <w:rFonts w:ascii="Arial" w:hAnsi="Arial" w:cs="Arial"/>
                <w:sz w:val="20"/>
                <w:szCs w:val="20"/>
              </w:rPr>
              <w:t xml:space="preserve"> </w:t>
            </w:r>
            <w:r w:rsidR="00551D8A">
              <w:rPr>
                <w:rFonts w:ascii="Arial" w:hAnsi="Arial" w:cs="Arial"/>
                <w:sz w:val="20"/>
                <w:szCs w:val="20"/>
              </w:rPr>
              <w:t>Quarter 1 (January 1 – March 31)</w:t>
            </w:r>
            <w:r w:rsidR="001745A9">
              <w:rPr>
                <w:rFonts w:ascii="Arial" w:hAnsi="Arial" w:cs="Arial"/>
                <w:sz w:val="20"/>
                <w:szCs w:val="20"/>
              </w:rPr>
              <w:t xml:space="preserve"> 2016</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DD62F8">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DD62F8" w:rsidP="0070592F">
            <w:pPr>
              <w:spacing w:before="120"/>
              <w:ind w:right="-720"/>
              <w:rPr>
                <w:rFonts w:ascii="Arial" w:hAnsi="Arial" w:cs="Arial"/>
                <w:sz w:val="20"/>
                <w:szCs w:val="20"/>
              </w:rPr>
            </w:pPr>
            <w:r>
              <w:rPr>
                <w:rFonts w:ascii="Agency FB" w:hAnsi="Agency FB" w:cs="Arial"/>
                <w:b/>
                <w:sz w:val="20"/>
                <w:szCs w:val="20"/>
              </w:rPr>
              <w:t xml:space="preserve"> </w:t>
            </w:r>
            <w:r w:rsidR="003B5E96">
              <w:rPr>
                <w:rFonts w:ascii="Malgun Gothic" w:eastAsia="Malgun Gothic" w:hAnsi="Malgun Gothic" w:cs="Arial" w:hint="eastAsia"/>
                <w:b/>
                <w:sz w:val="20"/>
                <w:szCs w:val="20"/>
              </w:rPr>
              <w:t xml:space="preserve">  </w:t>
            </w:r>
            <w:r w:rsidR="00551D8A">
              <w:rPr>
                <w:rFonts w:ascii="Arial" w:hAnsi="Arial" w:cs="Arial"/>
                <w:sz w:val="20"/>
                <w:szCs w:val="20"/>
              </w:rPr>
              <w:t>Quarter 3 (July 1 – September 30)</w:t>
            </w:r>
          </w:p>
          <w:p w:rsidR="00551D8A" w:rsidRPr="00551D8A" w:rsidRDefault="008C3C6D" w:rsidP="008C3C6D">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1745A9">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FB3705" w:rsidP="0070592F">
            <w:pPr>
              <w:spacing w:before="120"/>
              <w:ind w:right="-720"/>
              <w:rPr>
                <w:rFonts w:ascii="Arial" w:hAnsi="Arial" w:cs="Arial"/>
                <w:sz w:val="20"/>
                <w:szCs w:val="20"/>
              </w:rPr>
            </w:pPr>
            <w:r>
              <w:rPr>
                <w:rFonts w:ascii="Arial" w:hAnsi="Arial" w:cs="Arial"/>
                <w:sz w:val="20"/>
                <w:szCs w:val="20"/>
              </w:rPr>
              <w:t>September 30, 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FB3705" w:rsidP="0003476C">
            <w:pPr>
              <w:ind w:right="-720"/>
              <w:rPr>
                <w:rFonts w:ascii="Arial" w:hAnsi="Arial" w:cs="Arial"/>
                <w:sz w:val="20"/>
                <w:szCs w:val="20"/>
              </w:rPr>
            </w:pPr>
            <w:r>
              <w:rPr>
                <w:rFonts w:ascii="Arial" w:hAnsi="Arial" w:cs="Arial"/>
                <w:sz w:val="20"/>
                <w:szCs w:val="20"/>
              </w:rPr>
              <w:t>3</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D62F8" w:rsidP="00A33242">
            <w:pPr>
              <w:spacing w:before="120"/>
              <w:ind w:right="-720"/>
              <w:jc w:val="center"/>
              <w:rPr>
                <w:rFonts w:ascii="Arial" w:hAnsi="Arial" w:cs="Arial"/>
                <w:sz w:val="20"/>
                <w:szCs w:val="20"/>
              </w:rPr>
            </w:pPr>
            <w:r>
              <w:rPr>
                <w:rFonts w:ascii="Arial" w:hAnsi="Arial" w:cs="Arial"/>
                <w:sz w:val="20"/>
                <w:szCs w:val="20"/>
              </w:rPr>
              <w:t>$1,550</w:t>
            </w:r>
            <w:r w:rsidR="008C3C6D">
              <w:rPr>
                <w:rFonts w:ascii="Arial" w:hAnsi="Arial" w:cs="Arial"/>
                <w:sz w:val="20"/>
                <w:szCs w:val="20"/>
              </w:rPr>
              <w:t>,353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1745A9">
              <w:rPr>
                <w:rFonts w:ascii="Arial" w:hAnsi="Arial" w:cs="Arial"/>
                <w:sz w:val="20"/>
                <w:szCs w:val="20"/>
              </w:rPr>
              <w:t>1,126,041</w:t>
            </w:r>
          </w:p>
        </w:tc>
        <w:tc>
          <w:tcPr>
            <w:tcW w:w="3420" w:type="dxa"/>
          </w:tcPr>
          <w:p w:rsidR="00874EF7" w:rsidRDefault="002E7F24" w:rsidP="008D1AB6">
            <w:pPr>
              <w:spacing w:before="120"/>
              <w:ind w:right="-720"/>
              <w:jc w:val="center"/>
              <w:rPr>
                <w:rFonts w:ascii="Arial" w:hAnsi="Arial" w:cs="Arial"/>
                <w:sz w:val="20"/>
                <w:szCs w:val="20"/>
              </w:rPr>
            </w:pPr>
            <w:r>
              <w:rPr>
                <w:rFonts w:ascii="Arial" w:hAnsi="Arial" w:cs="Arial"/>
                <w:sz w:val="20"/>
                <w:szCs w:val="20"/>
              </w:rPr>
              <w:t>7</w:t>
            </w:r>
            <w:r w:rsidR="001745A9">
              <w:rPr>
                <w:rFonts w:ascii="Arial" w:hAnsi="Arial" w:cs="Arial"/>
                <w:sz w:val="20"/>
                <w:szCs w:val="20"/>
              </w:rPr>
              <w:t>3</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1745A9">
              <w:rPr>
                <w:rFonts w:ascii="Arial" w:hAnsi="Arial" w:cs="Arial"/>
                <w:sz w:val="20"/>
                <w:szCs w:val="20"/>
              </w:rPr>
              <w:t>1,126,041 (73</w:t>
            </w:r>
            <w:r w:rsidR="00014344">
              <w:rPr>
                <w:rFonts w:ascii="Arial" w:hAnsi="Arial" w:cs="Arial"/>
                <w:sz w:val="20"/>
                <w:szCs w:val="20"/>
              </w:rPr>
              <w:t>% of budget)</w:t>
            </w:r>
          </w:p>
        </w:tc>
        <w:tc>
          <w:tcPr>
            <w:tcW w:w="3330" w:type="dxa"/>
          </w:tcPr>
          <w:p w:rsidR="00B66A21" w:rsidRPr="00B66A21" w:rsidRDefault="00D838A4" w:rsidP="00B81259">
            <w:pPr>
              <w:spacing w:before="120"/>
              <w:ind w:right="-720"/>
              <w:jc w:val="center"/>
              <w:rPr>
                <w:rFonts w:ascii="Arial" w:hAnsi="Arial" w:cs="Arial"/>
                <w:sz w:val="20"/>
                <w:szCs w:val="20"/>
              </w:rPr>
            </w:pPr>
            <w:r>
              <w:rPr>
                <w:rFonts w:ascii="Arial" w:hAnsi="Arial" w:cs="Arial"/>
                <w:sz w:val="20"/>
                <w:szCs w:val="20"/>
              </w:rPr>
              <w:t>$</w:t>
            </w:r>
            <w:r w:rsidR="00B81259">
              <w:rPr>
                <w:rFonts w:ascii="Arial" w:hAnsi="Arial" w:cs="Arial"/>
                <w:sz w:val="20"/>
                <w:szCs w:val="20"/>
              </w:rPr>
              <w:t>81,847</w:t>
            </w:r>
          </w:p>
        </w:tc>
        <w:tc>
          <w:tcPr>
            <w:tcW w:w="3420" w:type="dxa"/>
          </w:tcPr>
          <w:p w:rsidR="00B66A21" w:rsidRDefault="00B81259" w:rsidP="00014344">
            <w:pPr>
              <w:spacing w:before="120"/>
              <w:ind w:right="-720"/>
              <w:jc w:val="center"/>
              <w:rPr>
                <w:rFonts w:ascii="Arial" w:hAnsi="Arial" w:cs="Arial"/>
                <w:sz w:val="20"/>
                <w:szCs w:val="20"/>
              </w:rPr>
            </w:pPr>
            <w:r>
              <w:rPr>
                <w:rFonts w:ascii="Arial" w:hAnsi="Arial" w:cs="Arial"/>
                <w:sz w:val="20"/>
                <w:szCs w:val="20"/>
              </w:rPr>
              <w:t>70</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8A7FB0" w:rsidRPr="00D838A4" w:rsidRDefault="00D26E02" w:rsidP="008A7FB0">
            <w:pPr>
              <w:tabs>
                <w:tab w:val="left" w:pos="3330"/>
                <w:tab w:val="left" w:pos="3960"/>
              </w:tabs>
              <w:jc w:val="both"/>
              <w:rPr>
                <w:rFonts w:cstheme="minorHAnsi"/>
                <w:b/>
              </w:rPr>
            </w:pPr>
            <w:r>
              <w:rPr>
                <w:rFonts w:cstheme="minorHAnsi"/>
                <w:b/>
              </w:rPr>
              <w:t>MEPDG CLIMATE DATABASE</w:t>
            </w:r>
            <w:r w:rsidR="008A7FB0" w:rsidRPr="00D838A4">
              <w:rPr>
                <w:rFonts w:cstheme="minorHAnsi"/>
                <w:b/>
              </w:rPr>
              <w:t xml:space="preserve"> </w:t>
            </w:r>
          </w:p>
          <w:p w:rsidR="00E20ED3" w:rsidRPr="00657386" w:rsidRDefault="00E20ED3" w:rsidP="00E20ED3">
            <w:pPr>
              <w:rPr>
                <w:rFonts w:cs="Tahoma"/>
              </w:rPr>
            </w:pPr>
            <w:r w:rsidRPr="008860C1">
              <w:rPr>
                <w:rFonts w:cs="Tahoma"/>
              </w:rPr>
              <w:t xml:space="preserve">LTRC </w:t>
            </w:r>
            <w:r w:rsidR="00B81259">
              <w:rPr>
                <w:rFonts w:cs="Tahoma"/>
              </w:rPr>
              <w:t>identified</w:t>
            </w:r>
            <w:r w:rsidRPr="008860C1">
              <w:rPr>
                <w:rFonts w:cs="Tahoma"/>
              </w:rPr>
              <w:t xml:space="preserve"> three representative pavement sections </w:t>
            </w:r>
            <w:r w:rsidRPr="005E3B7F">
              <w:rPr>
                <w:rFonts w:cs="Tahoma"/>
              </w:rPr>
              <w:t>for use i</w:t>
            </w:r>
            <w:r>
              <w:rPr>
                <w:rFonts w:cs="Tahoma"/>
              </w:rPr>
              <w:t xml:space="preserve">n verifying </w:t>
            </w:r>
            <w:r w:rsidR="00B81259">
              <w:rPr>
                <w:rFonts w:cs="Tahoma"/>
              </w:rPr>
              <w:t>MEPDG</w:t>
            </w:r>
            <w:r>
              <w:rPr>
                <w:rFonts w:cs="Tahoma"/>
              </w:rPr>
              <w:t xml:space="preserve"> climate files.</w:t>
            </w:r>
            <w:r w:rsidR="00B931E2">
              <w:rPr>
                <w:rFonts w:cs="Tahoma"/>
              </w:rPr>
              <w:t xml:space="preserve"> </w:t>
            </w:r>
            <w:r w:rsidR="00F776FA">
              <w:rPr>
                <w:rFonts w:cs="Tahoma"/>
              </w:rPr>
              <w:t>A s</w:t>
            </w:r>
            <w:r w:rsidR="00A31437">
              <w:rPr>
                <w:rFonts w:cs="Tahoma"/>
              </w:rPr>
              <w:t>ub</w:t>
            </w:r>
            <w:r w:rsidR="00A10F7B">
              <w:rPr>
                <w:rFonts w:cs="Tahoma"/>
              </w:rPr>
              <w:t xml:space="preserve">contract </w:t>
            </w:r>
            <w:r w:rsidR="00F776FA">
              <w:rPr>
                <w:rFonts w:cs="Tahoma"/>
              </w:rPr>
              <w:t>with</w:t>
            </w:r>
            <w:r w:rsidR="00A10F7B">
              <w:rPr>
                <w:rFonts w:cs="Tahoma"/>
              </w:rPr>
              <w:t xml:space="preserve"> Iowa State University</w:t>
            </w:r>
            <w:r w:rsidR="00F776FA">
              <w:rPr>
                <w:rFonts w:cs="Tahoma"/>
              </w:rPr>
              <w:t xml:space="preserve"> </w:t>
            </w:r>
            <w:r w:rsidR="00B81259">
              <w:rPr>
                <w:rFonts w:cs="Tahoma"/>
              </w:rPr>
              <w:t>was obtained to analyze</w:t>
            </w:r>
            <w:r w:rsidR="00F776FA">
              <w:rPr>
                <w:rFonts w:cs="Tahoma"/>
              </w:rPr>
              <w:t xml:space="preserve"> climate data files</w:t>
            </w:r>
            <w:r>
              <w:rPr>
                <w:rFonts w:cs="Tahoma"/>
              </w:rPr>
              <w:t>.</w:t>
            </w:r>
            <w:r w:rsidR="00B81259">
              <w:rPr>
                <w:rFonts w:cs="Tahoma"/>
              </w:rPr>
              <w:t xml:space="preserve"> The work has been completed and a draft final report has been submitted for comments.</w:t>
            </w:r>
            <w:r>
              <w:rPr>
                <w:rFonts w:cs="Tahoma"/>
              </w:rPr>
              <w:t xml:space="preserve">  </w:t>
            </w:r>
          </w:p>
          <w:p w:rsidR="00A7193F" w:rsidRDefault="00A7193F" w:rsidP="008A7FB0">
            <w:pPr>
              <w:tabs>
                <w:tab w:val="left" w:pos="3330"/>
                <w:tab w:val="left" w:pos="3960"/>
              </w:tabs>
              <w:jc w:val="both"/>
              <w:rPr>
                <w:rFonts w:cstheme="minorHAnsi"/>
              </w:rPr>
            </w:pPr>
          </w:p>
          <w:p w:rsidR="00F90F97" w:rsidRDefault="00F90F97" w:rsidP="00F601D5">
            <w:pPr>
              <w:autoSpaceDE w:val="0"/>
              <w:autoSpaceDN w:val="0"/>
              <w:adjustRightInd w:val="0"/>
              <w:rPr>
                <w:rFonts w:cs="Times New Roman"/>
              </w:rPr>
            </w:pPr>
            <w:r>
              <w:rPr>
                <w:rFonts w:cs="Times New Roman"/>
                <w:b/>
              </w:rPr>
              <w:t>ASPHALT REJUVENATORS</w:t>
            </w:r>
          </w:p>
          <w:p w:rsidR="00F90F97" w:rsidRPr="00F90F97" w:rsidRDefault="00B81259" w:rsidP="00F601D5">
            <w:pPr>
              <w:autoSpaceDE w:val="0"/>
              <w:autoSpaceDN w:val="0"/>
              <w:adjustRightInd w:val="0"/>
              <w:rPr>
                <w:rFonts w:cs="Times New Roman"/>
              </w:rPr>
            </w:pPr>
            <w:r>
              <w:rPr>
                <w:rFonts w:cs="Times New Roman"/>
              </w:rPr>
              <w:t>ALDOT sponsored</w:t>
            </w:r>
            <w:r w:rsidR="00F90F97">
              <w:rPr>
                <w:rFonts w:cs="Times New Roman"/>
              </w:rPr>
              <w:t xml:space="preserve"> research to evaluate the effectiveness of various asphalt rejuvenators/sealers in extending the durability of binders for OGFC applications.</w:t>
            </w:r>
            <w:r w:rsidR="002E7F24">
              <w:rPr>
                <w:rFonts w:cs="Times New Roman"/>
              </w:rPr>
              <w:t xml:space="preserve"> T</w:t>
            </w:r>
            <w:r>
              <w:rPr>
                <w:rFonts w:cs="Times New Roman"/>
              </w:rPr>
              <w:t>est results from t</w:t>
            </w:r>
            <w:r w:rsidR="002E7F24">
              <w:rPr>
                <w:rFonts w:cs="Times New Roman"/>
              </w:rPr>
              <w:t xml:space="preserve">wo rejuvenators </w:t>
            </w:r>
            <w:r>
              <w:rPr>
                <w:rFonts w:cs="Times New Roman"/>
              </w:rPr>
              <w:t>were</w:t>
            </w:r>
            <w:r w:rsidR="002E7F24">
              <w:rPr>
                <w:rFonts w:cs="Times New Roman"/>
              </w:rPr>
              <w:t xml:space="preserve"> compared to laboratory performance of a control mix. The work should be completed in the next quarter.</w:t>
            </w:r>
          </w:p>
          <w:p w:rsidR="00F50A15" w:rsidRDefault="00F50A15"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1D28CF" w:rsidRDefault="001D28CF" w:rsidP="001F05B1">
            <w:pPr>
              <w:ind w:right="-720"/>
            </w:pPr>
            <w:r>
              <w:t>Three technician training and certification courses</w:t>
            </w:r>
            <w:r w:rsidR="001F05B1">
              <w:t xml:space="preserve"> for Puerto Rico technicians</w:t>
            </w:r>
            <w:r>
              <w:t xml:space="preserve"> were conducted during this quarter. A total </w:t>
            </w:r>
          </w:p>
          <w:p w:rsidR="001F05B1" w:rsidRDefault="001D28CF" w:rsidP="001F05B1">
            <w:pPr>
              <w:ind w:right="-720"/>
            </w:pPr>
            <w:r>
              <w:t>of 39 personnel successfully completed the course</w:t>
            </w:r>
            <w:r w:rsidR="001F05B1">
              <w:t>.</w:t>
            </w:r>
          </w:p>
          <w:p w:rsidR="00F03318" w:rsidRDefault="00F03318" w:rsidP="001F05B1">
            <w:pPr>
              <w:ind w:right="-720"/>
            </w:pPr>
          </w:p>
          <w:p w:rsidR="00F03318" w:rsidRDefault="00F03318" w:rsidP="001F05B1">
            <w:pPr>
              <w:ind w:right="-720"/>
            </w:pPr>
            <w:r>
              <w:t xml:space="preserve">A pavement preservation workshop was developed for ALDOT to encourage engineers to consider treatment options </w:t>
            </w:r>
          </w:p>
          <w:p w:rsidR="00F03318" w:rsidRDefault="00911522" w:rsidP="001F05B1">
            <w:pPr>
              <w:ind w:right="-720"/>
            </w:pPr>
            <w:r>
              <w:t>when planning road needs versus budget to manage their system more effectively; 39 personnel attended the course.</w:t>
            </w:r>
          </w:p>
          <w:p w:rsidR="002E7F24" w:rsidRDefault="002E7F24" w:rsidP="008A7FB0">
            <w:pPr>
              <w:tabs>
                <w:tab w:val="left" w:pos="3330"/>
                <w:tab w:val="left" w:pos="3960"/>
              </w:tabs>
              <w:jc w:val="both"/>
              <w:rPr>
                <w:rFonts w:cstheme="minorHAnsi"/>
                <w:b/>
              </w:rPr>
            </w:pPr>
          </w:p>
          <w:p w:rsidR="001D28CF" w:rsidRDefault="001D28CF" w:rsidP="008A7FB0">
            <w:pPr>
              <w:tabs>
                <w:tab w:val="left" w:pos="3330"/>
                <w:tab w:val="left" w:pos="3960"/>
              </w:tabs>
              <w:jc w:val="both"/>
              <w:rPr>
                <w:rFonts w:cstheme="minorHAnsi"/>
                <w:b/>
              </w:rPr>
            </w:pPr>
          </w:p>
          <w:p w:rsidR="0021489A" w:rsidRDefault="003B5E96" w:rsidP="008A7FB0">
            <w:pPr>
              <w:tabs>
                <w:tab w:val="left" w:pos="3330"/>
                <w:tab w:val="left" w:pos="3960"/>
              </w:tabs>
              <w:jc w:val="both"/>
              <w:rPr>
                <w:rFonts w:cstheme="minorHAnsi"/>
                <w:b/>
              </w:rPr>
            </w:pPr>
            <w:r>
              <w:rPr>
                <w:rFonts w:cstheme="minorHAnsi"/>
                <w:b/>
              </w:rPr>
              <w:t>SMA FLAT AND ELONGATED AGGREGATE STUDY</w:t>
            </w:r>
          </w:p>
          <w:p w:rsidR="001F05B1" w:rsidRDefault="001D28CF" w:rsidP="008A7FB0">
            <w:pPr>
              <w:tabs>
                <w:tab w:val="left" w:pos="3330"/>
                <w:tab w:val="left" w:pos="3960"/>
              </w:tabs>
              <w:jc w:val="both"/>
              <w:rPr>
                <w:rFonts w:cstheme="minorHAnsi"/>
              </w:rPr>
            </w:pPr>
            <w:r>
              <w:rPr>
                <w:rFonts w:cstheme="minorHAnsi"/>
              </w:rPr>
              <w:t>Work is well underway for</w:t>
            </w:r>
            <w:r w:rsidR="001F05B1">
              <w:rPr>
                <w:rFonts w:cstheme="minorHAnsi"/>
              </w:rPr>
              <w:t xml:space="preserve"> the </w:t>
            </w:r>
            <w:r>
              <w:rPr>
                <w:rFonts w:cstheme="minorHAnsi"/>
              </w:rPr>
              <w:t xml:space="preserve">GDOT </w:t>
            </w:r>
            <w:r w:rsidR="001F05B1">
              <w:rPr>
                <w:rFonts w:cstheme="minorHAnsi"/>
              </w:rPr>
              <w:t>F &amp; E study for SMA mixes.</w:t>
            </w:r>
            <w:r>
              <w:rPr>
                <w:rFonts w:cstheme="minorHAnsi"/>
              </w:rPr>
              <w:t xml:space="preserve"> Mix designs have been prepared for 8 mixes including sources that do not provide stone within the current specification of a maximum of 20% F &amp; E at a 3:1 ratio.</w:t>
            </w:r>
            <w:r w:rsidR="00D46921">
              <w:rPr>
                <w:rFonts w:cstheme="minorHAnsi"/>
              </w:rPr>
              <w:t xml:space="preserve"> Due to a shortage of fly ash, the research is also looking at the effect on performance when other mineral filler sources are used. It has been found that the 5:1 ratio is not very discriminating and that most materials can easily meet that requirement. A comparison of flat and elongated particles from one source found that only 6.2% failed the 5:1 ratio while 43.6% by mass failed the 3:1 ratio used for SMA stone.</w:t>
            </w:r>
          </w:p>
          <w:p w:rsidR="00B15545" w:rsidRDefault="00B15545" w:rsidP="008A7FB0">
            <w:pPr>
              <w:tabs>
                <w:tab w:val="left" w:pos="3330"/>
                <w:tab w:val="left" w:pos="3960"/>
              </w:tabs>
              <w:jc w:val="both"/>
              <w:rPr>
                <w:rFonts w:cstheme="minorHAnsi"/>
              </w:rPr>
            </w:pPr>
          </w:p>
          <w:p w:rsidR="00B15545" w:rsidRPr="001F05B1" w:rsidRDefault="00B15545" w:rsidP="008A7FB0">
            <w:pPr>
              <w:tabs>
                <w:tab w:val="left" w:pos="3330"/>
                <w:tab w:val="left" w:pos="3960"/>
              </w:tabs>
              <w:jc w:val="both"/>
              <w:rPr>
                <w:rFonts w:cstheme="minorHAnsi"/>
              </w:rPr>
            </w:pPr>
            <w:r>
              <w:rPr>
                <w:rFonts w:cstheme="minorHAnsi"/>
              </w:rPr>
              <w:t xml:space="preserve">Mix designs have been made using the 50-blow Marshall method. However, samples have been prepared at optimum asphalt content and compacted with a gyratory compactor to 100 gyrations in order to identify the locking point of aggregate structure and determine the rate of densification. So far, the aggregate structure began to lock up (same height for two consecutive  gyrations) at an average of 67 gyrations. Surprisingly, the point where the sample was compacted to 96% of Gmm was </w:t>
            </w:r>
            <w:r w:rsidR="006B03C1">
              <w:rPr>
                <w:rFonts w:cstheme="minorHAnsi"/>
              </w:rPr>
              <w:t>66 gyrations. So for the limited tests thus far, it appears the locking point and 96% Gmm occur at about the same level of gyration.</w:t>
            </w:r>
          </w:p>
          <w:p w:rsidR="0021489A" w:rsidRDefault="0021489A" w:rsidP="008A7FB0">
            <w:pPr>
              <w:tabs>
                <w:tab w:val="left" w:pos="3330"/>
                <w:tab w:val="left" w:pos="3960"/>
              </w:tabs>
              <w:jc w:val="both"/>
              <w:rPr>
                <w:rFonts w:cstheme="minorHAnsi"/>
                <w:b/>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w:t>
            </w:r>
            <w:r w:rsidR="0085367B">
              <w:rPr>
                <w:rFonts w:cstheme="minorHAnsi"/>
              </w:rPr>
              <w:t>national</w:t>
            </w:r>
            <w:r w:rsidR="00A61B04">
              <w:rPr>
                <w:rFonts w:cstheme="minorHAnsi"/>
              </w:rPr>
              <w:t xml:space="preserve"> </w:t>
            </w:r>
            <w:r w:rsidRPr="000A5509">
              <w:rPr>
                <w:rFonts w:cstheme="minorHAnsi"/>
              </w:rPr>
              <w:t>meetings</w:t>
            </w:r>
            <w:r w:rsidR="0085367B">
              <w:rPr>
                <w:rFonts w:cstheme="minorHAnsi"/>
              </w:rPr>
              <w:t xml:space="preserve"> of technical interest</w:t>
            </w:r>
            <w:r w:rsidR="00A31437">
              <w:rPr>
                <w:rFonts w:cstheme="minorHAnsi"/>
              </w:rPr>
              <w:t xml:space="preserve"> such as </w:t>
            </w:r>
            <w:r w:rsidR="006B03C1">
              <w:rPr>
                <w:rFonts w:cstheme="minorHAnsi"/>
              </w:rPr>
              <w:t>the TRB</w:t>
            </w:r>
            <w:r w:rsidR="001F05B1">
              <w:rPr>
                <w:rFonts w:cstheme="minorHAnsi"/>
              </w:rPr>
              <w:t xml:space="preserve"> annual meeting</w:t>
            </w:r>
            <w:r w:rsidR="006B03C1">
              <w:rPr>
                <w:rFonts w:cstheme="minorHAnsi"/>
              </w:rPr>
              <w:t xml:space="preserve"> in Washington, DC</w:t>
            </w:r>
            <w:r w:rsidRPr="000A5509">
              <w:rPr>
                <w:rFonts w:cstheme="minorHAnsi"/>
              </w:rPr>
              <w:t>.</w:t>
            </w:r>
            <w:r w:rsidR="008A72B7">
              <w:rPr>
                <w:rFonts w:cstheme="minorHAnsi"/>
              </w:rPr>
              <w:t xml:space="preserve"> </w:t>
            </w:r>
          </w:p>
          <w:p w:rsidR="00634462" w:rsidRDefault="00634462" w:rsidP="008A7FB0">
            <w:pPr>
              <w:tabs>
                <w:tab w:val="left" w:pos="3330"/>
                <w:tab w:val="left" w:pos="3960"/>
              </w:tabs>
              <w:jc w:val="both"/>
              <w:rPr>
                <w:rFonts w:cstheme="minorHAnsi"/>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F50A15" w:rsidRDefault="0005714A" w:rsidP="00F50A15">
            <w:pPr>
              <w:ind w:right="-720"/>
            </w:pPr>
            <w:r>
              <w:t>The</w:t>
            </w:r>
            <w:r w:rsidR="00F50A15">
              <w:t xml:space="preserve"> </w:t>
            </w:r>
            <w:r w:rsidR="006B03C1">
              <w:t xml:space="preserve">final report of the </w:t>
            </w:r>
            <w:r w:rsidR="00F50A15">
              <w:t>MEPDG climate study</w:t>
            </w:r>
            <w:r>
              <w:t xml:space="preserve"> for Louisiana DOTD </w:t>
            </w:r>
            <w:r w:rsidR="001F05B1">
              <w:t xml:space="preserve">should be </w:t>
            </w:r>
            <w:r w:rsidR="006B03C1">
              <w:t>complete</w:t>
            </w:r>
            <w:r w:rsidR="00F50A15">
              <w:t xml:space="preserve">. </w:t>
            </w:r>
          </w:p>
          <w:p w:rsidR="00BD258C" w:rsidRDefault="00BD258C" w:rsidP="00551D8A">
            <w:pPr>
              <w:ind w:right="-720"/>
            </w:pPr>
          </w:p>
          <w:p w:rsidR="006B03C1" w:rsidRDefault="006B03C1" w:rsidP="008A527D">
            <w:pPr>
              <w:ind w:right="-720"/>
            </w:pPr>
            <w:r>
              <w:t xml:space="preserve">The final report for the </w:t>
            </w:r>
            <w:r w:rsidR="00092711">
              <w:t xml:space="preserve">Alabama research on the effectiveness and performance of asphalt rejuvenators as a way of </w:t>
            </w:r>
          </w:p>
          <w:p w:rsidR="00E54459" w:rsidRDefault="00092711" w:rsidP="008A527D">
            <w:pPr>
              <w:ind w:right="-720"/>
            </w:pPr>
            <w:r>
              <w:t>improving performance of OGFC mixtures</w:t>
            </w:r>
            <w:r w:rsidR="008A527D">
              <w:t xml:space="preserve"> </w:t>
            </w:r>
            <w:r w:rsidR="001F05B1">
              <w:t>should be complete</w:t>
            </w:r>
            <w:r>
              <w:t>.</w:t>
            </w:r>
          </w:p>
          <w:p w:rsidR="009F7E97" w:rsidRDefault="009F7E97" w:rsidP="008A527D">
            <w:pPr>
              <w:ind w:right="-720"/>
            </w:pPr>
          </w:p>
          <w:p w:rsidR="006B03C1" w:rsidRDefault="006B03C1" w:rsidP="008A527D">
            <w:pPr>
              <w:ind w:right="-720"/>
            </w:pPr>
            <w:r>
              <w:t>Work will continue on the</w:t>
            </w:r>
            <w:r w:rsidR="009F7E97">
              <w:t xml:space="preserve"> flat and elongated </w:t>
            </w:r>
            <w:r>
              <w:t>study for SMA</w:t>
            </w:r>
            <w:r w:rsidR="009F7E97">
              <w:t xml:space="preserve">. </w:t>
            </w:r>
            <w:r>
              <w:t xml:space="preserve">Comparisons will be made regarding </w:t>
            </w:r>
            <w:r w:rsidR="009F7E97">
              <w:t xml:space="preserve">rutting resistance of </w:t>
            </w:r>
          </w:p>
          <w:p w:rsidR="009F7E97" w:rsidRDefault="009F7E97" w:rsidP="008A527D">
            <w:pPr>
              <w:ind w:right="-720"/>
            </w:pPr>
            <w:r>
              <w:t xml:space="preserve">mixes with varying F &amp; E values to determine whether the high quality aggregate requirements for </w:t>
            </w:r>
          </w:p>
          <w:p w:rsidR="006B03C1" w:rsidRDefault="009F7E97" w:rsidP="008A527D">
            <w:pPr>
              <w:ind w:right="-720"/>
            </w:pPr>
            <w:r>
              <w:t>SMA are necessary, or whether standard Superpave criteria is sufficient.</w:t>
            </w:r>
            <w:r w:rsidR="006B03C1">
              <w:t xml:space="preserve"> Two additional sources of mineral filler will be </w:t>
            </w:r>
          </w:p>
          <w:p w:rsidR="009F7E97" w:rsidRDefault="006B03C1" w:rsidP="008A527D">
            <w:pPr>
              <w:ind w:right="-720"/>
            </w:pPr>
            <w:r>
              <w:t>evaluated to prepare for an industry shortage of fly ash.</w:t>
            </w:r>
          </w:p>
          <w:p w:rsidR="00B85B80" w:rsidRDefault="00B85B80" w:rsidP="008A527D">
            <w:pPr>
              <w:ind w:right="-720"/>
            </w:pPr>
          </w:p>
          <w:p w:rsidR="00B85B80" w:rsidRDefault="00B85B80" w:rsidP="008A527D">
            <w:pPr>
              <w:ind w:right="-720"/>
            </w:pPr>
            <w:r>
              <w:t>Two training courses are scheduled for asphalt mix design and asphalt binder technician certification in Georgia.</w:t>
            </w:r>
          </w:p>
          <w:p w:rsidR="00B85B80" w:rsidRDefault="00B85B80" w:rsidP="008A527D">
            <w:pPr>
              <w:ind w:right="-720"/>
            </w:pPr>
          </w:p>
          <w:p w:rsidR="00B85B80" w:rsidRDefault="00B85B80" w:rsidP="008A527D">
            <w:pPr>
              <w:ind w:right="-720"/>
            </w:pPr>
            <w:r>
              <w:t>A three-year evaluation of WMA test sections in Colorado is planned.</w:t>
            </w:r>
          </w:p>
          <w:p w:rsidR="004B4BDE" w:rsidRDefault="004B4BDE" w:rsidP="004B4BDE">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B85B80" w:rsidRDefault="00601EBD" w:rsidP="00551D8A">
            <w:pPr>
              <w:ind w:right="-720"/>
              <w:rPr>
                <w:rFonts w:ascii="Arial" w:hAnsi="Arial" w:cs="Arial"/>
                <w:sz w:val="20"/>
                <w:szCs w:val="20"/>
              </w:rPr>
            </w:pPr>
            <w:r>
              <w:rPr>
                <w:rFonts w:ascii="Arial" w:hAnsi="Arial" w:cs="Arial"/>
                <w:b/>
                <w:sz w:val="20"/>
                <w:szCs w:val="20"/>
              </w:rPr>
              <w:t>Significant Results:</w:t>
            </w:r>
            <w:r w:rsidR="00B85B80">
              <w:rPr>
                <w:rFonts w:ascii="Arial" w:hAnsi="Arial" w:cs="Arial"/>
                <w:b/>
                <w:sz w:val="20"/>
                <w:szCs w:val="20"/>
              </w:rPr>
              <w:t xml:space="preserve"> </w:t>
            </w:r>
            <w:r w:rsidR="00B85B80" w:rsidRPr="00B85B80">
              <w:rPr>
                <w:rFonts w:ascii="Arial" w:hAnsi="Arial" w:cs="Arial"/>
                <w:sz w:val="20"/>
                <w:szCs w:val="20"/>
              </w:rPr>
              <w:t>The 5:1 rati</w:t>
            </w:r>
            <w:r w:rsidR="00B85B80">
              <w:rPr>
                <w:rFonts w:ascii="Arial" w:hAnsi="Arial" w:cs="Arial"/>
                <w:sz w:val="20"/>
                <w:szCs w:val="20"/>
              </w:rPr>
              <w:t>o typically used for classifying</w:t>
            </w:r>
            <w:r w:rsidR="00B85B80" w:rsidRPr="00B85B80">
              <w:rPr>
                <w:rFonts w:ascii="Arial" w:hAnsi="Arial" w:cs="Arial"/>
                <w:sz w:val="20"/>
                <w:szCs w:val="20"/>
              </w:rPr>
              <w:t xml:space="preserve"> flat and elongated aggregate particles</w:t>
            </w:r>
            <w:r w:rsidR="00B85B80">
              <w:rPr>
                <w:rFonts w:ascii="Arial" w:hAnsi="Arial" w:cs="Arial"/>
                <w:sz w:val="20"/>
                <w:szCs w:val="20"/>
              </w:rPr>
              <w:t xml:space="preserve"> is not very </w:t>
            </w:r>
          </w:p>
          <w:p w:rsidR="00B85B80" w:rsidRDefault="00B85B80" w:rsidP="00551D8A">
            <w:pPr>
              <w:ind w:right="-720"/>
              <w:rPr>
                <w:rFonts w:ascii="Arial" w:hAnsi="Arial" w:cs="Arial"/>
                <w:sz w:val="20"/>
                <w:szCs w:val="20"/>
              </w:rPr>
            </w:pPr>
            <w:r>
              <w:rPr>
                <w:rFonts w:ascii="Arial" w:hAnsi="Arial" w:cs="Arial"/>
                <w:sz w:val="20"/>
                <w:szCs w:val="20"/>
              </w:rPr>
              <w:t xml:space="preserve">discriminating. This study has found that when aggregates were evaluated at the 3:1 ratio, the amount of F &amp; E could </w:t>
            </w:r>
          </w:p>
          <w:p w:rsidR="00601EBD" w:rsidRPr="00B85B80" w:rsidRDefault="00B85B80" w:rsidP="00551D8A">
            <w:pPr>
              <w:ind w:right="-720"/>
              <w:rPr>
                <w:rFonts w:ascii="Arial" w:hAnsi="Arial" w:cs="Arial"/>
                <w:sz w:val="20"/>
                <w:szCs w:val="20"/>
              </w:rPr>
            </w:pPr>
            <w:r>
              <w:rPr>
                <w:rFonts w:ascii="Arial" w:hAnsi="Arial" w:cs="Arial"/>
                <w:sz w:val="20"/>
                <w:szCs w:val="20"/>
              </w:rPr>
              <w:t>exceed 40% by mass.</w:t>
            </w: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21489A" w:rsidP="0005714A">
            <w:pPr>
              <w:ind w:right="-720"/>
              <w:rPr>
                <w:rFonts w:ascii="Arial" w:hAnsi="Arial" w:cs="Arial"/>
                <w:sz w:val="20"/>
                <w:szCs w:val="20"/>
              </w:rPr>
            </w:pPr>
            <w:r w:rsidRPr="0021489A">
              <w:rPr>
                <w:rFonts w:ascii="Arial" w:hAnsi="Arial" w:cs="Arial"/>
                <w:sz w:val="20"/>
                <w:szCs w:val="20"/>
              </w:rPr>
              <w:t>N/A</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Pr="00C33C15" w:rsidRDefault="00C3342B" w:rsidP="00551D8A">
            <w:pPr>
              <w:ind w:right="-720"/>
              <w:rPr>
                <w:rFonts w:cstheme="minorHAnsi"/>
              </w:rPr>
            </w:pPr>
            <w:r w:rsidRPr="00C33C15">
              <w:rPr>
                <w:rFonts w:cstheme="minorHAnsi"/>
              </w:rPr>
              <w:t xml:space="preserve">The climate data being obtained will be useful for </w:t>
            </w:r>
            <w:r w:rsidR="004E2F3A" w:rsidRPr="00C33C15">
              <w:rPr>
                <w:rFonts w:cstheme="minorHAnsi"/>
              </w:rPr>
              <w:t>Louisiana</w:t>
            </w:r>
            <w:r w:rsidRPr="00C33C15">
              <w:rPr>
                <w:rFonts w:cstheme="minorHAnsi"/>
              </w:rPr>
              <w:t xml:space="preserve"> by providing specific climate data that is more compre</w:t>
            </w:r>
            <w:r w:rsidR="000A5509" w:rsidRPr="00C33C15">
              <w:rPr>
                <w:rFonts w:cstheme="minorHAnsi"/>
              </w:rPr>
              <w:t xml:space="preserve">- </w:t>
            </w:r>
          </w:p>
          <w:p w:rsidR="00E35E0F" w:rsidRPr="00C33C15" w:rsidRDefault="00C3342B" w:rsidP="00551D8A">
            <w:pPr>
              <w:ind w:right="-720"/>
              <w:rPr>
                <w:rFonts w:cstheme="minorHAnsi"/>
              </w:rPr>
            </w:pPr>
            <w:r w:rsidRPr="00C33C15">
              <w:rPr>
                <w:rFonts w:cstheme="minorHAnsi"/>
              </w:rPr>
              <w:t>hensive and more accurate than the original data used in the MEPDG development.</w:t>
            </w:r>
          </w:p>
          <w:p w:rsidR="00300F3E" w:rsidRPr="00C33C15" w:rsidRDefault="00300F3E" w:rsidP="00551D8A">
            <w:pPr>
              <w:ind w:right="-720"/>
              <w:rPr>
                <w:rFonts w:cstheme="minorHAnsi"/>
              </w:rPr>
            </w:pPr>
          </w:p>
          <w:p w:rsidR="00C3342B" w:rsidRPr="00C33C15" w:rsidRDefault="00D86230" w:rsidP="00551D8A">
            <w:pPr>
              <w:ind w:right="-720"/>
              <w:rPr>
                <w:rFonts w:cstheme="minorHAnsi"/>
              </w:rPr>
            </w:pPr>
            <w:bookmarkStart w:id="1" w:name="_Hlk370714645"/>
            <w:r w:rsidRPr="00C33C15">
              <w:rPr>
                <w:rFonts w:cstheme="minorHAnsi"/>
              </w:rPr>
              <w:t xml:space="preserve">The training and certification courses being taught will help ensure qualified technicians </w:t>
            </w:r>
            <w:r w:rsidR="0005714A" w:rsidRPr="00C33C15">
              <w:rPr>
                <w:rFonts w:cs="Arial"/>
              </w:rPr>
              <w:t>familiar</w:t>
            </w:r>
            <w:r w:rsidR="0005714A">
              <w:rPr>
                <w:rFonts w:cs="Arial"/>
              </w:rPr>
              <w:t xml:space="preserve"> </w:t>
            </w:r>
            <w:r w:rsidR="0005714A" w:rsidRPr="00C33C15">
              <w:rPr>
                <w:rFonts w:cs="Arial"/>
              </w:rPr>
              <w:t>with agency</w:t>
            </w:r>
          </w:p>
          <w:bookmarkEnd w:id="1"/>
          <w:p w:rsidR="0005714A" w:rsidRPr="00C33C15" w:rsidRDefault="00D86230" w:rsidP="0005714A">
            <w:pPr>
              <w:ind w:right="-720"/>
              <w:rPr>
                <w:rFonts w:cs="Arial"/>
              </w:rPr>
            </w:pPr>
            <w:r w:rsidRPr="00C33C15">
              <w:rPr>
                <w:rFonts w:cs="Arial"/>
              </w:rPr>
              <w:t>specifications and test procedures</w:t>
            </w:r>
            <w:r w:rsidR="0085367B" w:rsidRPr="00C33C15">
              <w:rPr>
                <w:rFonts w:cs="Arial"/>
              </w:rPr>
              <w:t xml:space="preserve"> will be involved in the acceptance </w:t>
            </w:r>
            <w:r w:rsidR="0005714A" w:rsidRPr="00C33C15">
              <w:rPr>
                <w:rFonts w:cs="Arial"/>
              </w:rPr>
              <w:t>process.</w:t>
            </w:r>
          </w:p>
          <w:p w:rsidR="00D26E02" w:rsidRPr="00C33C15" w:rsidRDefault="00D26E02" w:rsidP="00551D8A">
            <w:pPr>
              <w:ind w:right="-720"/>
              <w:rPr>
                <w:rFonts w:cs="Arial"/>
              </w:rPr>
            </w:pPr>
          </w:p>
          <w:p w:rsidR="0005714A" w:rsidRDefault="00F90F97" w:rsidP="00551D8A">
            <w:pPr>
              <w:ind w:right="-720"/>
              <w:rPr>
                <w:rFonts w:cs="Arial"/>
              </w:rPr>
            </w:pPr>
            <w:r>
              <w:rPr>
                <w:rFonts w:cs="Arial"/>
              </w:rPr>
              <w:t>Performance testing of</w:t>
            </w:r>
            <w:r w:rsidR="00D26E02" w:rsidRPr="00C33C15">
              <w:rPr>
                <w:rFonts w:cs="Arial"/>
              </w:rPr>
              <w:t xml:space="preserve"> </w:t>
            </w:r>
            <w:r w:rsidR="0005714A">
              <w:rPr>
                <w:rFonts w:cs="Arial"/>
              </w:rPr>
              <w:t xml:space="preserve">asphalt rejuvenators </w:t>
            </w:r>
            <w:r w:rsidR="00D26E02" w:rsidRPr="00C33C15">
              <w:rPr>
                <w:rFonts w:cs="Arial"/>
              </w:rPr>
              <w:t xml:space="preserve">will be used to improve specifications by evaluating </w:t>
            </w:r>
          </w:p>
          <w:p w:rsidR="00D26E02" w:rsidRDefault="00F90F97" w:rsidP="00551D8A">
            <w:pPr>
              <w:ind w:right="-720"/>
              <w:rPr>
                <w:rFonts w:cs="Arial"/>
              </w:rPr>
            </w:pPr>
            <w:r>
              <w:rPr>
                <w:rFonts w:cs="Arial"/>
              </w:rPr>
              <w:t>their effectiveness at extending the durability of asphalt binders.</w:t>
            </w:r>
          </w:p>
          <w:p w:rsidR="0021489A" w:rsidRDefault="0021489A" w:rsidP="00551D8A">
            <w:pPr>
              <w:ind w:right="-720"/>
              <w:rPr>
                <w:rFonts w:cs="Arial"/>
              </w:rPr>
            </w:pPr>
          </w:p>
          <w:p w:rsidR="00E35E0F" w:rsidRDefault="0021489A" w:rsidP="009F7E97">
            <w:pPr>
              <w:ind w:right="-720"/>
              <w:rPr>
                <w:rFonts w:ascii="Arial" w:hAnsi="Arial" w:cs="Arial"/>
                <w:sz w:val="20"/>
                <w:szCs w:val="20"/>
              </w:rPr>
            </w:pPr>
            <w:r>
              <w:rPr>
                <w:rFonts w:cs="Arial"/>
              </w:rPr>
              <w:t>Revising specifications for flat and elongated aggregate in SMA mixes could potentially save GDOT a</w:t>
            </w:r>
            <w:r w:rsidR="009F7E97">
              <w:rPr>
                <w:rFonts w:cs="Arial"/>
              </w:rPr>
              <w:t>nd other agencies</w:t>
            </w:r>
            <w:r>
              <w:rPr>
                <w:rFonts w:cs="Arial"/>
              </w:rPr>
              <w:t xml:space="preserve"> </w:t>
            </w:r>
            <w:r w:rsidR="009F7E97">
              <w:rPr>
                <w:rFonts w:cs="Arial"/>
              </w:rPr>
              <w:t>a considerable amount o</w:t>
            </w:r>
            <w:r>
              <w:rPr>
                <w:rFonts w:ascii="Arial" w:hAnsi="Arial" w:cs="Arial"/>
                <w:sz w:val="20"/>
                <w:szCs w:val="20"/>
              </w:rPr>
              <w:t>f funding as specially crushed aggregate may not be needed for SMA.</w:t>
            </w: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B76" w:rsidRDefault="00A86B76" w:rsidP="00106C83">
      <w:pPr>
        <w:spacing w:after="0" w:line="240" w:lineRule="auto"/>
      </w:pPr>
      <w:r>
        <w:separator/>
      </w:r>
    </w:p>
  </w:endnote>
  <w:endnote w:type="continuationSeparator" w:id="0">
    <w:p w:rsidR="00A86B76" w:rsidRDefault="00A86B7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2721BC">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B76" w:rsidRDefault="00A86B76" w:rsidP="00106C83">
      <w:pPr>
        <w:spacing w:after="0" w:line="240" w:lineRule="auto"/>
      </w:pPr>
      <w:r>
        <w:separator/>
      </w:r>
    </w:p>
  </w:footnote>
  <w:footnote w:type="continuationSeparator" w:id="0">
    <w:p w:rsidR="00A86B76" w:rsidRDefault="00A86B7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344"/>
    <w:rsid w:val="00022040"/>
    <w:rsid w:val="000271DC"/>
    <w:rsid w:val="00037FBC"/>
    <w:rsid w:val="00040DFF"/>
    <w:rsid w:val="0005714A"/>
    <w:rsid w:val="000736BB"/>
    <w:rsid w:val="00092711"/>
    <w:rsid w:val="00094A80"/>
    <w:rsid w:val="000A479C"/>
    <w:rsid w:val="000A5509"/>
    <w:rsid w:val="000B665A"/>
    <w:rsid w:val="000E7489"/>
    <w:rsid w:val="000F1C8D"/>
    <w:rsid w:val="000F2782"/>
    <w:rsid w:val="00106C83"/>
    <w:rsid w:val="001079A8"/>
    <w:rsid w:val="001547D0"/>
    <w:rsid w:val="00161153"/>
    <w:rsid w:val="001745A9"/>
    <w:rsid w:val="001D28CF"/>
    <w:rsid w:val="001F05B1"/>
    <w:rsid w:val="00206FCD"/>
    <w:rsid w:val="0021446D"/>
    <w:rsid w:val="0021489A"/>
    <w:rsid w:val="00220C60"/>
    <w:rsid w:val="00224E48"/>
    <w:rsid w:val="0022593F"/>
    <w:rsid w:val="0023274B"/>
    <w:rsid w:val="00234BCE"/>
    <w:rsid w:val="00254CD4"/>
    <w:rsid w:val="002721BC"/>
    <w:rsid w:val="00293FD8"/>
    <w:rsid w:val="0029510E"/>
    <w:rsid w:val="002A79C8"/>
    <w:rsid w:val="002B45C9"/>
    <w:rsid w:val="002C3D43"/>
    <w:rsid w:val="002E7F24"/>
    <w:rsid w:val="002F0C9E"/>
    <w:rsid w:val="00300F3E"/>
    <w:rsid w:val="003413CE"/>
    <w:rsid w:val="0038705A"/>
    <w:rsid w:val="003B5E96"/>
    <w:rsid w:val="003D69D8"/>
    <w:rsid w:val="003F57C8"/>
    <w:rsid w:val="00407C07"/>
    <w:rsid w:val="004144E6"/>
    <w:rsid w:val="004156B2"/>
    <w:rsid w:val="00417A94"/>
    <w:rsid w:val="00437734"/>
    <w:rsid w:val="00463B3D"/>
    <w:rsid w:val="004B0BF4"/>
    <w:rsid w:val="004B4BDE"/>
    <w:rsid w:val="004E14DC"/>
    <w:rsid w:val="004E2F3A"/>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F2FDD"/>
    <w:rsid w:val="006005B0"/>
    <w:rsid w:val="00601EBD"/>
    <w:rsid w:val="00623334"/>
    <w:rsid w:val="00634462"/>
    <w:rsid w:val="00642352"/>
    <w:rsid w:val="00655415"/>
    <w:rsid w:val="00682C5E"/>
    <w:rsid w:val="006B03C1"/>
    <w:rsid w:val="006B6D68"/>
    <w:rsid w:val="006C550E"/>
    <w:rsid w:val="006E323B"/>
    <w:rsid w:val="006E6621"/>
    <w:rsid w:val="006E713B"/>
    <w:rsid w:val="006F27A2"/>
    <w:rsid w:val="007048C1"/>
    <w:rsid w:val="0070592F"/>
    <w:rsid w:val="00743C01"/>
    <w:rsid w:val="007802B9"/>
    <w:rsid w:val="007835FC"/>
    <w:rsid w:val="00790C4A"/>
    <w:rsid w:val="007B090E"/>
    <w:rsid w:val="007C72E3"/>
    <w:rsid w:val="007E2786"/>
    <w:rsid w:val="007E5BD2"/>
    <w:rsid w:val="007E70C1"/>
    <w:rsid w:val="007F5974"/>
    <w:rsid w:val="00821973"/>
    <w:rsid w:val="00826EB8"/>
    <w:rsid w:val="00835F96"/>
    <w:rsid w:val="00853673"/>
    <w:rsid w:val="0085367B"/>
    <w:rsid w:val="00872F18"/>
    <w:rsid w:val="00874EF7"/>
    <w:rsid w:val="00896EE4"/>
    <w:rsid w:val="008A527D"/>
    <w:rsid w:val="008A72B7"/>
    <w:rsid w:val="008A7FB0"/>
    <w:rsid w:val="008C3C6D"/>
    <w:rsid w:val="008D1AB6"/>
    <w:rsid w:val="008E7D21"/>
    <w:rsid w:val="008F3821"/>
    <w:rsid w:val="00911522"/>
    <w:rsid w:val="00913A78"/>
    <w:rsid w:val="00923908"/>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86B76"/>
    <w:rsid w:val="00A87952"/>
    <w:rsid w:val="00A955F3"/>
    <w:rsid w:val="00AD7FC2"/>
    <w:rsid w:val="00AE46B0"/>
    <w:rsid w:val="00AF14C3"/>
    <w:rsid w:val="00B15545"/>
    <w:rsid w:val="00B157DF"/>
    <w:rsid w:val="00B2185C"/>
    <w:rsid w:val="00B40749"/>
    <w:rsid w:val="00B41A3A"/>
    <w:rsid w:val="00B47800"/>
    <w:rsid w:val="00B66A21"/>
    <w:rsid w:val="00B777F4"/>
    <w:rsid w:val="00B80B95"/>
    <w:rsid w:val="00B81259"/>
    <w:rsid w:val="00B85B80"/>
    <w:rsid w:val="00B86930"/>
    <w:rsid w:val="00B923DF"/>
    <w:rsid w:val="00B931E2"/>
    <w:rsid w:val="00B93DF4"/>
    <w:rsid w:val="00BA0AF7"/>
    <w:rsid w:val="00BB65DC"/>
    <w:rsid w:val="00BC7CAA"/>
    <w:rsid w:val="00BD258C"/>
    <w:rsid w:val="00C04DFF"/>
    <w:rsid w:val="00C13753"/>
    <w:rsid w:val="00C3342B"/>
    <w:rsid w:val="00C33C15"/>
    <w:rsid w:val="00C360D4"/>
    <w:rsid w:val="00C70809"/>
    <w:rsid w:val="00C9575A"/>
    <w:rsid w:val="00CB5BC5"/>
    <w:rsid w:val="00CC1ED0"/>
    <w:rsid w:val="00D22480"/>
    <w:rsid w:val="00D26E02"/>
    <w:rsid w:val="00D46921"/>
    <w:rsid w:val="00D53A5C"/>
    <w:rsid w:val="00D7133B"/>
    <w:rsid w:val="00D838A4"/>
    <w:rsid w:val="00D86230"/>
    <w:rsid w:val="00DB19D2"/>
    <w:rsid w:val="00DB42DF"/>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F08AE"/>
    <w:rsid w:val="00EF25BC"/>
    <w:rsid w:val="00EF5790"/>
    <w:rsid w:val="00F03318"/>
    <w:rsid w:val="00F05679"/>
    <w:rsid w:val="00F17990"/>
    <w:rsid w:val="00F21F77"/>
    <w:rsid w:val="00F22A73"/>
    <w:rsid w:val="00F46C3D"/>
    <w:rsid w:val="00F50A15"/>
    <w:rsid w:val="00F601D5"/>
    <w:rsid w:val="00F717AC"/>
    <w:rsid w:val="00F75259"/>
    <w:rsid w:val="00F776FA"/>
    <w:rsid w:val="00F90A6F"/>
    <w:rsid w:val="00F90F97"/>
    <w:rsid w:val="00F978E4"/>
    <w:rsid w:val="00FB3705"/>
    <w:rsid w:val="00FD1930"/>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3BD6-47B2-4037-A93F-EE83C403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2016-04-21T18:56:00Z</dcterms:created>
  <dcterms:modified xsi:type="dcterms:W3CDTF">2016-04-21T18:56:00Z</dcterms:modified>
</cp:coreProperties>
</file>