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F35FCC" w:rsidRDefault="00C1079D" w:rsidP="00C1079D">
            <w:pPr>
              <w:spacing w:after="0" w:line="240" w:lineRule="auto"/>
              <w:ind w:right="-108"/>
              <w:rPr>
                <w:rFonts w:ascii="Arial" w:hAnsi="Arial" w:cs="Arial"/>
                <w:b/>
                <w:sz w:val="24"/>
                <w:szCs w:val="24"/>
              </w:rPr>
            </w:pPr>
            <w:r w:rsidRPr="00F35FCC">
              <w:rPr>
                <w:rFonts w:ascii="Arial" w:hAnsi="Arial" w:cs="Arial"/>
                <w:b/>
                <w:sz w:val="24"/>
                <w:szCs w:val="24"/>
              </w:rPr>
              <w:t>TPF-5(296</w:t>
            </w:r>
            <w:r w:rsidR="000C209F" w:rsidRPr="00F35FCC">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F265D6" w:rsidRDefault="000C209F" w:rsidP="00360664">
            <w:pPr>
              <w:spacing w:after="0" w:line="240" w:lineRule="auto"/>
              <w:ind w:left="-108" w:right="-720"/>
              <w:rPr>
                <w:rFonts w:ascii="Arial" w:hAnsi="Arial" w:cs="Arial"/>
                <w:sz w:val="20"/>
                <w:szCs w:val="20"/>
              </w:rPr>
            </w:pPr>
            <w:r w:rsidRPr="00631C35">
              <w:rPr>
                <w:rFonts w:ascii="Arial" w:hAnsi="Arial" w:cs="Arial"/>
                <w:b/>
                <w:sz w:val="36"/>
                <w:szCs w:val="36"/>
              </w:rPr>
              <w:t xml:space="preserve"> </w:t>
            </w:r>
            <w:r w:rsidR="00F265D6" w:rsidRPr="00F265D6">
              <w:rPr>
                <w:rFonts w:ascii="Arial" w:hAnsi="Arial" w:cs="Arial"/>
                <w:sz w:val="36"/>
                <w:szCs w:val="36"/>
                <w:u w:val="single"/>
              </w:rPr>
              <w:t>_</w:t>
            </w:r>
            <w:r w:rsidRPr="00F265D6">
              <w:rPr>
                <w:rFonts w:ascii="Arial" w:hAnsi="Arial" w:cs="Arial"/>
                <w:sz w:val="36"/>
                <w:szCs w:val="36"/>
              </w:rPr>
              <w:t xml:space="preserve"> </w:t>
            </w:r>
            <w:r w:rsidRPr="00F265D6">
              <w:rPr>
                <w:rFonts w:ascii="Arial" w:hAnsi="Arial" w:cs="Arial"/>
                <w:sz w:val="20"/>
                <w:szCs w:val="20"/>
              </w:rPr>
              <w:t>Quarter 1 (January 1 – March 31</w:t>
            </w:r>
            <w:r w:rsidR="005C75FE" w:rsidRPr="00F265D6">
              <w:rPr>
                <w:rFonts w:ascii="Arial" w:hAnsi="Arial" w:cs="Arial"/>
                <w:sz w:val="20"/>
                <w:szCs w:val="20"/>
              </w:rPr>
              <w:t xml:space="preserve">, </w:t>
            </w:r>
            <w:r w:rsidR="003E4DE4" w:rsidRPr="00F265D6">
              <w:rPr>
                <w:rFonts w:ascii="Arial" w:hAnsi="Arial" w:cs="Arial"/>
                <w:sz w:val="20"/>
                <w:szCs w:val="20"/>
              </w:rPr>
              <w:t>201</w:t>
            </w:r>
            <w:r w:rsidR="00631C35" w:rsidRPr="00F265D6">
              <w:rPr>
                <w:rFonts w:ascii="Arial" w:hAnsi="Arial" w:cs="Arial"/>
                <w:sz w:val="20"/>
                <w:szCs w:val="20"/>
              </w:rPr>
              <w:t>5</w:t>
            </w:r>
            <w:r w:rsidRPr="00F265D6">
              <w:rPr>
                <w:rFonts w:ascii="Arial" w:hAnsi="Arial" w:cs="Arial"/>
                <w:sz w:val="20"/>
                <w:szCs w:val="20"/>
              </w:rPr>
              <w:t>)</w:t>
            </w:r>
          </w:p>
          <w:p w:rsidR="000C209F" w:rsidRPr="000556F2" w:rsidRDefault="000C209F" w:rsidP="00360664">
            <w:pPr>
              <w:spacing w:after="0" w:line="240" w:lineRule="auto"/>
              <w:ind w:left="-108" w:right="-108"/>
              <w:rPr>
                <w:rFonts w:ascii="Arial" w:hAnsi="Arial" w:cs="Arial"/>
                <w:sz w:val="20"/>
                <w:szCs w:val="20"/>
              </w:rPr>
            </w:pPr>
            <w:r w:rsidRPr="000556F2">
              <w:rPr>
                <w:rFonts w:ascii="Arial" w:hAnsi="Arial" w:cs="Arial"/>
                <w:sz w:val="36"/>
                <w:szCs w:val="36"/>
              </w:rPr>
              <w:t xml:space="preserve"> </w:t>
            </w:r>
            <w:r w:rsidR="000556F2" w:rsidRPr="000556F2">
              <w:rPr>
                <w:rFonts w:ascii="Arial" w:hAnsi="Arial" w:cs="Arial"/>
                <w:sz w:val="36"/>
                <w:szCs w:val="36"/>
              </w:rPr>
              <w:t>_</w:t>
            </w:r>
            <w:r w:rsidR="00C47C4A" w:rsidRPr="000556F2">
              <w:rPr>
                <w:rFonts w:ascii="Arial" w:hAnsi="Arial" w:cs="Arial"/>
                <w:sz w:val="36"/>
                <w:szCs w:val="36"/>
              </w:rPr>
              <w:t xml:space="preserve"> </w:t>
            </w:r>
            <w:r w:rsidRPr="000556F2">
              <w:rPr>
                <w:rFonts w:ascii="Arial" w:hAnsi="Arial" w:cs="Arial"/>
                <w:sz w:val="20"/>
                <w:szCs w:val="20"/>
              </w:rPr>
              <w:t>Quarter 2 (April 1 – June 30</w:t>
            </w:r>
            <w:r w:rsidR="002C4321" w:rsidRPr="000556F2">
              <w:rPr>
                <w:rFonts w:ascii="Arial" w:hAnsi="Arial" w:cs="Arial"/>
                <w:sz w:val="20"/>
                <w:szCs w:val="20"/>
              </w:rPr>
              <w:t>, 201</w:t>
            </w:r>
            <w:r w:rsidR="00631C35" w:rsidRPr="000556F2">
              <w:rPr>
                <w:rFonts w:ascii="Arial" w:hAnsi="Arial" w:cs="Arial"/>
                <w:sz w:val="20"/>
                <w:szCs w:val="20"/>
              </w:rPr>
              <w:t>5</w:t>
            </w:r>
            <w:r w:rsidRPr="000556F2">
              <w:rPr>
                <w:rFonts w:ascii="Arial" w:hAnsi="Arial" w:cs="Arial"/>
                <w:sz w:val="20"/>
                <w:szCs w:val="20"/>
              </w:rPr>
              <w:t>)</w:t>
            </w:r>
          </w:p>
          <w:p w:rsidR="000C209F" w:rsidRPr="00E44055" w:rsidRDefault="00E44055" w:rsidP="00360664">
            <w:pPr>
              <w:spacing w:after="0" w:line="240" w:lineRule="auto"/>
              <w:ind w:right="-720"/>
              <w:rPr>
                <w:rFonts w:ascii="Arial" w:hAnsi="Arial" w:cs="Arial"/>
                <w:sz w:val="20"/>
                <w:szCs w:val="20"/>
              </w:rPr>
            </w:pPr>
            <w:r>
              <w:rPr>
                <w:rFonts w:ascii="Arial" w:hAnsi="Arial" w:cs="Arial"/>
                <w:sz w:val="36"/>
                <w:szCs w:val="36"/>
                <w:u w:val="single"/>
              </w:rPr>
              <w:t>_</w:t>
            </w:r>
            <w:r w:rsidR="001D763A" w:rsidRPr="00E44055">
              <w:rPr>
                <w:rFonts w:ascii="Arial" w:hAnsi="Arial" w:cs="Arial"/>
                <w:sz w:val="36"/>
                <w:szCs w:val="36"/>
              </w:rPr>
              <w:t xml:space="preserve"> </w:t>
            </w:r>
            <w:r w:rsidR="000C209F" w:rsidRPr="00E44055">
              <w:rPr>
                <w:rFonts w:ascii="Arial" w:hAnsi="Arial" w:cs="Arial"/>
                <w:sz w:val="20"/>
                <w:szCs w:val="20"/>
              </w:rPr>
              <w:t>Quarter 3 (July 1 – September 30</w:t>
            </w:r>
            <w:r w:rsidR="002C4321" w:rsidRPr="00E44055">
              <w:rPr>
                <w:rFonts w:ascii="Arial" w:hAnsi="Arial" w:cs="Arial"/>
                <w:sz w:val="20"/>
                <w:szCs w:val="20"/>
              </w:rPr>
              <w:t>, 201</w:t>
            </w:r>
            <w:r w:rsidR="00631C35" w:rsidRPr="00E44055">
              <w:rPr>
                <w:rFonts w:ascii="Arial" w:hAnsi="Arial" w:cs="Arial"/>
                <w:sz w:val="20"/>
                <w:szCs w:val="20"/>
              </w:rPr>
              <w:t>5</w:t>
            </w:r>
            <w:r w:rsidR="000C209F" w:rsidRPr="00E44055">
              <w:rPr>
                <w:rFonts w:ascii="Arial" w:hAnsi="Arial" w:cs="Arial"/>
                <w:sz w:val="20"/>
                <w:szCs w:val="20"/>
              </w:rPr>
              <w:t>)</w:t>
            </w:r>
          </w:p>
          <w:p w:rsidR="000C209F" w:rsidRPr="00F35FCC" w:rsidRDefault="00F35FCC" w:rsidP="00F35FCC">
            <w:pPr>
              <w:spacing w:after="0" w:line="240" w:lineRule="auto"/>
              <w:ind w:right="-720"/>
              <w:rPr>
                <w:rFonts w:ascii="Arial" w:hAnsi="Arial" w:cs="Arial"/>
                <w:b/>
                <w:sz w:val="20"/>
                <w:szCs w:val="20"/>
              </w:rPr>
            </w:pPr>
            <w:r w:rsidRPr="00F35FCC">
              <w:rPr>
                <w:rFonts w:ascii="Arial" w:hAnsi="Arial" w:cs="Arial"/>
                <w:b/>
                <w:sz w:val="36"/>
                <w:szCs w:val="36"/>
                <w:u w:val="single"/>
              </w:rPr>
              <w:t>x</w:t>
            </w:r>
            <w:r w:rsidR="00532264" w:rsidRPr="00F35FCC">
              <w:rPr>
                <w:rFonts w:ascii="Arial" w:hAnsi="Arial" w:cs="Arial"/>
                <w:b/>
                <w:sz w:val="36"/>
                <w:szCs w:val="36"/>
              </w:rPr>
              <w:t xml:space="preserve"> </w:t>
            </w:r>
            <w:r w:rsidR="000C209F" w:rsidRPr="00F35FCC">
              <w:rPr>
                <w:rFonts w:ascii="Arial" w:hAnsi="Arial" w:cs="Arial"/>
                <w:b/>
                <w:sz w:val="20"/>
                <w:szCs w:val="20"/>
              </w:rPr>
              <w:t xml:space="preserve">Quarter </w:t>
            </w:r>
            <w:r w:rsidR="005C75FE" w:rsidRPr="00F35FCC">
              <w:rPr>
                <w:rFonts w:ascii="Arial" w:hAnsi="Arial" w:cs="Arial"/>
                <w:b/>
                <w:sz w:val="20"/>
                <w:szCs w:val="20"/>
              </w:rPr>
              <w:t>4 (October 1 – December 31</w:t>
            </w:r>
            <w:r w:rsidR="002C4321" w:rsidRPr="00F35FCC">
              <w:rPr>
                <w:rFonts w:ascii="Arial" w:hAnsi="Arial" w:cs="Arial"/>
                <w:b/>
                <w:sz w:val="20"/>
                <w:szCs w:val="20"/>
              </w:rPr>
              <w:t>, 201</w:t>
            </w:r>
            <w:r w:rsidR="00631C35" w:rsidRPr="00F35FCC">
              <w:rPr>
                <w:rFonts w:ascii="Arial" w:hAnsi="Arial" w:cs="Arial"/>
                <w:b/>
                <w:sz w:val="20"/>
                <w:szCs w:val="20"/>
              </w:rPr>
              <w:t>5</w:t>
            </w:r>
            <w:r w:rsidR="000C209F" w:rsidRPr="00F35FCC">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C1079D" w:rsidP="00360664">
            <w:pPr>
              <w:spacing w:after="0" w:line="240" w:lineRule="auto"/>
              <w:ind w:right="-108"/>
              <w:rPr>
                <w:rFonts w:ascii="Arial" w:hAnsi="Arial" w:cs="Arial"/>
                <w:sz w:val="20"/>
                <w:szCs w:val="20"/>
              </w:rPr>
            </w:pPr>
            <w:r w:rsidRPr="00C1079D">
              <w:rPr>
                <w:rFonts w:ascii="Arial" w:hAnsi="Arial" w:cs="Arial"/>
                <w:sz w:val="20"/>
                <w:szCs w:val="20"/>
              </w:rPr>
              <w:t>Simplified SPT Performance-Based Assessment of Liquefaction and Effects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0C209F" w:rsidP="00360664">
            <w:pPr>
              <w:spacing w:after="0" w:line="240" w:lineRule="auto"/>
              <w:ind w:right="-108"/>
              <w:rPr>
                <w:rFonts w:ascii="Arial" w:hAnsi="Arial" w:cs="Arial"/>
                <w:sz w:val="20"/>
                <w:szCs w:val="20"/>
              </w:rPr>
            </w:pPr>
            <w:r w:rsidRPr="00360664">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E96594">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E96594">
              <w:rPr>
                <w:rFonts w:ascii="Arial" w:hAnsi="Arial" w:cs="Arial"/>
                <w:sz w:val="20"/>
                <w:szCs w:val="20"/>
              </w:rPr>
              <w:t>589</w:t>
            </w:r>
            <w:r w:rsidRPr="00360664">
              <w:rPr>
                <w:rFonts w:ascii="Arial" w:hAnsi="Arial" w:cs="Arial"/>
                <w:sz w:val="20"/>
                <w:szCs w:val="20"/>
              </w:rPr>
              <w:t>-</w:t>
            </w:r>
            <w:r w:rsidR="00E96594">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9" w:history="1">
              <w:r w:rsidRPr="00360664">
                <w:rPr>
                  <w:rStyle w:val="Hyperlink"/>
                  <w:rFonts w:ascii="Arial" w:hAnsi="Arial" w:cs="Arial"/>
                  <w:color w:val="auto"/>
                  <w:sz w:val="20"/>
                  <w:szCs w:val="20"/>
                  <w:u w:val="none"/>
                </w:rPr>
                <w:t>davidstevens@utah.gov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0C209F" w:rsidRPr="00360664">
              <w:rPr>
                <w:rFonts w:ascii="Arial" w:hAnsi="Arial" w:cs="Arial"/>
                <w:sz w:val="20"/>
                <w:szCs w:val="20"/>
              </w:rPr>
              <w:t>420</w:t>
            </w:r>
            <w:r w:rsidR="00C1079D">
              <w:rPr>
                <w:rFonts w:ascii="Arial" w:hAnsi="Arial" w:cs="Arial"/>
                <w:sz w:val="20"/>
                <w:szCs w:val="20"/>
              </w:rPr>
              <w:t>65</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w:t>
            </w:r>
            <w:r w:rsidR="00C1079D">
              <w:rPr>
                <w:rFonts w:ascii="Arial" w:hAnsi="Arial" w:cs="Arial"/>
                <w:sz w:val="20"/>
                <w:szCs w:val="20"/>
              </w:rPr>
              <w:t>2436</w:t>
            </w:r>
          </w:p>
          <w:p w:rsidR="000C209F" w:rsidRPr="00360664" w:rsidRDefault="000C209F" w:rsidP="00C1079D">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1079D">
              <w:rPr>
                <w:rFonts w:ascii="Arial" w:hAnsi="Arial" w:cs="Arial"/>
                <w:sz w:val="20"/>
                <w:szCs w:val="20"/>
              </w:rPr>
              <w:t>3</w:t>
            </w:r>
            <w:r w:rsidRPr="00360664">
              <w:rPr>
                <w:rFonts w:ascii="Arial" w:hAnsi="Arial" w:cs="Arial"/>
                <w:sz w:val="20"/>
                <w:szCs w:val="20"/>
              </w:rPr>
              <w:t>.</w:t>
            </w:r>
            <w:r w:rsidR="00814F16">
              <w:rPr>
                <w:rFonts w:ascii="Arial" w:hAnsi="Arial" w:cs="Arial"/>
                <w:sz w:val="20"/>
                <w:szCs w:val="20"/>
              </w:rPr>
              <w:t>40</w:t>
            </w:r>
            <w:r w:rsidR="00C1079D">
              <w:rPr>
                <w:rFonts w:ascii="Arial" w:hAnsi="Arial" w:cs="Arial"/>
                <w:sz w:val="20"/>
                <w:szCs w:val="20"/>
              </w:rPr>
              <w:t>7</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w:t>
            </w:r>
            <w:r w:rsidR="007B3CBC">
              <w:rPr>
                <w:rFonts w:ascii="Arial" w:hAnsi="Arial" w:cs="Arial"/>
                <w:sz w:val="20"/>
                <w:szCs w:val="20"/>
              </w:rPr>
              <w:t>148</w:t>
            </w:r>
            <w:r w:rsidR="00F07349">
              <w:rPr>
                <w:rFonts w:ascii="Arial" w:hAnsi="Arial" w:cs="Arial"/>
                <w:sz w:val="20"/>
                <w:szCs w:val="20"/>
              </w:rPr>
              <w:t>7</w:t>
            </w:r>
            <w:r w:rsidR="007B3CBC">
              <w:rPr>
                <w:rFonts w:ascii="Arial" w:hAnsi="Arial" w:cs="Arial"/>
                <w:sz w:val="20"/>
                <w:szCs w:val="20"/>
              </w:rPr>
              <w:t>53</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Pr>
                <w:rFonts w:ascii="Arial" w:hAnsi="Arial" w:cs="Arial"/>
                <w:sz w:val="20"/>
                <w:szCs w:val="20"/>
              </w:rPr>
              <w:t>March 6, 2014</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1C1DDE" w:rsidP="00360664">
            <w:pPr>
              <w:spacing w:after="0" w:line="240" w:lineRule="auto"/>
              <w:ind w:right="-108"/>
              <w:rPr>
                <w:rFonts w:ascii="Arial" w:hAnsi="Arial" w:cs="Arial"/>
                <w:sz w:val="20"/>
                <w:szCs w:val="20"/>
              </w:rPr>
            </w:pPr>
            <w:r w:rsidRPr="001C1DDE">
              <w:rPr>
                <w:rFonts w:ascii="Arial" w:hAnsi="Arial" w:cs="Arial"/>
                <w:sz w:val="20"/>
                <w:szCs w:val="20"/>
              </w:rPr>
              <w:t>November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360664" w:rsidRDefault="000C209F" w:rsidP="007D695F">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1C1DDE" w:rsidRPr="001C1DDE">
              <w:rPr>
                <w:rFonts w:ascii="Arial" w:hAnsi="Arial" w:cs="Arial"/>
                <w:sz w:val="20"/>
                <w:szCs w:val="20"/>
              </w:rPr>
              <w:t>November 30, 2016</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BE2ADA"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r w:rsidRPr="00BE2ADA">
              <w:rPr>
                <w:rFonts w:ascii="Arial" w:hAnsi="Arial" w:cs="Arial"/>
                <w:sz w:val="20"/>
                <w:szCs w:val="20"/>
              </w:rPr>
              <w:t>1</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633AD">
        <w:rPr>
          <w:rFonts w:ascii="Arial" w:hAnsi="Arial" w:cs="Arial"/>
          <w:sz w:val="20"/>
          <w:szCs w:val="20"/>
        </w:rPr>
        <w:t>_</w:t>
      </w:r>
      <w:r>
        <w:rPr>
          <w:rFonts w:ascii="Arial" w:hAnsi="Arial" w:cs="Arial"/>
          <w:sz w:val="20"/>
          <w:szCs w:val="20"/>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6633AD" w:rsidRPr="0038529F">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845B74" w:rsidRDefault="00845B74" w:rsidP="00BE2ADA">
            <w:pPr>
              <w:spacing w:after="0" w:line="240" w:lineRule="auto"/>
              <w:ind w:right="-108"/>
              <w:jc w:val="center"/>
              <w:rPr>
                <w:rFonts w:ascii="Arial" w:hAnsi="Arial" w:cs="Arial"/>
                <w:sz w:val="20"/>
                <w:szCs w:val="20"/>
              </w:rPr>
            </w:pPr>
            <w:r>
              <w:rPr>
                <w:rFonts w:ascii="Arial" w:hAnsi="Arial" w:cs="Arial"/>
                <w:sz w:val="20"/>
                <w:szCs w:val="20"/>
              </w:rPr>
              <w:t>$1</w:t>
            </w:r>
            <w:r w:rsidR="007449D3">
              <w:rPr>
                <w:rFonts w:ascii="Arial" w:hAnsi="Arial" w:cs="Arial"/>
                <w:sz w:val="20"/>
                <w:szCs w:val="20"/>
              </w:rPr>
              <w:t>4</w:t>
            </w:r>
            <w:r w:rsidR="00BE2ADA">
              <w:rPr>
                <w:rFonts w:ascii="Arial" w:hAnsi="Arial" w:cs="Arial"/>
                <w:sz w:val="20"/>
                <w:szCs w:val="20"/>
              </w:rPr>
              <w:t>9</w:t>
            </w:r>
            <w:r>
              <w:rPr>
                <w:rFonts w:ascii="Arial" w:hAnsi="Arial" w:cs="Arial"/>
                <w:sz w:val="20"/>
                <w:szCs w:val="20"/>
              </w:rPr>
              <w:t>,</w:t>
            </w:r>
            <w:r w:rsidR="00BE2ADA">
              <w:rPr>
                <w:rFonts w:ascii="Arial" w:hAnsi="Arial" w:cs="Arial"/>
                <w:sz w:val="20"/>
                <w:szCs w:val="20"/>
              </w:rPr>
              <w:t>500.00</w:t>
            </w:r>
            <w:r w:rsidR="00934F8D">
              <w:rPr>
                <w:rFonts w:ascii="Arial" w:hAnsi="Arial" w:cs="Arial"/>
                <w:sz w:val="20"/>
                <w:szCs w:val="20"/>
              </w:rPr>
              <w:t xml:space="preserve"> (current contract)</w:t>
            </w:r>
          </w:p>
          <w:p w:rsidR="00934F8D" w:rsidRPr="00360664" w:rsidRDefault="00934F8D" w:rsidP="00BE2ADA">
            <w:pPr>
              <w:spacing w:after="0" w:line="240" w:lineRule="auto"/>
              <w:ind w:right="-108"/>
              <w:jc w:val="center"/>
              <w:rPr>
                <w:rFonts w:ascii="Arial" w:hAnsi="Arial" w:cs="Arial"/>
                <w:sz w:val="20"/>
                <w:szCs w:val="20"/>
              </w:rPr>
            </w:pPr>
            <w:r>
              <w:rPr>
                <w:rFonts w:ascii="Arial" w:hAnsi="Arial" w:cs="Arial"/>
                <w:sz w:val="20"/>
                <w:szCs w:val="20"/>
              </w:rPr>
              <w:t>$167,500.00 (total commitments)</w:t>
            </w:r>
          </w:p>
        </w:tc>
        <w:tc>
          <w:tcPr>
            <w:tcW w:w="3330" w:type="dxa"/>
            <w:vAlign w:val="center"/>
          </w:tcPr>
          <w:p w:rsidR="000C209F" w:rsidRPr="00360664" w:rsidRDefault="006F1879" w:rsidP="00116830">
            <w:pPr>
              <w:spacing w:after="0" w:line="240" w:lineRule="auto"/>
              <w:ind w:left="-108" w:right="-108"/>
              <w:jc w:val="center"/>
              <w:rPr>
                <w:rFonts w:ascii="Arial" w:hAnsi="Arial" w:cs="Arial"/>
                <w:sz w:val="20"/>
                <w:szCs w:val="20"/>
              </w:rPr>
            </w:pPr>
            <w:r>
              <w:rPr>
                <w:rFonts w:ascii="Arial" w:hAnsi="Arial" w:cs="Arial"/>
                <w:sz w:val="20"/>
                <w:szCs w:val="20"/>
              </w:rPr>
              <w:t>$</w:t>
            </w:r>
            <w:r w:rsidR="00116830">
              <w:rPr>
                <w:rFonts w:ascii="Arial" w:hAnsi="Arial" w:cs="Arial"/>
                <w:sz w:val="20"/>
                <w:szCs w:val="20"/>
              </w:rPr>
              <w:t>95</w:t>
            </w:r>
            <w:r w:rsidR="007459C3" w:rsidRPr="007459C3">
              <w:rPr>
                <w:rFonts w:ascii="Arial" w:hAnsi="Arial" w:cs="Arial"/>
                <w:sz w:val="20"/>
                <w:szCs w:val="20"/>
              </w:rPr>
              <w:t>,750</w:t>
            </w:r>
          </w:p>
        </w:tc>
        <w:tc>
          <w:tcPr>
            <w:tcW w:w="3420" w:type="dxa"/>
            <w:vAlign w:val="center"/>
          </w:tcPr>
          <w:p w:rsidR="000C209F" w:rsidRPr="00360664" w:rsidRDefault="00116830" w:rsidP="00360664">
            <w:pPr>
              <w:spacing w:after="0" w:line="240" w:lineRule="auto"/>
              <w:ind w:left="-108" w:right="-108"/>
              <w:jc w:val="center"/>
              <w:rPr>
                <w:rFonts w:ascii="Arial" w:hAnsi="Arial" w:cs="Arial"/>
                <w:sz w:val="20"/>
                <w:szCs w:val="20"/>
              </w:rPr>
            </w:pPr>
            <w:r>
              <w:rPr>
                <w:rFonts w:ascii="Arial" w:hAnsi="Arial" w:cs="Arial"/>
                <w:sz w:val="20"/>
                <w:szCs w:val="20"/>
              </w:rPr>
              <w:t>7</w:t>
            </w:r>
            <w:r w:rsidR="007459C3">
              <w:rPr>
                <w:rFonts w:ascii="Arial" w:hAnsi="Arial" w:cs="Arial"/>
                <w:sz w:val="20"/>
                <w:szCs w:val="20"/>
              </w:rPr>
              <w:t>0</w:t>
            </w:r>
            <w:r w:rsidR="00845B7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116830" w:rsidP="00360664">
            <w:pPr>
              <w:spacing w:after="0" w:line="240" w:lineRule="auto"/>
              <w:ind w:right="-108"/>
              <w:jc w:val="center"/>
              <w:rPr>
                <w:rFonts w:ascii="Arial" w:hAnsi="Arial" w:cs="Arial"/>
                <w:sz w:val="20"/>
                <w:szCs w:val="20"/>
              </w:rPr>
            </w:pPr>
            <w:r>
              <w:rPr>
                <w:rFonts w:ascii="Arial" w:hAnsi="Arial" w:cs="Arial"/>
                <w:sz w:val="20"/>
                <w:szCs w:val="20"/>
              </w:rPr>
              <w:t>16</w:t>
            </w:r>
            <w:r w:rsidR="002F66FD">
              <w:rPr>
                <w:rFonts w:ascii="Arial" w:hAnsi="Arial" w:cs="Arial"/>
                <w:sz w:val="20"/>
                <w:szCs w:val="20"/>
              </w:rPr>
              <w:t>%</w:t>
            </w:r>
          </w:p>
        </w:tc>
        <w:tc>
          <w:tcPr>
            <w:tcW w:w="3330" w:type="dxa"/>
          </w:tcPr>
          <w:p w:rsidR="000C209F" w:rsidRPr="00360664" w:rsidRDefault="006F1879" w:rsidP="00116830">
            <w:pPr>
              <w:spacing w:after="0" w:line="240" w:lineRule="auto"/>
              <w:ind w:right="-108"/>
              <w:jc w:val="center"/>
              <w:rPr>
                <w:rFonts w:ascii="Arial" w:hAnsi="Arial" w:cs="Arial"/>
                <w:sz w:val="20"/>
                <w:szCs w:val="20"/>
              </w:rPr>
            </w:pPr>
            <w:r>
              <w:rPr>
                <w:rFonts w:ascii="Arial" w:hAnsi="Arial" w:cs="Arial"/>
                <w:sz w:val="20"/>
                <w:szCs w:val="20"/>
              </w:rPr>
              <w:t>$</w:t>
            </w:r>
            <w:r w:rsidR="00116830">
              <w:rPr>
                <w:rFonts w:ascii="Arial" w:hAnsi="Arial" w:cs="Arial"/>
                <w:sz w:val="20"/>
                <w:szCs w:val="20"/>
              </w:rPr>
              <w:t>24,000</w:t>
            </w:r>
          </w:p>
        </w:tc>
        <w:tc>
          <w:tcPr>
            <w:tcW w:w="3420" w:type="dxa"/>
          </w:tcPr>
          <w:p w:rsidR="000C209F" w:rsidRPr="00360664" w:rsidRDefault="00116830" w:rsidP="00D47A1D">
            <w:pPr>
              <w:spacing w:after="0" w:line="240" w:lineRule="auto"/>
              <w:ind w:left="-108" w:right="-108"/>
              <w:jc w:val="center"/>
              <w:rPr>
                <w:rFonts w:ascii="Arial" w:hAnsi="Arial" w:cs="Arial"/>
                <w:sz w:val="20"/>
                <w:szCs w:val="20"/>
              </w:rPr>
            </w:pPr>
            <w:r>
              <w:rPr>
                <w:rFonts w:ascii="Arial" w:hAnsi="Arial" w:cs="Arial"/>
                <w:sz w:val="20"/>
                <w:szCs w:val="20"/>
              </w:rPr>
              <w:t>6</w:t>
            </w:r>
            <w:r w:rsidR="002D0754">
              <w:rPr>
                <w:rFonts w:ascii="Arial" w:hAnsi="Arial" w:cs="Arial"/>
                <w:sz w:val="20"/>
                <w:szCs w:val="20"/>
              </w:rPr>
              <w:t>5</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Liquefaction of loose saturated sands results in significant damage to buildings, transportation systems and lifelines in most large earthquake events. Liquefaction and the resulting loss of shear strength can lead to lateral spreading and seismic slope displacements, which often impact bridge abutments and wharfs, damaging these critical transportation links at a time when they are most needed for rescue effort</w:t>
            </w:r>
            <w:r>
              <w:rPr>
                <w:rFonts w:ascii="Arial" w:hAnsi="Arial" w:cs="Arial"/>
                <w:sz w:val="20"/>
                <w:szCs w:val="20"/>
              </w:rPr>
              <w:t>s and post-earthquake recovery.</w:t>
            </w:r>
          </w:p>
          <w:p w:rsidR="008E57BB" w:rsidRPr="008E57BB" w:rsidRDefault="008E57BB" w:rsidP="008E57BB">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 xml:space="preserve">While most updated seismic provisions now adopt a risk-targeted approach to design ground motions for superstructures, other critical aspects of geotechnical engineering, such as liquefaction and ground deformation evaluation, are still based on the older concept of deterministic hazard evaluation. Recent advances in performance-based earthquake engineering (PBEE) in geotechnical engineering (e.g., Kramer and Mayfield 2007; </w:t>
            </w:r>
            <w:proofErr w:type="spellStart"/>
            <w:r w:rsidRPr="008E57BB">
              <w:rPr>
                <w:rFonts w:ascii="Arial" w:hAnsi="Arial" w:cs="Arial"/>
                <w:sz w:val="20"/>
                <w:szCs w:val="20"/>
              </w:rPr>
              <w:t>Rathje</w:t>
            </w:r>
            <w:proofErr w:type="spellEnd"/>
            <w:r w:rsidRPr="008E57BB">
              <w:rPr>
                <w:rFonts w:ascii="Arial" w:hAnsi="Arial" w:cs="Arial"/>
                <w:sz w:val="20"/>
                <w:szCs w:val="20"/>
              </w:rPr>
              <w:t xml:space="preserve"> and </w:t>
            </w:r>
            <w:proofErr w:type="spellStart"/>
            <w:r w:rsidRPr="008E57BB">
              <w:rPr>
                <w:rFonts w:ascii="Arial" w:hAnsi="Arial" w:cs="Arial"/>
                <w:sz w:val="20"/>
                <w:szCs w:val="20"/>
              </w:rPr>
              <w:t>Saygili</w:t>
            </w:r>
            <w:proofErr w:type="spellEnd"/>
            <w:r w:rsidRPr="008E57BB">
              <w:rPr>
                <w:rFonts w:ascii="Arial" w:hAnsi="Arial" w:cs="Arial"/>
                <w:sz w:val="20"/>
                <w:szCs w:val="20"/>
              </w:rPr>
              <w:t xml:space="preserve"> 2008; Bradley et al. 2011; Franke and Kramer 2013) have introduced probabilistic uniform hazard-based procedures for evaluating seismic ground deformations within a performance-based framework from which the likelihood of exceeding various magnitudes of deformation within a given time frame can be computed. However, the ability to apply these performance-based procedures on everyday projects is generally beyond the capabilities</w:t>
            </w:r>
            <w:r>
              <w:rPr>
                <w:rFonts w:ascii="Arial" w:hAnsi="Arial" w:cs="Arial"/>
                <w:sz w:val="20"/>
                <w:szCs w:val="20"/>
              </w:rPr>
              <w:t xml:space="preserve"> of most practicing engineers.</w:t>
            </w:r>
          </w:p>
          <w:p w:rsidR="008E57BB" w:rsidRDefault="008E57BB" w:rsidP="008E57BB">
            <w:pPr>
              <w:spacing w:after="0" w:line="240" w:lineRule="auto"/>
              <w:rPr>
                <w:rFonts w:ascii="Arial" w:hAnsi="Arial" w:cs="Arial"/>
                <w:sz w:val="20"/>
                <w:szCs w:val="20"/>
              </w:rPr>
            </w:pPr>
          </w:p>
          <w:p w:rsidR="008E57BB" w:rsidRDefault="008E57BB" w:rsidP="008E57BB">
            <w:pPr>
              <w:spacing w:after="0" w:line="240" w:lineRule="auto"/>
              <w:rPr>
                <w:rFonts w:ascii="Arial" w:hAnsi="Arial" w:cs="Arial"/>
                <w:sz w:val="20"/>
                <w:szCs w:val="20"/>
              </w:rPr>
            </w:pPr>
            <w:r w:rsidRPr="008E57BB">
              <w:rPr>
                <w:rFonts w:ascii="Arial" w:hAnsi="Arial" w:cs="Arial"/>
                <w:sz w:val="20"/>
                <w:szCs w:val="20"/>
              </w:rPr>
              <w:t xml:space="preserve">This study proposes to create and evaluate </w:t>
            </w:r>
            <w:r w:rsidRPr="008E57BB">
              <w:rPr>
                <w:rFonts w:ascii="Arial" w:hAnsi="Arial" w:cs="Arial"/>
                <w:i/>
                <w:sz w:val="20"/>
                <w:szCs w:val="20"/>
              </w:rPr>
              <w:t>simplified</w:t>
            </w:r>
            <w:r w:rsidRPr="008E57BB">
              <w:rPr>
                <w:rFonts w:ascii="Arial" w:hAnsi="Arial" w:cs="Arial"/>
                <w:sz w:val="20"/>
                <w:szCs w:val="20"/>
              </w:rPr>
              <w:t xml:space="preserve"> performance-based design procedures for the </w:t>
            </w:r>
            <w:r w:rsidRPr="008E57BB">
              <w:rPr>
                <w:rFonts w:ascii="Arial" w:hAnsi="Arial" w:cs="Arial"/>
                <w:i/>
                <w:sz w:val="20"/>
                <w:szCs w:val="20"/>
              </w:rPr>
              <w:t>a priori</w:t>
            </w:r>
            <w:r w:rsidRPr="008E57BB">
              <w:rPr>
                <w:rFonts w:ascii="Arial" w:hAnsi="Arial" w:cs="Arial"/>
                <w:sz w:val="20"/>
                <w:szCs w:val="20"/>
              </w:rPr>
              <w:t xml:space="preserve"> prediction of liquefaction triggering, lateral spread displacement, seismic slope displacement, and post-liquefaction free-field settlement using the standard penetration test (SPT).</w:t>
            </w:r>
          </w:p>
          <w:p w:rsidR="008E57BB" w:rsidRDefault="008E57BB" w:rsidP="00C26502">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1. Derive new simplified performance-based procedure for liquefaction triggering, lateral spread displacement, free-field post-liquefaction settlements, and Newmark seismic slope displacements. </w:t>
            </w: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2. Develop liquefaction parameter maps in GIS format associated with each of the hazards included in objective 1 at return periods of 475 years, 1033 years, and 2475 years for each of the states participating in the study. </w:t>
            </w:r>
          </w:p>
          <w:p w:rsidR="000C65A5" w:rsidRPr="000C65A5" w:rsidRDefault="000C65A5" w:rsidP="000C65A5">
            <w:pPr>
              <w:spacing w:after="0" w:line="240" w:lineRule="auto"/>
              <w:rPr>
                <w:rFonts w:ascii="Arial" w:hAnsi="Arial" w:cs="Arial"/>
                <w:sz w:val="20"/>
                <w:szCs w:val="20"/>
              </w:rPr>
            </w:pPr>
            <w:r w:rsidRPr="000C65A5">
              <w:rPr>
                <w:rFonts w:ascii="Arial" w:hAnsi="Arial" w:cs="Arial"/>
                <w:sz w:val="20"/>
                <w:szCs w:val="20"/>
              </w:rPr>
              <w:t xml:space="preserve">3. Evaluate the new simplified performance-based liquefaction procedures against conventional (i.e., AASHTO) liquefaction analysis procedures. </w:t>
            </w:r>
          </w:p>
          <w:p w:rsidR="00814F16" w:rsidRDefault="000C65A5" w:rsidP="000C65A5">
            <w:pPr>
              <w:spacing w:after="0" w:line="240" w:lineRule="auto"/>
              <w:rPr>
                <w:rFonts w:ascii="Arial" w:hAnsi="Arial" w:cs="Arial"/>
                <w:sz w:val="20"/>
                <w:szCs w:val="20"/>
              </w:rPr>
            </w:pPr>
            <w:r w:rsidRPr="000C65A5">
              <w:rPr>
                <w:rFonts w:ascii="Arial" w:hAnsi="Arial" w:cs="Arial"/>
                <w:sz w:val="20"/>
                <w:szCs w:val="20"/>
              </w:rPr>
              <w:t>4. Develop a simplified design procedure that will allow the designer to envelope the performance-based and conventional results to select which</w:t>
            </w:r>
            <w:r>
              <w:rPr>
                <w:rFonts w:ascii="Arial" w:hAnsi="Arial" w:cs="Arial"/>
                <w:sz w:val="20"/>
                <w:szCs w:val="20"/>
              </w:rPr>
              <w:t xml:space="preserve"> result will govern the design.</w:t>
            </w:r>
            <w:r>
              <w:rPr>
                <w:rFonts w:ascii="Arial" w:hAnsi="Arial" w:cs="Arial"/>
                <w:sz w:val="20"/>
                <w:szCs w:val="20"/>
              </w:rPr>
              <w:br/>
            </w:r>
          </w:p>
          <w:p w:rsid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Tasks for this study include, regarding the participating states: </w:t>
            </w:r>
          </w:p>
          <w:p w:rsidR="004F586D" w:rsidRPr="004F586D" w:rsidRDefault="004F586D" w:rsidP="004F586D">
            <w:pPr>
              <w:spacing w:after="0" w:line="240" w:lineRule="auto"/>
              <w:rPr>
                <w:rFonts w:ascii="Arial" w:hAnsi="Arial" w:cs="Arial"/>
                <w:sz w:val="20"/>
                <w:szCs w:val="20"/>
              </w:rPr>
            </w:pP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1. Derivation and validation of a new simplified liquefaction triggering model (Year 1).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2. Derivation and validation of simplified lateral spread displacement models (Year 1). </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3. Derivation and validation of simplified post-liquefaction settlement models (Year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4. Derivation and validation of simplified Newmark seismic slope displacement models (Year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5. Assessment of grid spacing considerations in various seismic environments for</w:t>
            </w:r>
            <w:r w:rsidR="00FE7490">
              <w:rPr>
                <w:rFonts w:ascii="Arial" w:hAnsi="Arial" w:cs="Arial"/>
                <w:sz w:val="20"/>
                <w:szCs w:val="20"/>
              </w:rPr>
              <w:t xml:space="preserve"> map development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6. Development of liquefaction parameter maps at targeted return periods in GIS file format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7. Comparison of simplified, conventional, and deterministic ana</w:t>
            </w:r>
            <w:r w:rsidR="00FE7490">
              <w:rPr>
                <w:rFonts w:ascii="Arial" w:hAnsi="Arial" w:cs="Arial"/>
                <w:sz w:val="20"/>
                <w:szCs w:val="20"/>
              </w:rPr>
              <w:t>lysis approaches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8. Development of a simplified design procedure and an analysis spreadsheet that incorporates both performance-based and conventional methods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9. Preparation of the annual and final reports (Years 1 &amp; 2).</w:t>
            </w:r>
          </w:p>
          <w:p w:rsidR="004F586D" w:rsidRPr="004F586D" w:rsidRDefault="004F586D" w:rsidP="004F586D">
            <w:pPr>
              <w:spacing w:after="0" w:line="240" w:lineRule="auto"/>
              <w:rPr>
                <w:rFonts w:ascii="Arial" w:hAnsi="Arial" w:cs="Arial"/>
                <w:sz w:val="20"/>
                <w:szCs w:val="20"/>
              </w:rPr>
            </w:pPr>
            <w:r w:rsidRPr="004F586D">
              <w:rPr>
                <w:rFonts w:ascii="Arial" w:hAnsi="Arial" w:cs="Arial"/>
                <w:sz w:val="20"/>
                <w:szCs w:val="20"/>
              </w:rPr>
              <w:t xml:space="preserve">10. Dissemination of results in appropriate engineering journals and conferences (Years 1 &amp; 2). </w:t>
            </w:r>
          </w:p>
          <w:p w:rsidR="000C209F" w:rsidRDefault="004F586D" w:rsidP="004F586D">
            <w:pPr>
              <w:spacing w:after="0" w:line="240" w:lineRule="auto"/>
              <w:rPr>
                <w:rFonts w:ascii="Arial" w:hAnsi="Arial" w:cs="Arial"/>
                <w:sz w:val="20"/>
                <w:szCs w:val="20"/>
              </w:rPr>
            </w:pPr>
            <w:r w:rsidRPr="004F586D">
              <w:rPr>
                <w:rFonts w:ascii="Arial" w:hAnsi="Arial" w:cs="Arial"/>
                <w:sz w:val="20"/>
                <w:szCs w:val="20"/>
              </w:rPr>
              <w:t>11. Technical Advisory Committee meetings (Years 1 &amp; 2), including a final workshop to train partner states on the new performance-based liquefaction hazard me</w:t>
            </w:r>
            <w:r>
              <w:rPr>
                <w:rFonts w:ascii="Arial" w:hAnsi="Arial" w:cs="Arial"/>
                <w:sz w:val="20"/>
                <w:szCs w:val="20"/>
              </w:rPr>
              <w:t>thods.</w:t>
            </w:r>
          </w:p>
          <w:p w:rsidR="004F586D" w:rsidRDefault="004F586D" w:rsidP="004F586D">
            <w:pPr>
              <w:spacing w:after="0" w:line="240" w:lineRule="auto"/>
              <w:rPr>
                <w:rFonts w:ascii="Arial" w:hAnsi="Arial" w:cs="Arial"/>
                <w:sz w:val="20"/>
                <w:szCs w:val="20"/>
              </w:rPr>
            </w:pPr>
          </w:p>
          <w:p w:rsidR="002765D0"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C26502">
              <w:rPr>
                <w:rFonts w:ascii="Arial" w:hAnsi="Arial" w:cs="Arial"/>
                <w:sz w:val="20"/>
                <w:szCs w:val="20"/>
              </w:rPr>
              <w:t xml:space="preserve">Kevin Franke </w:t>
            </w:r>
            <w:r>
              <w:rPr>
                <w:rFonts w:ascii="Arial" w:hAnsi="Arial" w:cs="Arial"/>
                <w:sz w:val="20"/>
                <w:szCs w:val="20"/>
              </w:rPr>
              <w:t>of BYU is the Principal Investigator for this research project.</w:t>
            </w:r>
            <w:r w:rsidR="003D6A0B">
              <w:rPr>
                <w:rFonts w:ascii="Arial" w:hAnsi="Arial" w:cs="Arial"/>
                <w:sz w:val="20"/>
                <w:szCs w:val="20"/>
              </w:rPr>
              <w:t xml:space="preserve">  The technical advisory committee (TAC) for the study includes representatives from UT, AK, CT, ID, MT</w:t>
            </w:r>
            <w:r w:rsidR="003D6A0B" w:rsidRPr="003D6A0B">
              <w:rPr>
                <w:rFonts w:ascii="Arial" w:hAnsi="Arial" w:cs="Arial"/>
                <w:sz w:val="20"/>
                <w:szCs w:val="20"/>
              </w:rPr>
              <w:t xml:space="preserve">, </w:t>
            </w:r>
            <w:r w:rsidR="00923793">
              <w:rPr>
                <w:rFonts w:ascii="Arial" w:hAnsi="Arial" w:cs="Arial"/>
                <w:sz w:val="20"/>
                <w:szCs w:val="20"/>
              </w:rPr>
              <w:t xml:space="preserve">OR, and </w:t>
            </w:r>
            <w:r w:rsidR="003D6A0B" w:rsidRPr="003D6A0B">
              <w:rPr>
                <w:rFonts w:ascii="Arial" w:hAnsi="Arial" w:cs="Arial"/>
                <w:sz w:val="20"/>
                <w:szCs w:val="20"/>
              </w:rPr>
              <w:t>SC</w:t>
            </w:r>
            <w:r w:rsidR="003D6A0B">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DOTs.</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8727B7">
              <w:rPr>
                <w:rFonts w:ascii="Arial" w:hAnsi="Arial" w:cs="Arial"/>
                <w:b/>
                <w:sz w:val="20"/>
                <w:szCs w:val="20"/>
              </w:rPr>
              <w:t>Progress this Quarter (includes meetings, work plan status, contract status, significant progress, etc.):</w:t>
            </w:r>
          </w:p>
          <w:p w:rsidR="000C209F" w:rsidRDefault="000C209F" w:rsidP="00360664">
            <w:pPr>
              <w:spacing w:after="0" w:line="240" w:lineRule="auto"/>
              <w:rPr>
                <w:rFonts w:ascii="Arial" w:hAnsi="Arial" w:cs="Arial"/>
                <w:sz w:val="20"/>
                <w:szCs w:val="20"/>
              </w:rPr>
            </w:pPr>
          </w:p>
          <w:p w:rsidR="00A4212B"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1 – </w:t>
            </w:r>
            <w:r w:rsidR="00A4439C" w:rsidRPr="0078688E">
              <w:rPr>
                <w:rFonts w:ascii="Arial" w:hAnsi="Arial" w:cs="Arial"/>
                <w:sz w:val="20"/>
                <w:szCs w:val="20"/>
              </w:rPr>
              <w:t>100</w:t>
            </w:r>
            <w:r w:rsidRPr="0078688E">
              <w:rPr>
                <w:rFonts w:ascii="Arial" w:hAnsi="Arial" w:cs="Arial"/>
                <w:sz w:val="20"/>
                <w:szCs w:val="20"/>
              </w:rPr>
              <w:t>% complete.</w:t>
            </w:r>
          </w:p>
          <w:p w:rsidR="00EC4414"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2 – </w:t>
            </w:r>
            <w:r w:rsidR="00A4439C" w:rsidRPr="0078688E">
              <w:rPr>
                <w:rFonts w:ascii="Arial" w:hAnsi="Arial" w:cs="Arial"/>
                <w:sz w:val="20"/>
                <w:szCs w:val="20"/>
              </w:rPr>
              <w:t>100</w:t>
            </w:r>
            <w:r w:rsidRPr="0078688E">
              <w:rPr>
                <w:rFonts w:ascii="Arial" w:hAnsi="Arial" w:cs="Arial"/>
                <w:sz w:val="20"/>
                <w:szCs w:val="20"/>
              </w:rPr>
              <w:t>% complete.</w:t>
            </w:r>
          </w:p>
          <w:p w:rsidR="00440CE6"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3 – </w:t>
            </w:r>
            <w:r w:rsidR="006411CD">
              <w:rPr>
                <w:rFonts w:ascii="Arial" w:hAnsi="Arial" w:cs="Arial"/>
                <w:sz w:val="20"/>
                <w:szCs w:val="20"/>
              </w:rPr>
              <w:t>100</w:t>
            </w:r>
            <w:r w:rsidR="00440CE6">
              <w:rPr>
                <w:rFonts w:ascii="Arial" w:hAnsi="Arial" w:cs="Arial"/>
                <w:sz w:val="20"/>
                <w:szCs w:val="20"/>
              </w:rPr>
              <w:t>% complete.</w:t>
            </w:r>
          </w:p>
          <w:p w:rsidR="00D328B8"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4 – </w:t>
            </w:r>
            <w:r w:rsidR="006411CD">
              <w:rPr>
                <w:rFonts w:ascii="Arial" w:hAnsi="Arial" w:cs="Arial"/>
                <w:sz w:val="20"/>
                <w:szCs w:val="20"/>
              </w:rPr>
              <w:t>100</w:t>
            </w:r>
            <w:r w:rsidR="00440CE6">
              <w:rPr>
                <w:rFonts w:ascii="Arial" w:hAnsi="Arial" w:cs="Arial"/>
                <w:sz w:val="20"/>
                <w:szCs w:val="20"/>
              </w:rPr>
              <w:t>% complete.</w:t>
            </w:r>
            <w:r w:rsidR="00FE37C1">
              <w:rPr>
                <w:rFonts w:ascii="Arial" w:hAnsi="Arial" w:cs="Arial"/>
                <w:sz w:val="20"/>
                <w:szCs w:val="20"/>
              </w:rPr>
              <w:t xml:space="preserve">  BYU updated the TAC quarterly update report for Tasks 3 and 4 based on TAC feedback.</w:t>
            </w:r>
          </w:p>
          <w:p w:rsidR="00440CE6" w:rsidRPr="0078688E" w:rsidRDefault="00A4212B" w:rsidP="00440CE6">
            <w:pPr>
              <w:spacing w:after="0" w:line="240" w:lineRule="auto"/>
              <w:rPr>
                <w:rFonts w:ascii="Arial" w:hAnsi="Arial" w:cs="Arial"/>
                <w:sz w:val="20"/>
                <w:szCs w:val="20"/>
              </w:rPr>
            </w:pPr>
            <w:r w:rsidRPr="0078688E">
              <w:rPr>
                <w:rFonts w:ascii="Arial" w:hAnsi="Arial" w:cs="Arial"/>
                <w:sz w:val="20"/>
                <w:szCs w:val="20"/>
              </w:rPr>
              <w:lastRenderedPageBreak/>
              <w:t xml:space="preserve">Task 5 – </w:t>
            </w:r>
            <w:r w:rsidR="006411CD">
              <w:rPr>
                <w:rFonts w:ascii="Arial" w:hAnsi="Arial" w:cs="Arial"/>
                <w:sz w:val="20"/>
                <w:szCs w:val="20"/>
              </w:rPr>
              <w:t>100</w:t>
            </w:r>
            <w:r w:rsidR="00A4439C" w:rsidRPr="0078688E">
              <w:rPr>
                <w:rFonts w:ascii="Arial" w:hAnsi="Arial" w:cs="Arial"/>
                <w:sz w:val="20"/>
                <w:szCs w:val="20"/>
              </w:rPr>
              <w:t>% complete.</w:t>
            </w:r>
            <w:r w:rsidR="00A5026A" w:rsidRPr="0078688E">
              <w:rPr>
                <w:rFonts w:ascii="Arial" w:hAnsi="Arial" w:cs="Arial"/>
                <w:sz w:val="20"/>
                <w:szCs w:val="20"/>
              </w:rPr>
              <w:t xml:space="preserve">  </w:t>
            </w:r>
            <w:r w:rsidR="00440CE6" w:rsidRPr="0078688E">
              <w:rPr>
                <w:rFonts w:ascii="Arial" w:hAnsi="Arial" w:cs="Arial"/>
                <w:sz w:val="20"/>
                <w:szCs w:val="20"/>
              </w:rPr>
              <w:t>BYU continued work on this task.</w:t>
            </w:r>
          </w:p>
          <w:p w:rsidR="004E6402"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6 – </w:t>
            </w:r>
            <w:r w:rsidR="00AC427C">
              <w:rPr>
                <w:rFonts w:ascii="Arial" w:hAnsi="Arial" w:cs="Arial"/>
                <w:sz w:val="20"/>
                <w:szCs w:val="20"/>
              </w:rPr>
              <w:t>8</w:t>
            </w:r>
            <w:r w:rsidR="00A4439C" w:rsidRPr="0078688E">
              <w:rPr>
                <w:rFonts w:ascii="Arial" w:hAnsi="Arial" w:cs="Arial"/>
                <w:sz w:val="20"/>
                <w:szCs w:val="20"/>
              </w:rPr>
              <w:t>0% complete.</w:t>
            </w:r>
            <w:r w:rsidR="00A5026A" w:rsidRPr="0078688E">
              <w:rPr>
                <w:rFonts w:ascii="Arial" w:hAnsi="Arial" w:cs="Arial"/>
                <w:sz w:val="20"/>
                <w:szCs w:val="20"/>
              </w:rPr>
              <w:t xml:space="preserve">  </w:t>
            </w:r>
            <w:r w:rsidR="00440CE6" w:rsidRPr="0078688E">
              <w:rPr>
                <w:rFonts w:ascii="Arial" w:hAnsi="Arial" w:cs="Arial"/>
                <w:sz w:val="20"/>
                <w:szCs w:val="20"/>
              </w:rPr>
              <w:t>BYU continued work on this task and prepared the TAC quarterly update report</w:t>
            </w:r>
            <w:r w:rsidR="001A25A1">
              <w:rPr>
                <w:rFonts w:ascii="Arial" w:hAnsi="Arial" w:cs="Arial"/>
                <w:sz w:val="20"/>
                <w:szCs w:val="20"/>
              </w:rPr>
              <w:t xml:space="preserve"> and maps </w:t>
            </w:r>
            <w:r w:rsidR="00440CE6" w:rsidRPr="0078688E">
              <w:rPr>
                <w:rFonts w:ascii="Arial" w:hAnsi="Arial" w:cs="Arial"/>
                <w:sz w:val="20"/>
                <w:szCs w:val="20"/>
              </w:rPr>
              <w:t xml:space="preserve">for Tasks </w:t>
            </w:r>
            <w:r w:rsidR="00440CE6">
              <w:rPr>
                <w:rFonts w:ascii="Arial" w:hAnsi="Arial" w:cs="Arial"/>
                <w:sz w:val="20"/>
                <w:szCs w:val="20"/>
              </w:rPr>
              <w:t>5</w:t>
            </w:r>
            <w:r w:rsidR="00440CE6" w:rsidRPr="0078688E">
              <w:rPr>
                <w:rFonts w:ascii="Arial" w:hAnsi="Arial" w:cs="Arial"/>
                <w:sz w:val="20"/>
                <w:szCs w:val="20"/>
              </w:rPr>
              <w:t xml:space="preserve"> and </w:t>
            </w:r>
            <w:r w:rsidR="00440CE6">
              <w:rPr>
                <w:rFonts w:ascii="Arial" w:hAnsi="Arial" w:cs="Arial"/>
                <w:sz w:val="20"/>
                <w:szCs w:val="20"/>
              </w:rPr>
              <w:t>6</w:t>
            </w:r>
            <w:r w:rsidR="006645A1">
              <w:rPr>
                <w:rFonts w:ascii="Arial" w:hAnsi="Arial" w:cs="Arial"/>
                <w:sz w:val="20"/>
                <w:szCs w:val="20"/>
              </w:rPr>
              <w:t xml:space="preserve"> (Year 2)</w:t>
            </w:r>
            <w:r w:rsidR="00010046">
              <w:rPr>
                <w:rFonts w:ascii="Arial" w:hAnsi="Arial" w:cs="Arial"/>
                <w:sz w:val="20"/>
                <w:szCs w:val="20"/>
              </w:rPr>
              <w:t xml:space="preserve"> for participating states, except for Alaska and Oregon</w:t>
            </w:r>
            <w:r w:rsidR="00440CE6" w:rsidRPr="0078688E">
              <w:rPr>
                <w:rFonts w:ascii="Arial" w:hAnsi="Arial" w:cs="Arial"/>
                <w:sz w:val="20"/>
                <w:szCs w:val="20"/>
              </w:rPr>
              <w:t>.</w:t>
            </w:r>
            <w:r w:rsidR="00205FB0">
              <w:rPr>
                <w:rFonts w:ascii="Arial" w:hAnsi="Arial" w:cs="Arial"/>
                <w:sz w:val="20"/>
                <w:szCs w:val="20"/>
              </w:rPr>
              <w:t xml:space="preserve">  The TAC reviewed this report.</w:t>
            </w:r>
            <w:r w:rsidR="00637258">
              <w:rPr>
                <w:rFonts w:ascii="Arial" w:hAnsi="Arial" w:cs="Arial"/>
                <w:sz w:val="20"/>
                <w:szCs w:val="20"/>
              </w:rPr>
              <w:t xml:space="preserve">  BYU had issues with the USGS </w:t>
            </w:r>
            <w:proofErr w:type="spellStart"/>
            <w:r w:rsidR="00637258">
              <w:rPr>
                <w:rFonts w:ascii="Arial" w:hAnsi="Arial" w:cs="Arial"/>
                <w:sz w:val="20"/>
                <w:szCs w:val="20"/>
              </w:rPr>
              <w:t>deaggregation</w:t>
            </w:r>
            <w:proofErr w:type="spellEnd"/>
            <w:r w:rsidR="00637258">
              <w:rPr>
                <w:rFonts w:ascii="Arial" w:hAnsi="Arial" w:cs="Arial"/>
                <w:sz w:val="20"/>
                <w:szCs w:val="20"/>
              </w:rPr>
              <w:t xml:space="preserve"> servers </w:t>
            </w:r>
            <w:r w:rsidR="0053174C">
              <w:rPr>
                <w:rFonts w:ascii="Arial" w:hAnsi="Arial" w:cs="Arial"/>
                <w:sz w:val="20"/>
                <w:szCs w:val="20"/>
              </w:rPr>
              <w:t xml:space="preserve">crashing </w:t>
            </w:r>
            <w:r w:rsidR="00637258">
              <w:rPr>
                <w:rFonts w:ascii="Arial" w:hAnsi="Arial" w:cs="Arial"/>
                <w:sz w:val="20"/>
                <w:szCs w:val="20"/>
              </w:rPr>
              <w:t>when trying to complete maps for Alaska</w:t>
            </w:r>
            <w:r w:rsidR="0053174C">
              <w:rPr>
                <w:rFonts w:ascii="Arial" w:hAnsi="Arial" w:cs="Arial"/>
                <w:sz w:val="20"/>
                <w:szCs w:val="20"/>
              </w:rPr>
              <w:t xml:space="preserve"> based on 1996 seismic hazard data</w:t>
            </w:r>
            <w:r w:rsidR="00637258">
              <w:rPr>
                <w:rFonts w:ascii="Arial" w:hAnsi="Arial" w:cs="Arial"/>
                <w:sz w:val="20"/>
                <w:szCs w:val="20"/>
              </w:rPr>
              <w:t>.</w:t>
            </w:r>
          </w:p>
          <w:p w:rsidR="00A4212B"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7 – </w:t>
            </w:r>
            <w:r w:rsidR="00D272A6">
              <w:rPr>
                <w:rFonts w:ascii="Arial" w:hAnsi="Arial" w:cs="Arial"/>
                <w:sz w:val="20"/>
                <w:szCs w:val="20"/>
              </w:rPr>
              <w:t>8</w:t>
            </w:r>
            <w:r w:rsidR="002D0D07" w:rsidRPr="0078688E">
              <w:rPr>
                <w:rFonts w:ascii="Arial" w:hAnsi="Arial" w:cs="Arial"/>
                <w:sz w:val="20"/>
                <w:szCs w:val="20"/>
              </w:rPr>
              <w:t>0% complete.</w:t>
            </w:r>
            <w:r w:rsidR="00440CE6" w:rsidRPr="0078688E">
              <w:rPr>
                <w:rFonts w:ascii="Arial" w:hAnsi="Arial" w:cs="Arial"/>
                <w:sz w:val="20"/>
                <w:szCs w:val="20"/>
              </w:rPr>
              <w:t xml:space="preserve"> </w:t>
            </w:r>
            <w:r w:rsidR="00440CE6">
              <w:rPr>
                <w:rFonts w:ascii="Arial" w:hAnsi="Arial" w:cs="Arial"/>
                <w:sz w:val="20"/>
                <w:szCs w:val="20"/>
              </w:rPr>
              <w:t xml:space="preserve"> </w:t>
            </w:r>
            <w:r w:rsidR="00440CE6" w:rsidRPr="0078688E">
              <w:rPr>
                <w:rFonts w:ascii="Arial" w:hAnsi="Arial" w:cs="Arial"/>
                <w:sz w:val="20"/>
                <w:szCs w:val="20"/>
              </w:rPr>
              <w:t>BYU began the Year 2 work on this task.</w:t>
            </w:r>
          </w:p>
          <w:p w:rsidR="002D0D07"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8 – </w:t>
            </w:r>
            <w:r w:rsidR="00D272A6">
              <w:rPr>
                <w:rFonts w:ascii="Arial" w:hAnsi="Arial" w:cs="Arial"/>
                <w:sz w:val="20"/>
                <w:szCs w:val="20"/>
              </w:rPr>
              <w:t>8</w:t>
            </w:r>
            <w:r w:rsidR="002D0D07" w:rsidRPr="0078688E">
              <w:rPr>
                <w:rFonts w:ascii="Arial" w:hAnsi="Arial" w:cs="Arial"/>
                <w:sz w:val="20"/>
                <w:szCs w:val="20"/>
              </w:rPr>
              <w:t>0% complete.</w:t>
            </w:r>
            <w:r w:rsidR="00AD2868" w:rsidRPr="0078688E">
              <w:rPr>
                <w:rFonts w:ascii="Arial" w:hAnsi="Arial" w:cs="Arial"/>
                <w:sz w:val="20"/>
                <w:szCs w:val="20"/>
              </w:rPr>
              <w:t xml:space="preserve"> </w:t>
            </w:r>
            <w:r w:rsidR="00AD2868">
              <w:rPr>
                <w:rFonts w:ascii="Arial" w:hAnsi="Arial" w:cs="Arial"/>
                <w:sz w:val="20"/>
                <w:szCs w:val="20"/>
              </w:rPr>
              <w:t xml:space="preserve"> </w:t>
            </w:r>
            <w:r w:rsidR="00AD2868" w:rsidRPr="0078688E">
              <w:rPr>
                <w:rFonts w:ascii="Arial" w:hAnsi="Arial" w:cs="Arial"/>
                <w:sz w:val="20"/>
                <w:szCs w:val="20"/>
              </w:rPr>
              <w:t>BYU began the Year 2 work on this task.</w:t>
            </w:r>
            <w:r w:rsidR="0004049A">
              <w:rPr>
                <w:rFonts w:ascii="Arial" w:hAnsi="Arial" w:cs="Arial"/>
                <w:sz w:val="20"/>
                <w:szCs w:val="20"/>
              </w:rPr>
              <w:t xml:space="preserve">  They also explore</w:t>
            </w:r>
            <w:r w:rsidR="00135812">
              <w:rPr>
                <w:rFonts w:ascii="Arial" w:hAnsi="Arial" w:cs="Arial"/>
                <w:sz w:val="20"/>
                <w:szCs w:val="20"/>
              </w:rPr>
              <w:t>d</w:t>
            </w:r>
            <w:r w:rsidR="0004049A">
              <w:rPr>
                <w:rFonts w:ascii="Arial" w:hAnsi="Arial" w:cs="Arial"/>
                <w:sz w:val="20"/>
                <w:szCs w:val="20"/>
              </w:rPr>
              <w:t xml:space="preserve"> separate spreadsheet </w:t>
            </w:r>
            <w:r w:rsidR="00ED7450">
              <w:rPr>
                <w:rFonts w:ascii="Arial" w:hAnsi="Arial" w:cs="Arial"/>
                <w:sz w:val="20"/>
                <w:szCs w:val="20"/>
              </w:rPr>
              <w:t>and</w:t>
            </w:r>
            <w:r w:rsidR="0004049A">
              <w:rPr>
                <w:rFonts w:ascii="Arial" w:hAnsi="Arial" w:cs="Arial"/>
                <w:sz w:val="20"/>
                <w:szCs w:val="20"/>
              </w:rPr>
              <w:t xml:space="preserve"> web options for input of latitude/longitude coordinates and output of reference map values for a project site.</w:t>
            </w:r>
          </w:p>
          <w:p w:rsidR="00AD2868"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9 – </w:t>
            </w:r>
            <w:r w:rsidR="00AD2868">
              <w:rPr>
                <w:rFonts w:ascii="Arial" w:hAnsi="Arial" w:cs="Arial"/>
                <w:sz w:val="20"/>
                <w:szCs w:val="20"/>
              </w:rPr>
              <w:t>60% complete.</w:t>
            </w:r>
          </w:p>
          <w:p w:rsidR="00A4212B"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10 – </w:t>
            </w:r>
            <w:r w:rsidR="00D272A6">
              <w:rPr>
                <w:rFonts w:ascii="Arial" w:hAnsi="Arial" w:cs="Arial"/>
                <w:sz w:val="20"/>
                <w:szCs w:val="20"/>
              </w:rPr>
              <w:t>60</w:t>
            </w:r>
            <w:r w:rsidR="00154785" w:rsidRPr="0078688E">
              <w:rPr>
                <w:rFonts w:ascii="Arial" w:hAnsi="Arial" w:cs="Arial"/>
                <w:sz w:val="20"/>
                <w:szCs w:val="20"/>
              </w:rPr>
              <w:t>% complete.</w:t>
            </w:r>
          </w:p>
          <w:p w:rsidR="00ED19A9" w:rsidRPr="0078688E" w:rsidRDefault="00A4212B" w:rsidP="00A4212B">
            <w:pPr>
              <w:spacing w:after="0" w:line="240" w:lineRule="auto"/>
              <w:rPr>
                <w:rFonts w:ascii="Arial" w:hAnsi="Arial" w:cs="Arial"/>
                <w:sz w:val="20"/>
                <w:szCs w:val="20"/>
              </w:rPr>
            </w:pPr>
            <w:r w:rsidRPr="0078688E">
              <w:rPr>
                <w:rFonts w:ascii="Arial" w:hAnsi="Arial" w:cs="Arial"/>
                <w:sz w:val="20"/>
                <w:szCs w:val="20"/>
              </w:rPr>
              <w:t xml:space="preserve">Task 11 – </w:t>
            </w:r>
            <w:r w:rsidR="00205FB0">
              <w:rPr>
                <w:rFonts w:ascii="Arial" w:hAnsi="Arial" w:cs="Arial"/>
                <w:sz w:val="20"/>
                <w:szCs w:val="20"/>
              </w:rPr>
              <w:t>6</w:t>
            </w:r>
            <w:r w:rsidR="00731FB6" w:rsidRPr="0078688E">
              <w:rPr>
                <w:rFonts w:ascii="Arial" w:hAnsi="Arial" w:cs="Arial"/>
                <w:sz w:val="20"/>
                <w:szCs w:val="20"/>
              </w:rPr>
              <w:t>0</w:t>
            </w:r>
            <w:r w:rsidRPr="0078688E">
              <w:rPr>
                <w:rFonts w:ascii="Arial" w:hAnsi="Arial" w:cs="Arial"/>
                <w:sz w:val="20"/>
                <w:szCs w:val="20"/>
              </w:rPr>
              <w:t>% complete.</w:t>
            </w:r>
            <w:r w:rsidR="001819A2">
              <w:t xml:space="preserve">  </w:t>
            </w:r>
            <w:r w:rsidR="001819A2" w:rsidRPr="001819A2">
              <w:rPr>
                <w:rFonts w:ascii="Arial" w:hAnsi="Arial" w:cs="Arial"/>
                <w:sz w:val="20"/>
                <w:szCs w:val="20"/>
              </w:rPr>
              <w:t xml:space="preserve">A TAC web-conference </w:t>
            </w:r>
            <w:r w:rsidR="001819A2">
              <w:rPr>
                <w:rFonts w:ascii="Arial" w:hAnsi="Arial" w:cs="Arial"/>
                <w:sz w:val="20"/>
                <w:szCs w:val="20"/>
              </w:rPr>
              <w:t xml:space="preserve">was </w:t>
            </w:r>
            <w:r w:rsidR="001819A2" w:rsidRPr="001819A2">
              <w:rPr>
                <w:rFonts w:ascii="Arial" w:hAnsi="Arial" w:cs="Arial"/>
                <w:sz w:val="20"/>
                <w:szCs w:val="20"/>
              </w:rPr>
              <w:t xml:space="preserve">held in </w:t>
            </w:r>
            <w:r w:rsidR="001819A2">
              <w:rPr>
                <w:rFonts w:ascii="Arial" w:hAnsi="Arial" w:cs="Arial"/>
                <w:sz w:val="20"/>
                <w:szCs w:val="20"/>
              </w:rPr>
              <w:t xml:space="preserve">December </w:t>
            </w:r>
            <w:r w:rsidR="001819A2" w:rsidRPr="001819A2">
              <w:rPr>
                <w:rFonts w:ascii="Arial" w:hAnsi="Arial" w:cs="Arial"/>
                <w:sz w:val="20"/>
                <w:szCs w:val="20"/>
              </w:rPr>
              <w:t>to review progress and provide feedback.</w:t>
            </w:r>
          </w:p>
          <w:p w:rsidR="009E245A" w:rsidRDefault="00A4212B" w:rsidP="001F6F45">
            <w:pPr>
              <w:spacing w:after="0" w:line="240" w:lineRule="auto"/>
              <w:rPr>
                <w:rFonts w:ascii="Arial" w:hAnsi="Arial" w:cs="Arial"/>
                <w:sz w:val="20"/>
                <w:szCs w:val="20"/>
              </w:rPr>
            </w:pPr>
            <w:r w:rsidRPr="0078688E">
              <w:rPr>
                <w:rFonts w:ascii="Arial" w:hAnsi="Arial" w:cs="Arial"/>
                <w:sz w:val="20"/>
                <w:szCs w:val="20"/>
              </w:rPr>
              <w:t xml:space="preserve">Contract – </w:t>
            </w:r>
            <w:r w:rsidR="00ED19A9" w:rsidRPr="0078688E">
              <w:rPr>
                <w:rFonts w:ascii="Arial" w:hAnsi="Arial" w:cs="Arial"/>
                <w:sz w:val="20"/>
                <w:szCs w:val="20"/>
              </w:rPr>
              <w:t>No adjustment this quarter.</w:t>
            </w:r>
            <w:r w:rsidR="001F6F45">
              <w:rPr>
                <w:rFonts w:ascii="Arial" w:hAnsi="Arial" w:cs="Arial"/>
                <w:sz w:val="20"/>
                <w:szCs w:val="20"/>
              </w:rPr>
              <w:t xml:space="preserve">  Due to the </w:t>
            </w:r>
            <w:r w:rsidR="003978CF">
              <w:rPr>
                <w:rFonts w:ascii="Arial" w:hAnsi="Arial" w:cs="Arial"/>
                <w:sz w:val="20"/>
                <w:szCs w:val="20"/>
              </w:rPr>
              <w:t xml:space="preserve">setback from the </w:t>
            </w:r>
            <w:r w:rsidR="001F6F45" w:rsidRPr="001F6F45">
              <w:rPr>
                <w:rFonts w:ascii="Arial" w:hAnsi="Arial" w:cs="Arial"/>
                <w:sz w:val="20"/>
                <w:szCs w:val="20"/>
              </w:rPr>
              <w:t xml:space="preserve">USGS </w:t>
            </w:r>
            <w:proofErr w:type="spellStart"/>
            <w:r w:rsidR="001F6F45" w:rsidRPr="001F6F45">
              <w:rPr>
                <w:rFonts w:ascii="Arial" w:hAnsi="Arial" w:cs="Arial"/>
                <w:sz w:val="20"/>
                <w:szCs w:val="20"/>
              </w:rPr>
              <w:t>deaggregation</w:t>
            </w:r>
            <w:proofErr w:type="spellEnd"/>
            <w:r w:rsidR="001F6F45" w:rsidRPr="001F6F45">
              <w:rPr>
                <w:rFonts w:ascii="Arial" w:hAnsi="Arial" w:cs="Arial"/>
                <w:sz w:val="20"/>
                <w:szCs w:val="20"/>
              </w:rPr>
              <w:t xml:space="preserve"> server crash</w:t>
            </w:r>
            <w:r w:rsidR="001F6F45">
              <w:rPr>
                <w:rFonts w:ascii="Arial" w:hAnsi="Arial" w:cs="Arial"/>
                <w:sz w:val="20"/>
                <w:szCs w:val="20"/>
              </w:rPr>
              <w:t>, UDOT and the TAC verbally approved a no-cost time extension of about 3 months</w:t>
            </w:r>
            <w:r w:rsidR="00E4431B">
              <w:rPr>
                <w:rFonts w:ascii="Arial" w:hAnsi="Arial" w:cs="Arial"/>
                <w:sz w:val="20"/>
                <w:szCs w:val="20"/>
              </w:rPr>
              <w:t xml:space="preserve"> for BYU </w:t>
            </w:r>
            <w:r w:rsidR="001F6F45">
              <w:rPr>
                <w:rFonts w:ascii="Arial" w:hAnsi="Arial" w:cs="Arial"/>
                <w:sz w:val="20"/>
                <w:szCs w:val="20"/>
              </w:rPr>
              <w:t xml:space="preserve">to complete </w:t>
            </w:r>
            <w:r w:rsidR="00597329">
              <w:rPr>
                <w:rFonts w:ascii="Arial" w:hAnsi="Arial" w:cs="Arial"/>
                <w:sz w:val="20"/>
                <w:szCs w:val="20"/>
              </w:rPr>
              <w:t xml:space="preserve">the </w:t>
            </w:r>
            <w:r w:rsidR="004743BB" w:rsidRPr="004743BB">
              <w:rPr>
                <w:rFonts w:ascii="Arial" w:hAnsi="Arial" w:cs="Arial"/>
                <w:sz w:val="20"/>
                <w:szCs w:val="20"/>
              </w:rPr>
              <w:t>TAC quarterly update report for Tasks 7 and 8 (Year 2)</w:t>
            </w:r>
            <w:r w:rsidR="004743BB">
              <w:rPr>
                <w:rFonts w:ascii="Arial" w:hAnsi="Arial" w:cs="Arial"/>
                <w:sz w:val="20"/>
                <w:szCs w:val="20"/>
              </w:rPr>
              <w:t xml:space="preserve"> </w:t>
            </w:r>
            <w:r w:rsidR="00597329">
              <w:rPr>
                <w:rFonts w:ascii="Arial" w:hAnsi="Arial" w:cs="Arial"/>
                <w:sz w:val="20"/>
                <w:szCs w:val="20"/>
              </w:rPr>
              <w:t xml:space="preserve">and </w:t>
            </w:r>
            <w:r w:rsidR="00597329">
              <w:rPr>
                <w:rFonts w:ascii="Arial" w:hAnsi="Arial" w:cs="Arial"/>
                <w:sz w:val="20"/>
                <w:szCs w:val="20"/>
              </w:rPr>
              <w:t xml:space="preserve">the updated analysis spreadsheet </w:t>
            </w:r>
            <w:r w:rsidR="004743BB">
              <w:rPr>
                <w:rFonts w:ascii="Arial" w:hAnsi="Arial" w:cs="Arial"/>
                <w:sz w:val="20"/>
                <w:szCs w:val="20"/>
              </w:rPr>
              <w:t>by March 2016</w:t>
            </w:r>
            <w:r w:rsidR="00597329">
              <w:rPr>
                <w:rFonts w:ascii="Arial" w:hAnsi="Arial" w:cs="Arial"/>
                <w:sz w:val="20"/>
                <w:szCs w:val="20"/>
              </w:rPr>
              <w:t>,</w:t>
            </w:r>
            <w:r w:rsidR="004743BB">
              <w:rPr>
                <w:rFonts w:ascii="Arial" w:hAnsi="Arial" w:cs="Arial"/>
                <w:sz w:val="20"/>
                <w:szCs w:val="20"/>
              </w:rPr>
              <w:t xml:space="preserve"> and the final report by June 2016.</w:t>
            </w:r>
          </w:p>
          <w:p w:rsidR="001F6F45" w:rsidRPr="0078688E" w:rsidRDefault="001F6F45" w:rsidP="001F6F45">
            <w:pPr>
              <w:spacing w:after="0" w:line="240" w:lineRule="auto"/>
              <w:rPr>
                <w:rFonts w:ascii="Arial" w:hAnsi="Arial" w:cs="Arial"/>
                <w:sz w:val="20"/>
                <w:szCs w:val="20"/>
              </w:rPr>
            </w:pPr>
          </w:p>
        </w:tc>
      </w:tr>
      <w:tr w:rsidR="000C209F" w:rsidRPr="00360664" w:rsidTr="003B3781">
        <w:tc>
          <w:tcPr>
            <w:tcW w:w="10908" w:type="dxa"/>
          </w:tcPr>
          <w:p w:rsidR="000C209F" w:rsidRPr="0078688E" w:rsidRDefault="000C209F" w:rsidP="00360664">
            <w:pPr>
              <w:spacing w:after="0" w:line="240" w:lineRule="auto"/>
              <w:rPr>
                <w:rFonts w:ascii="Arial" w:hAnsi="Arial" w:cs="Arial"/>
                <w:b/>
                <w:sz w:val="20"/>
                <w:szCs w:val="20"/>
              </w:rPr>
            </w:pPr>
          </w:p>
          <w:p w:rsidR="000C209F" w:rsidRPr="0078688E" w:rsidRDefault="000C209F" w:rsidP="00360664">
            <w:pPr>
              <w:spacing w:after="0" w:line="240" w:lineRule="auto"/>
              <w:rPr>
                <w:rFonts w:ascii="Arial" w:hAnsi="Arial" w:cs="Arial"/>
                <w:sz w:val="20"/>
                <w:szCs w:val="20"/>
              </w:rPr>
            </w:pPr>
            <w:r w:rsidRPr="008727B7">
              <w:rPr>
                <w:rFonts w:ascii="Arial" w:hAnsi="Arial" w:cs="Arial"/>
                <w:b/>
                <w:sz w:val="20"/>
                <w:szCs w:val="20"/>
              </w:rPr>
              <w:t>Anticipated work next quarter</w:t>
            </w:r>
            <w:r w:rsidRPr="008727B7">
              <w:rPr>
                <w:rFonts w:ascii="Arial" w:hAnsi="Arial" w:cs="Arial"/>
                <w:sz w:val="20"/>
                <w:szCs w:val="20"/>
              </w:rPr>
              <w:t>:</w:t>
            </w:r>
          </w:p>
          <w:p w:rsidR="000C209F" w:rsidRDefault="000C209F" w:rsidP="00360664">
            <w:pPr>
              <w:spacing w:after="0" w:line="240" w:lineRule="auto"/>
              <w:rPr>
                <w:rFonts w:ascii="Arial" w:hAnsi="Arial" w:cs="Arial"/>
                <w:sz w:val="20"/>
                <w:szCs w:val="20"/>
              </w:rPr>
            </w:pPr>
          </w:p>
          <w:p w:rsidR="002F44FD" w:rsidRPr="0078688E" w:rsidRDefault="00B773E9" w:rsidP="00B773E9">
            <w:pPr>
              <w:spacing w:after="0" w:line="240" w:lineRule="auto"/>
              <w:rPr>
                <w:rFonts w:ascii="Arial" w:hAnsi="Arial" w:cs="Arial"/>
                <w:sz w:val="20"/>
                <w:szCs w:val="20"/>
              </w:rPr>
            </w:pPr>
            <w:r w:rsidRPr="0078688E">
              <w:rPr>
                <w:rFonts w:ascii="Arial" w:hAnsi="Arial" w:cs="Arial"/>
                <w:sz w:val="20"/>
                <w:szCs w:val="20"/>
              </w:rPr>
              <w:t>Task 1 –</w:t>
            </w:r>
            <w:r w:rsidR="00F44489" w:rsidRPr="0078688E">
              <w:rPr>
                <w:rFonts w:ascii="Arial" w:hAnsi="Arial" w:cs="Arial"/>
                <w:sz w:val="20"/>
                <w:szCs w:val="20"/>
              </w:rPr>
              <w:t xml:space="preserve"> C</w:t>
            </w:r>
            <w:r w:rsidR="00463EA1" w:rsidRPr="0078688E">
              <w:rPr>
                <w:rFonts w:ascii="Arial" w:hAnsi="Arial" w:cs="Arial"/>
                <w:sz w:val="20"/>
                <w:szCs w:val="20"/>
              </w:rPr>
              <w:t>ompleted</w:t>
            </w:r>
            <w:r w:rsidR="00BC4290" w:rsidRPr="0078688E">
              <w:rPr>
                <w:rFonts w:ascii="Arial" w:hAnsi="Arial" w:cs="Arial"/>
                <w:sz w:val="20"/>
                <w:szCs w:val="20"/>
              </w:rPr>
              <w:t>.</w:t>
            </w:r>
          </w:p>
          <w:p w:rsidR="00EC4414" w:rsidRPr="0078688E" w:rsidRDefault="00B773E9" w:rsidP="00B773E9">
            <w:pPr>
              <w:spacing w:after="0" w:line="240" w:lineRule="auto"/>
              <w:rPr>
                <w:rFonts w:ascii="Arial" w:hAnsi="Arial" w:cs="Arial"/>
                <w:sz w:val="20"/>
                <w:szCs w:val="20"/>
              </w:rPr>
            </w:pPr>
            <w:r w:rsidRPr="0078688E">
              <w:rPr>
                <w:rFonts w:ascii="Arial" w:hAnsi="Arial" w:cs="Arial"/>
                <w:sz w:val="20"/>
                <w:szCs w:val="20"/>
              </w:rPr>
              <w:t>Task 2 –</w:t>
            </w:r>
            <w:r w:rsidR="00F44489" w:rsidRPr="0078688E">
              <w:rPr>
                <w:rFonts w:ascii="Arial" w:hAnsi="Arial" w:cs="Arial"/>
                <w:sz w:val="20"/>
                <w:szCs w:val="20"/>
              </w:rPr>
              <w:t xml:space="preserve"> </w:t>
            </w:r>
            <w:r w:rsidR="005C2C1F" w:rsidRPr="0078688E">
              <w:rPr>
                <w:rFonts w:ascii="Arial" w:hAnsi="Arial" w:cs="Arial"/>
                <w:sz w:val="20"/>
                <w:szCs w:val="20"/>
              </w:rPr>
              <w:t>C</w:t>
            </w:r>
            <w:r w:rsidR="00EC4414" w:rsidRPr="0078688E">
              <w:rPr>
                <w:rFonts w:ascii="Arial" w:hAnsi="Arial" w:cs="Arial"/>
                <w:sz w:val="20"/>
                <w:szCs w:val="20"/>
              </w:rPr>
              <w:t>omplete</w:t>
            </w:r>
            <w:r w:rsidR="005C2C1F" w:rsidRPr="0078688E">
              <w:rPr>
                <w:rFonts w:ascii="Arial" w:hAnsi="Arial" w:cs="Arial"/>
                <w:sz w:val="20"/>
                <w:szCs w:val="20"/>
              </w:rPr>
              <w:t>d</w:t>
            </w:r>
            <w:r w:rsidR="00EC4414" w:rsidRPr="0078688E">
              <w:rPr>
                <w:rFonts w:ascii="Arial" w:hAnsi="Arial" w:cs="Arial"/>
                <w:sz w:val="20"/>
                <w:szCs w:val="20"/>
              </w:rPr>
              <w:t xml:space="preserve">.  </w:t>
            </w:r>
          </w:p>
          <w:p w:rsidR="003C2C2A" w:rsidRPr="0078688E" w:rsidRDefault="00B773E9" w:rsidP="00B773E9">
            <w:pPr>
              <w:spacing w:after="0" w:line="240" w:lineRule="auto"/>
              <w:rPr>
                <w:rFonts w:ascii="Arial" w:hAnsi="Arial" w:cs="Arial"/>
                <w:sz w:val="20"/>
                <w:szCs w:val="20"/>
              </w:rPr>
            </w:pPr>
            <w:r w:rsidRPr="0078688E">
              <w:rPr>
                <w:rFonts w:ascii="Arial" w:hAnsi="Arial" w:cs="Arial"/>
                <w:sz w:val="20"/>
                <w:szCs w:val="20"/>
              </w:rPr>
              <w:t>Task 3 –</w:t>
            </w:r>
            <w:r w:rsidR="00653AE0" w:rsidRPr="0078688E">
              <w:rPr>
                <w:rFonts w:ascii="Arial" w:hAnsi="Arial" w:cs="Arial"/>
                <w:sz w:val="20"/>
                <w:szCs w:val="20"/>
              </w:rPr>
              <w:t xml:space="preserve"> </w:t>
            </w:r>
            <w:r w:rsidR="001819A2" w:rsidRPr="0078688E">
              <w:rPr>
                <w:rFonts w:ascii="Arial" w:hAnsi="Arial" w:cs="Arial"/>
                <w:sz w:val="20"/>
                <w:szCs w:val="20"/>
              </w:rPr>
              <w:t>Completed.</w:t>
            </w:r>
          </w:p>
          <w:p w:rsidR="00B773E9" w:rsidRPr="0078688E" w:rsidRDefault="00B773E9" w:rsidP="00B773E9">
            <w:pPr>
              <w:spacing w:after="0" w:line="240" w:lineRule="auto"/>
              <w:rPr>
                <w:rFonts w:ascii="Arial" w:hAnsi="Arial" w:cs="Arial"/>
                <w:sz w:val="20"/>
                <w:szCs w:val="20"/>
              </w:rPr>
            </w:pPr>
            <w:r w:rsidRPr="0078688E">
              <w:rPr>
                <w:rFonts w:ascii="Arial" w:hAnsi="Arial" w:cs="Arial"/>
                <w:sz w:val="20"/>
                <w:szCs w:val="20"/>
              </w:rPr>
              <w:t>Task 4 –</w:t>
            </w:r>
            <w:r w:rsidR="00653AE0">
              <w:rPr>
                <w:rFonts w:ascii="Arial" w:hAnsi="Arial" w:cs="Arial"/>
                <w:sz w:val="20"/>
                <w:szCs w:val="20"/>
              </w:rPr>
              <w:t xml:space="preserve"> </w:t>
            </w:r>
            <w:r w:rsidR="001819A2" w:rsidRPr="0078688E">
              <w:rPr>
                <w:rFonts w:ascii="Arial" w:hAnsi="Arial" w:cs="Arial"/>
                <w:sz w:val="20"/>
                <w:szCs w:val="20"/>
              </w:rPr>
              <w:t>Completed.</w:t>
            </w:r>
          </w:p>
          <w:p w:rsidR="00B773E9" w:rsidRPr="0078688E" w:rsidRDefault="00B773E9" w:rsidP="00B773E9">
            <w:pPr>
              <w:spacing w:after="0" w:line="240" w:lineRule="auto"/>
              <w:rPr>
                <w:rFonts w:ascii="Arial" w:hAnsi="Arial" w:cs="Arial"/>
                <w:sz w:val="20"/>
                <w:szCs w:val="20"/>
              </w:rPr>
            </w:pPr>
            <w:r w:rsidRPr="0078688E">
              <w:rPr>
                <w:rFonts w:ascii="Arial" w:hAnsi="Arial" w:cs="Arial"/>
                <w:sz w:val="20"/>
                <w:szCs w:val="20"/>
              </w:rPr>
              <w:t xml:space="preserve">Task 5 – </w:t>
            </w:r>
            <w:r w:rsidR="001819A2" w:rsidRPr="0078688E">
              <w:rPr>
                <w:rFonts w:ascii="Arial" w:hAnsi="Arial" w:cs="Arial"/>
                <w:sz w:val="20"/>
                <w:szCs w:val="20"/>
              </w:rPr>
              <w:t>Completed.</w:t>
            </w:r>
          </w:p>
          <w:p w:rsidR="00AD5786" w:rsidRPr="0078688E" w:rsidRDefault="00B773E9" w:rsidP="002C5B98">
            <w:pPr>
              <w:spacing w:after="0" w:line="240" w:lineRule="auto"/>
              <w:rPr>
                <w:rFonts w:ascii="Arial" w:hAnsi="Arial" w:cs="Arial"/>
                <w:sz w:val="20"/>
                <w:szCs w:val="20"/>
              </w:rPr>
            </w:pPr>
            <w:r w:rsidRPr="0078688E">
              <w:rPr>
                <w:rFonts w:ascii="Arial" w:hAnsi="Arial" w:cs="Arial"/>
                <w:sz w:val="20"/>
                <w:szCs w:val="20"/>
              </w:rPr>
              <w:t xml:space="preserve">Task 6 – </w:t>
            </w:r>
            <w:r w:rsidR="0041707D" w:rsidRPr="0078688E">
              <w:rPr>
                <w:rFonts w:ascii="Arial" w:hAnsi="Arial" w:cs="Arial"/>
                <w:sz w:val="20"/>
                <w:szCs w:val="20"/>
              </w:rPr>
              <w:t xml:space="preserve">BYU will </w:t>
            </w:r>
            <w:r w:rsidR="006645A1">
              <w:rPr>
                <w:rFonts w:ascii="Arial" w:hAnsi="Arial" w:cs="Arial"/>
                <w:sz w:val="20"/>
                <w:szCs w:val="20"/>
              </w:rPr>
              <w:t>complete work on this task</w:t>
            </w:r>
            <w:r w:rsidR="00A9478C">
              <w:rPr>
                <w:rFonts w:ascii="Arial" w:hAnsi="Arial" w:cs="Arial"/>
                <w:sz w:val="20"/>
                <w:szCs w:val="20"/>
              </w:rPr>
              <w:t xml:space="preserve"> for the participating states, except for Alaska and Oregon</w:t>
            </w:r>
            <w:r w:rsidR="006645A1">
              <w:rPr>
                <w:rFonts w:ascii="Arial" w:hAnsi="Arial" w:cs="Arial"/>
                <w:sz w:val="20"/>
                <w:szCs w:val="20"/>
              </w:rPr>
              <w:t xml:space="preserve">.  </w:t>
            </w:r>
            <w:r w:rsidR="00BF715D" w:rsidRPr="0078688E">
              <w:rPr>
                <w:rFonts w:ascii="Arial" w:hAnsi="Arial" w:cs="Arial"/>
                <w:sz w:val="20"/>
                <w:szCs w:val="20"/>
              </w:rPr>
              <w:t xml:space="preserve">The TAC quarterly update report for Tasks </w:t>
            </w:r>
            <w:r w:rsidR="005C01E8" w:rsidRPr="0078688E">
              <w:rPr>
                <w:rFonts w:ascii="Arial" w:hAnsi="Arial" w:cs="Arial"/>
                <w:sz w:val="20"/>
                <w:szCs w:val="20"/>
              </w:rPr>
              <w:t>5</w:t>
            </w:r>
            <w:r w:rsidR="00BF715D" w:rsidRPr="0078688E">
              <w:rPr>
                <w:rFonts w:ascii="Arial" w:hAnsi="Arial" w:cs="Arial"/>
                <w:sz w:val="20"/>
                <w:szCs w:val="20"/>
              </w:rPr>
              <w:t xml:space="preserve"> and </w:t>
            </w:r>
            <w:r w:rsidR="005C01E8" w:rsidRPr="0078688E">
              <w:rPr>
                <w:rFonts w:ascii="Arial" w:hAnsi="Arial" w:cs="Arial"/>
                <w:sz w:val="20"/>
                <w:szCs w:val="20"/>
              </w:rPr>
              <w:t>6 (Year 2)</w:t>
            </w:r>
            <w:r w:rsidR="00BF715D" w:rsidRPr="0078688E">
              <w:rPr>
                <w:rFonts w:ascii="Arial" w:hAnsi="Arial" w:cs="Arial"/>
                <w:sz w:val="20"/>
                <w:szCs w:val="20"/>
              </w:rPr>
              <w:t xml:space="preserve"> </w:t>
            </w:r>
            <w:r w:rsidR="006645A1">
              <w:rPr>
                <w:rFonts w:ascii="Arial" w:hAnsi="Arial" w:cs="Arial"/>
                <w:sz w:val="20"/>
                <w:szCs w:val="20"/>
              </w:rPr>
              <w:t xml:space="preserve">will be </w:t>
            </w:r>
            <w:r w:rsidR="00A9478C">
              <w:rPr>
                <w:rFonts w:ascii="Arial" w:hAnsi="Arial" w:cs="Arial"/>
                <w:sz w:val="20"/>
                <w:szCs w:val="20"/>
              </w:rPr>
              <w:t xml:space="preserve">updated based on </w:t>
            </w:r>
            <w:r w:rsidR="00BF715D" w:rsidRPr="0078688E">
              <w:rPr>
                <w:rFonts w:ascii="Arial" w:hAnsi="Arial" w:cs="Arial"/>
                <w:sz w:val="20"/>
                <w:szCs w:val="20"/>
              </w:rPr>
              <w:t>TAC</w:t>
            </w:r>
            <w:r w:rsidR="006645A1">
              <w:rPr>
                <w:rFonts w:ascii="Arial" w:hAnsi="Arial" w:cs="Arial"/>
                <w:sz w:val="20"/>
                <w:szCs w:val="20"/>
              </w:rPr>
              <w:t xml:space="preserve"> </w:t>
            </w:r>
            <w:r w:rsidR="00A9478C">
              <w:rPr>
                <w:rFonts w:ascii="Arial" w:hAnsi="Arial" w:cs="Arial"/>
                <w:sz w:val="20"/>
                <w:szCs w:val="20"/>
              </w:rPr>
              <w:t xml:space="preserve">feedback.  </w:t>
            </w:r>
            <w:r w:rsidR="002C5B98">
              <w:rPr>
                <w:rFonts w:ascii="Arial" w:hAnsi="Arial" w:cs="Arial"/>
                <w:sz w:val="20"/>
                <w:szCs w:val="20"/>
              </w:rPr>
              <w:t xml:space="preserve">BYU will pursue use of the new </w:t>
            </w:r>
            <w:r w:rsidR="002C5B98" w:rsidRPr="002C5B98">
              <w:rPr>
                <w:rFonts w:ascii="Arial" w:hAnsi="Arial" w:cs="Arial"/>
                <w:sz w:val="20"/>
                <w:szCs w:val="20"/>
              </w:rPr>
              <w:t>Uniform Hazard Tool</w:t>
            </w:r>
            <w:r w:rsidR="002C5B98">
              <w:rPr>
                <w:rFonts w:ascii="Arial" w:hAnsi="Arial" w:cs="Arial"/>
                <w:sz w:val="20"/>
                <w:szCs w:val="20"/>
              </w:rPr>
              <w:t xml:space="preserve"> from USGS</w:t>
            </w:r>
            <w:r w:rsidR="002C5B98" w:rsidRPr="002C5B98">
              <w:rPr>
                <w:rFonts w:ascii="Arial" w:hAnsi="Arial" w:cs="Arial"/>
                <w:sz w:val="20"/>
                <w:szCs w:val="20"/>
              </w:rPr>
              <w:t xml:space="preserve"> </w:t>
            </w:r>
            <w:r w:rsidR="002C5B98">
              <w:rPr>
                <w:rFonts w:ascii="Arial" w:hAnsi="Arial" w:cs="Arial"/>
                <w:sz w:val="20"/>
                <w:szCs w:val="20"/>
              </w:rPr>
              <w:t xml:space="preserve">to prepare </w:t>
            </w:r>
            <w:r w:rsidR="002C5B98" w:rsidRPr="0078688E">
              <w:rPr>
                <w:rFonts w:ascii="Arial" w:hAnsi="Arial" w:cs="Arial"/>
                <w:sz w:val="20"/>
                <w:szCs w:val="20"/>
              </w:rPr>
              <w:t>reference parameter maps</w:t>
            </w:r>
            <w:r w:rsidR="002C5B98" w:rsidRPr="002C5B98">
              <w:rPr>
                <w:rFonts w:ascii="Arial" w:hAnsi="Arial" w:cs="Arial"/>
                <w:sz w:val="20"/>
                <w:szCs w:val="20"/>
              </w:rPr>
              <w:t xml:space="preserve"> </w:t>
            </w:r>
            <w:r w:rsidR="002C5B98">
              <w:rPr>
                <w:rFonts w:ascii="Arial" w:hAnsi="Arial" w:cs="Arial"/>
                <w:sz w:val="20"/>
                <w:szCs w:val="20"/>
              </w:rPr>
              <w:t xml:space="preserve">for </w:t>
            </w:r>
            <w:r w:rsidR="002C5B98" w:rsidRPr="002C5B98">
              <w:rPr>
                <w:rFonts w:ascii="Arial" w:hAnsi="Arial" w:cs="Arial"/>
                <w:sz w:val="20"/>
                <w:szCs w:val="20"/>
              </w:rPr>
              <w:t xml:space="preserve">Alaska based on 2008 USGS </w:t>
            </w:r>
            <w:proofErr w:type="spellStart"/>
            <w:r w:rsidR="002C5B98" w:rsidRPr="002C5B98">
              <w:rPr>
                <w:rFonts w:ascii="Arial" w:hAnsi="Arial" w:cs="Arial"/>
                <w:sz w:val="20"/>
                <w:szCs w:val="20"/>
              </w:rPr>
              <w:t>deaggregation</w:t>
            </w:r>
            <w:proofErr w:type="spellEnd"/>
            <w:r w:rsidR="002C5B98" w:rsidRPr="002C5B98">
              <w:rPr>
                <w:rFonts w:ascii="Arial" w:hAnsi="Arial" w:cs="Arial"/>
                <w:sz w:val="20"/>
                <w:szCs w:val="20"/>
              </w:rPr>
              <w:t xml:space="preserve"> data, and </w:t>
            </w:r>
            <w:r w:rsidR="002C5B98">
              <w:rPr>
                <w:rFonts w:ascii="Arial" w:hAnsi="Arial" w:cs="Arial"/>
                <w:sz w:val="20"/>
                <w:szCs w:val="20"/>
              </w:rPr>
              <w:t xml:space="preserve">for </w:t>
            </w:r>
            <w:r w:rsidR="002C5B98" w:rsidRPr="002C5B98">
              <w:rPr>
                <w:rFonts w:ascii="Arial" w:hAnsi="Arial" w:cs="Arial"/>
                <w:sz w:val="20"/>
                <w:szCs w:val="20"/>
              </w:rPr>
              <w:t xml:space="preserve">Oregon based </w:t>
            </w:r>
            <w:r w:rsidR="002C5B98">
              <w:rPr>
                <w:rFonts w:ascii="Arial" w:hAnsi="Arial" w:cs="Arial"/>
                <w:sz w:val="20"/>
                <w:szCs w:val="20"/>
              </w:rPr>
              <w:t xml:space="preserve">on 2014 USGS </w:t>
            </w:r>
            <w:proofErr w:type="spellStart"/>
            <w:r w:rsidR="002C5B98">
              <w:rPr>
                <w:rFonts w:ascii="Arial" w:hAnsi="Arial" w:cs="Arial"/>
                <w:sz w:val="20"/>
                <w:szCs w:val="20"/>
              </w:rPr>
              <w:t>deaggregation</w:t>
            </w:r>
            <w:proofErr w:type="spellEnd"/>
            <w:r w:rsidR="002C5B98">
              <w:rPr>
                <w:rFonts w:ascii="Arial" w:hAnsi="Arial" w:cs="Arial"/>
                <w:sz w:val="20"/>
                <w:szCs w:val="20"/>
              </w:rPr>
              <w:t xml:space="preserve"> data.</w:t>
            </w:r>
          </w:p>
          <w:p w:rsidR="007B5208" w:rsidRPr="0078688E" w:rsidRDefault="00B773E9" w:rsidP="00B773E9">
            <w:pPr>
              <w:spacing w:after="0" w:line="240" w:lineRule="auto"/>
              <w:rPr>
                <w:rFonts w:ascii="Arial" w:hAnsi="Arial" w:cs="Arial"/>
                <w:sz w:val="20"/>
                <w:szCs w:val="20"/>
              </w:rPr>
            </w:pPr>
            <w:r w:rsidRPr="0078688E">
              <w:rPr>
                <w:rFonts w:ascii="Arial" w:hAnsi="Arial" w:cs="Arial"/>
                <w:sz w:val="20"/>
                <w:szCs w:val="20"/>
              </w:rPr>
              <w:t xml:space="preserve">Task 7 – </w:t>
            </w:r>
            <w:r w:rsidR="008F3D6B" w:rsidRPr="0078688E">
              <w:rPr>
                <w:rFonts w:ascii="Arial" w:hAnsi="Arial" w:cs="Arial"/>
                <w:sz w:val="20"/>
                <w:szCs w:val="20"/>
              </w:rPr>
              <w:t xml:space="preserve">BYU will </w:t>
            </w:r>
            <w:r w:rsidR="00413511">
              <w:rPr>
                <w:rFonts w:ascii="Arial" w:hAnsi="Arial" w:cs="Arial"/>
                <w:sz w:val="20"/>
                <w:szCs w:val="20"/>
              </w:rPr>
              <w:t xml:space="preserve">complete </w:t>
            </w:r>
            <w:r w:rsidR="008F3D6B" w:rsidRPr="0078688E">
              <w:rPr>
                <w:rFonts w:ascii="Arial" w:hAnsi="Arial" w:cs="Arial"/>
                <w:sz w:val="20"/>
                <w:szCs w:val="20"/>
              </w:rPr>
              <w:t>the Year 2 work on this task (comparison of analysis approaches).</w:t>
            </w:r>
          </w:p>
          <w:p w:rsidR="005A0EC0" w:rsidRPr="0078688E" w:rsidRDefault="00B773E9" w:rsidP="00B773E9">
            <w:pPr>
              <w:spacing w:after="0" w:line="240" w:lineRule="auto"/>
              <w:rPr>
                <w:rFonts w:ascii="Arial" w:hAnsi="Arial" w:cs="Arial"/>
                <w:sz w:val="20"/>
                <w:szCs w:val="20"/>
              </w:rPr>
            </w:pPr>
            <w:r w:rsidRPr="0078688E">
              <w:rPr>
                <w:rFonts w:ascii="Arial" w:hAnsi="Arial" w:cs="Arial"/>
                <w:sz w:val="20"/>
                <w:szCs w:val="20"/>
              </w:rPr>
              <w:t>Task 8 –</w:t>
            </w:r>
            <w:r w:rsidR="00950310" w:rsidRPr="0078688E">
              <w:rPr>
                <w:rFonts w:ascii="Arial" w:hAnsi="Arial" w:cs="Arial"/>
                <w:sz w:val="20"/>
                <w:szCs w:val="20"/>
              </w:rPr>
              <w:t xml:space="preserve"> </w:t>
            </w:r>
            <w:r w:rsidR="008F3D6B" w:rsidRPr="0078688E">
              <w:rPr>
                <w:rFonts w:ascii="Arial" w:hAnsi="Arial" w:cs="Arial"/>
                <w:sz w:val="20"/>
                <w:szCs w:val="20"/>
              </w:rPr>
              <w:t xml:space="preserve">BYU </w:t>
            </w:r>
            <w:r w:rsidR="00413511">
              <w:rPr>
                <w:rFonts w:ascii="Arial" w:hAnsi="Arial" w:cs="Arial"/>
                <w:sz w:val="20"/>
                <w:szCs w:val="20"/>
              </w:rPr>
              <w:t xml:space="preserve">will complete </w:t>
            </w:r>
            <w:r w:rsidR="008F3D6B" w:rsidRPr="0078688E">
              <w:rPr>
                <w:rFonts w:ascii="Arial" w:hAnsi="Arial" w:cs="Arial"/>
                <w:sz w:val="20"/>
                <w:szCs w:val="20"/>
              </w:rPr>
              <w:t>the Year 2 work on this task (add</w:t>
            </w:r>
            <w:r w:rsidR="00B15312" w:rsidRPr="0078688E">
              <w:rPr>
                <w:rFonts w:ascii="Arial" w:hAnsi="Arial" w:cs="Arial"/>
                <w:sz w:val="20"/>
                <w:szCs w:val="20"/>
              </w:rPr>
              <w:t>ing</w:t>
            </w:r>
            <w:r w:rsidR="008F3D6B" w:rsidRPr="0078688E">
              <w:rPr>
                <w:rFonts w:ascii="Arial" w:hAnsi="Arial" w:cs="Arial"/>
                <w:sz w:val="20"/>
                <w:szCs w:val="20"/>
              </w:rPr>
              <w:t xml:space="preserve"> features to the </w:t>
            </w:r>
            <w:r w:rsidR="009B1790" w:rsidRPr="0078688E">
              <w:rPr>
                <w:rFonts w:ascii="Arial" w:hAnsi="Arial" w:cs="Arial"/>
                <w:sz w:val="20"/>
                <w:szCs w:val="20"/>
              </w:rPr>
              <w:t>analysis spreadsheet</w:t>
            </w:r>
            <w:r w:rsidR="008F3D6B" w:rsidRPr="0078688E">
              <w:rPr>
                <w:rFonts w:ascii="Arial" w:hAnsi="Arial" w:cs="Arial"/>
                <w:sz w:val="20"/>
                <w:szCs w:val="20"/>
              </w:rPr>
              <w:t>)</w:t>
            </w:r>
            <w:r w:rsidR="00740807">
              <w:rPr>
                <w:rFonts w:ascii="Arial" w:hAnsi="Arial" w:cs="Arial"/>
                <w:sz w:val="20"/>
                <w:szCs w:val="20"/>
              </w:rPr>
              <w:t xml:space="preserve"> and prepare</w:t>
            </w:r>
            <w:r w:rsidR="00740807" w:rsidRPr="00740807">
              <w:rPr>
                <w:rFonts w:ascii="Arial" w:hAnsi="Arial" w:cs="Arial"/>
                <w:sz w:val="20"/>
                <w:szCs w:val="20"/>
              </w:rPr>
              <w:t xml:space="preserve"> the TAC quarterly update report for Tasks </w:t>
            </w:r>
            <w:r w:rsidR="00740807">
              <w:rPr>
                <w:rFonts w:ascii="Arial" w:hAnsi="Arial" w:cs="Arial"/>
                <w:sz w:val="20"/>
                <w:szCs w:val="20"/>
              </w:rPr>
              <w:t>7</w:t>
            </w:r>
            <w:r w:rsidR="00740807" w:rsidRPr="00740807">
              <w:rPr>
                <w:rFonts w:ascii="Arial" w:hAnsi="Arial" w:cs="Arial"/>
                <w:sz w:val="20"/>
                <w:szCs w:val="20"/>
              </w:rPr>
              <w:t xml:space="preserve"> and </w:t>
            </w:r>
            <w:r w:rsidR="00740807">
              <w:rPr>
                <w:rFonts w:ascii="Arial" w:hAnsi="Arial" w:cs="Arial"/>
                <w:sz w:val="20"/>
                <w:szCs w:val="20"/>
              </w:rPr>
              <w:t>8</w:t>
            </w:r>
            <w:r w:rsidR="00740807" w:rsidRPr="00740807">
              <w:rPr>
                <w:rFonts w:ascii="Arial" w:hAnsi="Arial" w:cs="Arial"/>
                <w:sz w:val="20"/>
                <w:szCs w:val="20"/>
              </w:rPr>
              <w:t xml:space="preserve"> (Year 2)</w:t>
            </w:r>
            <w:r w:rsidR="008F3D6B" w:rsidRPr="0078688E">
              <w:rPr>
                <w:rFonts w:ascii="Arial" w:hAnsi="Arial" w:cs="Arial"/>
                <w:sz w:val="20"/>
                <w:szCs w:val="20"/>
              </w:rPr>
              <w:t>.</w:t>
            </w:r>
            <w:r w:rsidR="00872D9B">
              <w:t xml:space="preserve">  </w:t>
            </w:r>
            <w:r w:rsidR="00872D9B" w:rsidRPr="00872D9B">
              <w:rPr>
                <w:rFonts w:ascii="Arial" w:hAnsi="Arial" w:cs="Arial"/>
                <w:sz w:val="20"/>
                <w:szCs w:val="20"/>
              </w:rPr>
              <w:t xml:space="preserve">BYU </w:t>
            </w:r>
            <w:r w:rsidR="00872D9B">
              <w:rPr>
                <w:rFonts w:ascii="Arial" w:hAnsi="Arial" w:cs="Arial"/>
                <w:sz w:val="20"/>
                <w:szCs w:val="20"/>
              </w:rPr>
              <w:t xml:space="preserve">will continue </w:t>
            </w:r>
            <w:r w:rsidR="00872D9B" w:rsidRPr="00872D9B">
              <w:rPr>
                <w:rFonts w:ascii="Arial" w:hAnsi="Arial" w:cs="Arial"/>
                <w:sz w:val="20"/>
                <w:szCs w:val="20"/>
              </w:rPr>
              <w:t>creating tutorial videos to help TAC members with the use of GIS maps and the analysis spreadsheet.</w:t>
            </w:r>
          </w:p>
          <w:p w:rsidR="00B773E9" w:rsidRPr="0078688E" w:rsidRDefault="00B773E9" w:rsidP="00B773E9">
            <w:pPr>
              <w:spacing w:after="0" w:line="240" w:lineRule="auto"/>
              <w:rPr>
                <w:rFonts w:ascii="Arial" w:hAnsi="Arial" w:cs="Arial"/>
                <w:sz w:val="20"/>
                <w:szCs w:val="20"/>
              </w:rPr>
            </w:pPr>
            <w:r w:rsidRPr="0078688E">
              <w:rPr>
                <w:rFonts w:ascii="Arial" w:hAnsi="Arial" w:cs="Arial"/>
                <w:sz w:val="20"/>
                <w:szCs w:val="20"/>
              </w:rPr>
              <w:t xml:space="preserve">Task 9 – </w:t>
            </w:r>
            <w:r w:rsidR="00413511">
              <w:rPr>
                <w:rFonts w:ascii="Arial" w:hAnsi="Arial" w:cs="Arial"/>
                <w:sz w:val="20"/>
                <w:szCs w:val="20"/>
              </w:rPr>
              <w:t>TAC quarterly update reports will continue to be combined for final reports.</w:t>
            </w:r>
          </w:p>
          <w:p w:rsidR="00B773E9" w:rsidRPr="00C71169" w:rsidRDefault="00587908" w:rsidP="00B773E9">
            <w:pPr>
              <w:spacing w:after="0" w:line="240" w:lineRule="auto"/>
              <w:rPr>
                <w:rFonts w:ascii="Arial" w:hAnsi="Arial" w:cs="Arial"/>
                <w:sz w:val="20"/>
                <w:szCs w:val="20"/>
              </w:rPr>
            </w:pPr>
            <w:r w:rsidRPr="00734630">
              <w:rPr>
                <w:rFonts w:ascii="Arial" w:hAnsi="Arial" w:cs="Arial"/>
                <w:sz w:val="20"/>
                <w:szCs w:val="20"/>
              </w:rPr>
              <w:t xml:space="preserve">Task 10 – </w:t>
            </w:r>
            <w:r w:rsidR="00C71169" w:rsidRPr="00734630">
              <w:rPr>
                <w:rFonts w:ascii="Arial" w:hAnsi="Arial" w:cs="Arial"/>
                <w:sz w:val="20"/>
                <w:szCs w:val="20"/>
              </w:rPr>
              <w:t xml:space="preserve">A paper is currently </w:t>
            </w:r>
            <w:r w:rsidR="00BA2163" w:rsidRPr="00734630">
              <w:rPr>
                <w:rFonts w:ascii="Arial" w:hAnsi="Arial" w:cs="Arial"/>
                <w:sz w:val="20"/>
                <w:szCs w:val="20"/>
              </w:rPr>
              <w:t xml:space="preserve">in </w:t>
            </w:r>
            <w:r w:rsidR="00C71169" w:rsidRPr="00734630">
              <w:rPr>
                <w:rFonts w:ascii="Arial" w:hAnsi="Arial" w:cs="Arial"/>
                <w:sz w:val="20"/>
                <w:szCs w:val="20"/>
              </w:rPr>
              <w:t xml:space="preserve">review with the journal </w:t>
            </w:r>
            <w:r w:rsidR="00C71169" w:rsidRPr="00734630">
              <w:rPr>
                <w:rFonts w:ascii="Arial" w:hAnsi="Arial" w:cs="Arial"/>
                <w:i/>
                <w:sz w:val="20"/>
                <w:szCs w:val="20"/>
              </w:rPr>
              <w:t xml:space="preserve">Soil Dynamics and Earthquake Engineering </w:t>
            </w:r>
            <w:r w:rsidR="00C71169" w:rsidRPr="00734630">
              <w:rPr>
                <w:rFonts w:ascii="Arial" w:hAnsi="Arial" w:cs="Arial"/>
                <w:sz w:val="20"/>
                <w:szCs w:val="20"/>
              </w:rPr>
              <w:t>to clearly explain the differences between traditional liquefaction hazard maps and new performance-based reference parameter maps. Review comments and an editor decision regarding the manuscript should be received by next quarter.</w:t>
            </w:r>
            <w:r w:rsidR="00C71169">
              <w:rPr>
                <w:rFonts w:ascii="Arial" w:hAnsi="Arial" w:cs="Arial"/>
                <w:sz w:val="20"/>
                <w:szCs w:val="20"/>
              </w:rPr>
              <w:t xml:space="preserve"> </w:t>
            </w:r>
          </w:p>
          <w:p w:rsidR="00B773E9" w:rsidRPr="0078688E" w:rsidRDefault="00B773E9" w:rsidP="00B773E9">
            <w:pPr>
              <w:spacing w:after="0" w:line="240" w:lineRule="auto"/>
              <w:rPr>
                <w:rFonts w:ascii="Arial" w:hAnsi="Arial" w:cs="Arial"/>
                <w:sz w:val="20"/>
                <w:szCs w:val="20"/>
              </w:rPr>
            </w:pPr>
            <w:r w:rsidRPr="0078688E">
              <w:rPr>
                <w:rFonts w:ascii="Arial" w:hAnsi="Arial" w:cs="Arial"/>
                <w:sz w:val="20"/>
                <w:szCs w:val="20"/>
              </w:rPr>
              <w:t xml:space="preserve">Task 11 – </w:t>
            </w:r>
            <w:r w:rsidR="00365804" w:rsidRPr="0078688E">
              <w:rPr>
                <w:rFonts w:ascii="Arial" w:hAnsi="Arial" w:cs="Arial"/>
                <w:sz w:val="20"/>
                <w:szCs w:val="20"/>
              </w:rPr>
              <w:t xml:space="preserve">A TAC web-conference will be held in </w:t>
            </w:r>
            <w:r w:rsidR="00365804">
              <w:rPr>
                <w:rFonts w:ascii="Arial" w:hAnsi="Arial" w:cs="Arial"/>
                <w:sz w:val="20"/>
                <w:szCs w:val="20"/>
              </w:rPr>
              <w:t>March</w:t>
            </w:r>
            <w:r w:rsidR="00365804" w:rsidRPr="0078688E">
              <w:rPr>
                <w:rFonts w:ascii="Arial" w:hAnsi="Arial" w:cs="Arial"/>
                <w:sz w:val="20"/>
                <w:szCs w:val="20"/>
              </w:rPr>
              <w:t xml:space="preserve"> to review progress and provide feedback.</w:t>
            </w:r>
            <w:r w:rsidR="00365804">
              <w:rPr>
                <w:rFonts w:ascii="Arial" w:hAnsi="Arial" w:cs="Arial"/>
                <w:sz w:val="20"/>
                <w:szCs w:val="20"/>
              </w:rPr>
              <w:t xml:space="preserve">  </w:t>
            </w:r>
            <w:r w:rsidR="00DE1FE4">
              <w:rPr>
                <w:rFonts w:ascii="Arial" w:hAnsi="Arial" w:cs="Arial"/>
                <w:sz w:val="20"/>
                <w:szCs w:val="20"/>
              </w:rPr>
              <w:t xml:space="preserve">Preparations will be made for a </w:t>
            </w:r>
            <w:r w:rsidR="00365804">
              <w:rPr>
                <w:rFonts w:ascii="Arial" w:hAnsi="Arial" w:cs="Arial"/>
                <w:sz w:val="20"/>
                <w:szCs w:val="20"/>
              </w:rPr>
              <w:t>training</w:t>
            </w:r>
            <w:r w:rsidR="00DE1FE4">
              <w:rPr>
                <w:rFonts w:ascii="Arial" w:hAnsi="Arial" w:cs="Arial"/>
                <w:sz w:val="20"/>
                <w:szCs w:val="20"/>
              </w:rPr>
              <w:t xml:space="preserve"> workshop</w:t>
            </w:r>
            <w:r w:rsidR="00365804">
              <w:rPr>
                <w:rFonts w:ascii="Arial" w:hAnsi="Arial" w:cs="Arial"/>
                <w:sz w:val="20"/>
                <w:szCs w:val="20"/>
              </w:rPr>
              <w:t xml:space="preserve"> to be held around the end of April in Utah, for TAC members to learn more on how to use the maps and spreadsheet tool.</w:t>
            </w:r>
          </w:p>
          <w:p w:rsidR="00B773E9" w:rsidRPr="0078688E" w:rsidRDefault="00B773E9" w:rsidP="00B773E9">
            <w:pPr>
              <w:spacing w:after="0" w:line="240" w:lineRule="auto"/>
              <w:rPr>
                <w:rFonts w:ascii="Arial" w:hAnsi="Arial" w:cs="Arial"/>
                <w:sz w:val="20"/>
                <w:szCs w:val="20"/>
              </w:rPr>
            </w:pPr>
            <w:r w:rsidRPr="0078688E">
              <w:rPr>
                <w:rFonts w:ascii="Arial" w:hAnsi="Arial" w:cs="Arial"/>
                <w:sz w:val="20"/>
                <w:szCs w:val="20"/>
              </w:rPr>
              <w:t>Contract –</w:t>
            </w:r>
            <w:r w:rsidR="00413511">
              <w:rPr>
                <w:rFonts w:ascii="Arial" w:hAnsi="Arial" w:cs="Arial"/>
                <w:sz w:val="20"/>
                <w:szCs w:val="20"/>
              </w:rPr>
              <w:t xml:space="preserve"> A plan will be made with BYU and Oregon DOT to generate maps and other deliverables for Oregon DOT as part of the study.  This additional work </w:t>
            </w:r>
            <w:r w:rsidR="00480AC3">
              <w:rPr>
                <w:rFonts w:ascii="Arial" w:hAnsi="Arial" w:cs="Arial"/>
                <w:sz w:val="20"/>
                <w:szCs w:val="20"/>
              </w:rPr>
              <w:t xml:space="preserve">and budget </w:t>
            </w:r>
            <w:r w:rsidR="00413511">
              <w:rPr>
                <w:rFonts w:ascii="Arial" w:hAnsi="Arial" w:cs="Arial"/>
                <w:sz w:val="20"/>
                <w:szCs w:val="20"/>
              </w:rPr>
              <w:t>will be incorporated in a contract amendment.</w:t>
            </w:r>
            <w:r w:rsidR="00BF30D3">
              <w:rPr>
                <w:rFonts w:ascii="Arial" w:hAnsi="Arial" w:cs="Arial"/>
                <w:sz w:val="20"/>
                <w:szCs w:val="20"/>
              </w:rPr>
              <w:t xml:space="preserve">  The no-cost time extension for the other study partners will also be incorporated in the contract amendment.  Time extension for generating maps for Alaska will likely coincide with the estimated schedule for the Oregon scope of work.</w:t>
            </w:r>
          </w:p>
          <w:p w:rsidR="00926E5F" w:rsidRPr="0078688E" w:rsidRDefault="00926E5F" w:rsidP="00463EA1">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Significant Results:</w:t>
            </w:r>
          </w:p>
          <w:p w:rsidR="00E17112" w:rsidRDefault="00E17112" w:rsidP="00360664">
            <w:pPr>
              <w:spacing w:after="0" w:line="240" w:lineRule="auto"/>
              <w:rPr>
                <w:rFonts w:ascii="Arial" w:hAnsi="Arial" w:cs="Arial"/>
                <w:sz w:val="20"/>
                <w:szCs w:val="20"/>
              </w:rPr>
            </w:pPr>
          </w:p>
          <w:p w:rsidR="00B0134F" w:rsidRDefault="005E2ED0" w:rsidP="00D52F90">
            <w:pPr>
              <w:spacing w:after="0" w:line="240" w:lineRule="auto"/>
              <w:rPr>
                <w:rFonts w:ascii="Arial" w:hAnsi="Arial" w:cs="Arial"/>
                <w:sz w:val="20"/>
                <w:szCs w:val="20"/>
              </w:rPr>
            </w:pPr>
            <w:r>
              <w:rPr>
                <w:rFonts w:ascii="Arial" w:hAnsi="Arial" w:cs="Arial"/>
                <w:sz w:val="20"/>
                <w:szCs w:val="20"/>
              </w:rPr>
              <w:t xml:space="preserve">Volumetric strain and Newmark seismic slope stability reference parameter maps were successfully completed for all of the states in the TPF Pooled Fund Study with the exception of Alaska (due to the crash of the USGS </w:t>
            </w:r>
            <w:proofErr w:type="spellStart"/>
            <w:r>
              <w:rPr>
                <w:rFonts w:ascii="Arial" w:hAnsi="Arial" w:cs="Arial"/>
                <w:sz w:val="20"/>
                <w:szCs w:val="20"/>
              </w:rPr>
              <w:t>deaggregation</w:t>
            </w:r>
            <w:proofErr w:type="spellEnd"/>
            <w:r>
              <w:rPr>
                <w:rFonts w:ascii="Arial" w:hAnsi="Arial" w:cs="Arial"/>
                <w:sz w:val="20"/>
                <w:szCs w:val="20"/>
              </w:rPr>
              <w:t xml:space="preserve"> server for Alaska) and Oregon (which desires to incorporate seismic hazard </w:t>
            </w:r>
            <w:proofErr w:type="spellStart"/>
            <w:r>
              <w:rPr>
                <w:rFonts w:ascii="Arial" w:hAnsi="Arial" w:cs="Arial"/>
                <w:sz w:val="20"/>
                <w:szCs w:val="20"/>
              </w:rPr>
              <w:t>deaggregation</w:t>
            </w:r>
            <w:proofErr w:type="spellEnd"/>
            <w:r>
              <w:rPr>
                <w:rFonts w:ascii="Arial" w:hAnsi="Arial" w:cs="Arial"/>
                <w:sz w:val="20"/>
                <w:szCs w:val="20"/>
              </w:rPr>
              <w:t xml:space="preserve"> data from the 2014 USGS update, which is not yet publically available). We have been in constant communication with the USGS, and have been informed that a new uniform hazard tool will be made available to the pub</w:t>
            </w:r>
            <w:r w:rsidR="00227885">
              <w:rPr>
                <w:rFonts w:ascii="Arial" w:hAnsi="Arial" w:cs="Arial"/>
                <w:sz w:val="20"/>
                <w:szCs w:val="20"/>
              </w:rPr>
              <w:t xml:space="preserve">lic in early 2016. The tool will </w:t>
            </w:r>
            <w:r>
              <w:rPr>
                <w:rFonts w:ascii="Arial" w:hAnsi="Arial" w:cs="Arial"/>
                <w:sz w:val="20"/>
                <w:szCs w:val="20"/>
              </w:rPr>
              <w:t>allow the inc</w:t>
            </w:r>
            <w:r w:rsidR="00227885">
              <w:rPr>
                <w:rFonts w:ascii="Arial" w:hAnsi="Arial" w:cs="Arial"/>
                <w:sz w:val="20"/>
                <w:szCs w:val="20"/>
              </w:rPr>
              <w:t xml:space="preserve">orporation of the 2008 USGS seismic hazard data for Alaska and the 2014 USGS seismic hazard data for Oregon. Once the tool becomes available, the performance-based reference parameter maps for Alaska and Oregon will be completed and documented in an addendum report. </w:t>
            </w:r>
          </w:p>
          <w:p w:rsidR="00C71169" w:rsidRDefault="00C71169" w:rsidP="00D52F90">
            <w:pPr>
              <w:spacing w:after="0" w:line="240" w:lineRule="auto"/>
              <w:rPr>
                <w:rFonts w:ascii="Arial" w:hAnsi="Arial" w:cs="Arial"/>
                <w:sz w:val="20"/>
                <w:szCs w:val="20"/>
              </w:rPr>
            </w:pPr>
          </w:p>
          <w:p w:rsidR="00C71169" w:rsidRDefault="00C71169" w:rsidP="00D52F90">
            <w:pPr>
              <w:spacing w:after="0" w:line="240" w:lineRule="auto"/>
              <w:rPr>
                <w:rFonts w:ascii="Arial" w:hAnsi="Arial" w:cs="Arial"/>
                <w:sz w:val="20"/>
                <w:szCs w:val="20"/>
              </w:rPr>
            </w:pPr>
            <w:r>
              <w:rPr>
                <w:rFonts w:ascii="Arial" w:hAnsi="Arial" w:cs="Arial"/>
                <w:sz w:val="20"/>
                <w:szCs w:val="20"/>
              </w:rPr>
              <w:t xml:space="preserve">Incorporation of the simplified performance-based volumetric strain and Newmark seismic slope displacement models has begun for the simplified analysis spreadsheet (Task 8). In addition, comparisons between deterministic, pseudo-probabilistic, and performance-based post-liquefaction settlements and seismic slope displacements in select areas of </w:t>
            </w:r>
            <w:r>
              <w:rPr>
                <w:rFonts w:ascii="Arial" w:hAnsi="Arial" w:cs="Arial"/>
                <w:sz w:val="20"/>
                <w:szCs w:val="20"/>
              </w:rPr>
              <w:lastRenderedPageBreak/>
              <w:t xml:space="preserve">varying seismicity have been initiated. </w:t>
            </w:r>
          </w:p>
          <w:p w:rsidR="00AA3053" w:rsidRDefault="00AA3053" w:rsidP="00D52F90">
            <w:pPr>
              <w:spacing w:after="0" w:line="240" w:lineRule="auto"/>
              <w:rPr>
                <w:rFonts w:ascii="Arial" w:hAnsi="Arial" w:cs="Arial"/>
                <w:sz w:val="20"/>
                <w:szCs w:val="20"/>
              </w:rPr>
            </w:pPr>
          </w:p>
          <w:p w:rsidR="00AA3053" w:rsidRDefault="00AA3053" w:rsidP="00D52F90">
            <w:pPr>
              <w:spacing w:after="0" w:line="240" w:lineRule="auto"/>
              <w:rPr>
                <w:rFonts w:ascii="Arial" w:hAnsi="Arial" w:cs="Arial"/>
                <w:sz w:val="20"/>
                <w:szCs w:val="20"/>
              </w:rPr>
            </w:pPr>
            <w:r>
              <w:rPr>
                <w:rFonts w:ascii="Arial" w:hAnsi="Arial" w:cs="Arial"/>
                <w:sz w:val="20"/>
                <w:szCs w:val="20"/>
              </w:rPr>
              <w:t xml:space="preserve">A simple data-querying spreadsheet/database was developed for the states in the study to interpolate reference parameter map values from a specified site (i.e., latitude and longitude). This tool will allow engineers to use the results of this research without needing to interpolate </w:t>
            </w:r>
            <w:r w:rsidR="00D272A6">
              <w:rPr>
                <w:rFonts w:ascii="Arial" w:hAnsi="Arial" w:cs="Arial"/>
                <w:sz w:val="20"/>
                <w:szCs w:val="20"/>
              </w:rPr>
              <w:t xml:space="preserve">reference parameter values from a GIS raster. </w:t>
            </w:r>
          </w:p>
          <w:p w:rsidR="00D51D40" w:rsidRPr="00CC401B" w:rsidRDefault="00D51D40" w:rsidP="000C2F8D">
            <w:pPr>
              <w:spacing w:after="0" w:line="240" w:lineRule="auto"/>
              <w:jc w:val="center"/>
              <w:rPr>
                <w:rFonts w:ascii="Arial" w:hAnsi="Arial" w:cs="Arial"/>
                <w:sz w:val="20"/>
                <w:szCs w:val="20"/>
              </w:rPr>
            </w:pP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Pr="00360664" w:rsidRDefault="000C209F" w:rsidP="00360664">
            <w:pPr>
              <w:spacing w:after="0" w:line="240" w:lineRule="auto"/>
              <w:rPr>
                <w:rFonts w:ascii="Arial" w:hAnsi="Arial" w:cs="Arial"/>
                <w:b/>
                <w:sz w:val="20"/>
                <w:szCs w:val="20"/>
              </w:rPr>
            </w:pPr>
            <w:proofErr w:type="gramStart"/>
            <w:r w:rsidRPr="00360664">
              <w:rPr>
                <w:rFonts w:ascii="Arial" w:hAnsi="Arial" w:cs="Arial"/>
                <w:b/>
                <w:sz w:val="20"/>
                <w:szCs w:val="20"/>
              </w:rPr>
              <w:t>agreement</w:t>
            </w:r>
            <w:proofErr w:type="gramEnd"/>
            <w:r w:rsidRPr="00360664">
              <w:rPr>
                <w:rFonts w:ascii="Arial" w:hAnsi="Arial" w:cs="Arial"/>
                <w:b/>
                <w:sz w:val="20"/>
                <w:szCs w:val="20"/>
              </w:rPr>
              <w:t>, along with recommended solutions to those problems).</w:t>
            </w:r>
          </w:p>
          <w:p w:rsidR="000C209F" w:rsidRDefault="000C209F" w:rsidP="00360664">
            <w:pPr>
              <w:spacing w:after="0" w:line="240" w:lineRule="auto"/>
              <w:rPr>
                <w:rFonts w:ascii="Arial" w:hAnsi="Arial" w:cs="Arial"/>
                <w:sz w:val="20"/>
                <w:szCs w:val="20"/>
              </w:rPr>
            </w:pPr>
          </w:p>
          <w:p w:rsidR="004205BA" w:rsidRDefault="00AA3053" w:rsidP="004205BA">
            <w:pPr>
              <w:spacing w:after="0" w:line="240" w:lineRule="auto"/>
              <w:rPr>
                <w:rFonts w:ascii="Arial" w:hAnsi="Arial" w:cs="Arial"/>
                <w:sz w:val="20"/>
                <w:szCs w:val="20"/>
              </w:rPr>
            </w:pPr>
            <w:r>
              <w:rPr>
                <w:rFonts w:ascii="Arial" w:hAnsi="Arial" w:cs="Arial"/>
                <w:sz w:val="20"/>
                <w:szCs w:val="20"/>
              </w:rPr>
              <w:t xml:space="preserve">The permanent retirement of the seismic hazard </w:t>
            </w:r>
            <w:proofErr w:type="spellStart"/>
            <w:r>
              <w:rPr>
                <w:rFonts w:ascii="Arial" w:hAnsi="Arial" w:cs="Arial"/>
                <w:sz w:val="20"/>
                <w:szCs w:val="20"/>
              </w:rPr>
              <w:t>deaggregation</w:t>
            </w:r>
            <w:proofErr w:type="spellEnd"/>
            <w:r>
              <w:rPr>
                <w:rFonts w:ascii="Arial" w:hAnsi="Arial" w:cs="Arial"/>
                <w:sz w:val="20"/>
                <w:szCs w:val="20"/>
              </w:rPr>
              <w:t xml:space="preserve"> servers for the state of Alaska by the USGS in November 2015 introduced a significant setback to the project. At the time the servers were shut down, approximately 80% of the reference parameter maps for volumetric strain and seismic slope stability were completed for the state of Alaska. After deliberation with the TAC, it was decided to wait upon the USGS to release its new uniform hazard tool in early 2016 to complete the reference parameter maps for Alaska using the USGS 2008 seismic hazard update, as well as the reference parameter maps for Oregon using the USGS 2014 seismic hazard update.</w:t>
            </w:r>
            <w:r w:rsidR="00516FA3">
              <w:rPr>
                <w:rFonts w:ascii="Arial" w:hAnsi="Arial" w:cs="Arial"/>
                <w:sz w:val="20"/>
                <w:szCs w:val="20"/>
              </w:rPr>
              <w:t xml:space="preserve">  </w:t>
            </w:r>
            <w:r w:rsidR="00452630">
              <w:rPr>
                <w:rFonts w:ascii="Arial" w:hAnsi="Arial" w:cs="Arial"/>
                <w:sz w:val="20"/>
                <w:szCs w:val="20"/>
              </w:rPr>
              <w:t xml:space="preserve">We </w:t>
            </w:r>
            <w:r w:rsidR="00516FA3">
              <w:rPr>
                <w:rFonts w:ascii="Arial" w:hAnsi="Arial" w:cs="Arial"/>
                <w:sz w:val="20"/>
                <w:szCs w:val="20"/>
              </w:rPr>
              <w:t>anticipa</w:t>
            </w:r>
            <w:r w:rsidR="00452630">
              <w:rPr>
                <w:rFonts w:ascii="Arial" w:hAnsi="Arial" w:cs="Arial"/>
                <w:sz w:val="20"/>
                <w:szCs w:val="20"/>
              </w:rPr>
              <w:t>te</w:t>
            </w:r>
            <w:r w:rsidR="00516FA3">
              <w:rPr>
                <w:rFonts w:ascii="Arial" w:hAnsi="Arial" w:cs="Arial"/>
                <w:sz w:val="20"/>
                <w:szCs w:val="20"/>
              </w:rPr>
              <w:t xml:space="preserve"> this work can still be completed in 2016.</w:t>
            </w:r>
            <w:bookmarkStart w:id="0" w:name="_GoBack"/>
            <w:bookmarkEnd w:id="0"/>
          </w:p>
          <w:p w:rsidR="000C209F" w:rsidRPr="00360664" w:rsidRDefault="004205BA" w:rsidP="004205BA">
            <w:pPr>
              <w:spacing w:after="0" w:line="240" w:lineRule="auto"/>
              <w:rPr>
                <w:rFonts w:ascii="Arial" w:hAnsi="Arial" w:cs="Arial"/>
                <w:b/>
                <w:sz w:val="20"/>
                <w:szCs w:val="20"/>
              </w:rPr>
            </w:pPr>
            <w:r w:rsidRPr="00360664">
              <w:rPr>
                <w:rFonts w:ascii="Arial" w:hAnsi="Arial" w:cs="Arial"/>
                <w:b/>
                <w:sz w:val="20"/>
                <w:szCs w:val="20"/>
              </w:rPr>
              <w:t xml:space="preserve"> </w:t>
            </w: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0C209F" w:rsidRDefault="00D272A6" w:rsidP="00114A2D">
            <w:pPr>
              <w:spacing w:after="0" w:line="240" w:lineRule="auto"/>
              <w:rPr>
                <w:rFonts w:ascii="Arial" w:hAnsi="Arial" w:cs="Arial"/>
                <w:sz w:val="20"/>
                <w:szCs w:val="20"/>
              </w:rPr>
            </w:pPr>
            <w:r>
              <w:rPr>
                <w:rFonts w:ascii="Arial" w:hAnsi="Arial" w:cs="Arial"/>
                <w:sz w:val="20"/>
                <w:szCs w:val="20"/>
              </w:rPr>
              <w:t xml:space="preserve">Completion of the simplified analysis spreadsheet will allow engineers to implement performance-based liquefaction hazard analysis (i.e., triggering, lateral spread displacement, settlement, and seismic slope stability) at return periods of 475, 1033, and/or 2475 years for all of the states in the study. Completion of the interpolation spreadsheet can be coupled with the simplified analysis spreadsheet to obtain the necessary reference parameter values to run the performance-based calculations. </w:t>
            </w:r>
          </w:p>
          <w:p w:rsidR="00907579" w:rsidRPr="00360664" w:rsidRDefault="00907579" w:rsidP="00114A2D">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44B" w:rsidRDefault="0073544B" w:rsidP="00106C83">
      <w:pPr>
        <w:spacing w:after="0" w:line="240" w:lineRule="auto"/>
      </w:pPr>
      <w:r>
        <w:separator/>
      </w:r>
    </w:p>
  </w:endnote>
  <w:endnote w:type="continuationSeparator" w:id="0">
    <w:p w:rsidR="0073544B" w:rsidRDefault="0073544B"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544B" w:rsidRDefault="0073544B" w:rsidP="00E371D1">
    <w:pPr>
      <w:pStyle w:val="Footer"/>
      <w:ind w:left="-810"/>
    </w:pPr>
    <w:r>
      <w:t>TPF Program Standard Quarterly Reporting Format – 7/2011</w:t>
    </w:r>
  </w:p>
  <w:p w:rsidR="0073544B" w:rsidRDefault="00735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44B" w:rsidRDefault="0073544B" w:rsidP="00106C83">
      <w:pPr>
        <w:spacing w:after="0" w:line="240" w:lineRule="auto"/>
      </w:pPr>
      <w:r>
        <w:separator/>
      </w:r>
    </w:p>
  </w:footnote>
  <w:footnote w:type="continuationSeparator" w:id="0">
    <w:p w:rsidR="0073544B" w:rsidRDefault="0073544B"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4A3F"/>
    <w:rsid w:val="00006CB3"/>
    <w:rsid w:val="00010046"/>
    <w:rsid w:val="00010300"/>
    <w:rsid w:val="0001316D"/>
    <w:rsid w:val="00015D61"/>
    <w:rsid w:val="00020513"/>
    <w:rsid w:val="00021A3F"/>
    <w:rsid w:val="00027840"/>
    <w:rsid w:val="0003260A"/>
    <w:rsid w:val="000335CC"/>
    <w:rsid w:val="000342EB"/>
    <w:rsid w:val="00035DAD"/>
    <w:rsid w:val="00037FBC"/>
    <w:rsid w:val="0004049A"/>
    <w:rsid w:val="00040795"/>
    <w:rsid w:val="000452C8"/>
    <w:rsid w:val="00045C7E"/>
    <w:rsid w:val="00046DCA"/>
    <w:rsid w:val="000556F2"/>
    <w:rsid w:val="00056DB8"/>
    <w:rsid w:val="00060908"/>
    <w:rsid w:val="00060DDA"/>
    <w:rsid w:val="00061A91"/>
    <w:rsid w:val="000632E0"/>
    <w:rsid w:val="0006342D"/>
    <w:rsid w:val="00064DBC"/>
    <w:rsid w:val="00065B11"/>
    <w:rsid w:val="00071797"/>
    <w:rsid w:val="000736BB"/>
    <w:rsid w:val="00074656"/>
    <w:rsid w:val="0007547B"/>
    <w:rsid w:val="0008172C"/>
    <w:rsid w:val="000827D6"/>
    <w:rsid w:val="00085456"/>
    <w:rsid w:val="00086047"/>
    <w:rsid w:val="00087DC0"/>
    <w:rsid w:val="000937EA"/>
    <w:rsid w:val="000957A8"/>
    <w:rsid w:val="000A0D23"/>
    <w:rsid w:val="000A7C22"/>
    <w:rsid w:val="000B1557"/>
    <w:rsid w:val="000B2F53"/>
    <w:rsid w:val="000B665A"/>
    <w:rsid w:val="000C19CB"/>
    <w:rsid w:val="000C209F"/>
    <w:rsid w:val="000C2F8D"/>
    <w:rsid w:val="000C3E6D"/>
    <w:rsid w:val="000C4744"/>
    <w:rsid w:val="000C4AC9"/>
    <w:rsid w:val="000C65A5"/>
    <w:rsid w:val="000D1273"/>
    <w:rsid w:val="000D6962"/>
    <w:rsid w:val="000E112D"/>
    <w:rsid w:val="000E189F"/>
    <w:rsid w:val="000E1C3A"/>
    <w:rsid w:val="000F489B"/>
    <w:rsid w:val="000F752B"/>
    <w:rsid w:val="000F7DCA"/>
    <w:rsid w:val="00103835"/>
    <w:rsid w:val="00103F73"/>
    <w:rsid w:val="00106C83"/>
    <w:rsid w:val="001147C8"/>
    <w:rsid w:val="00114A2D"/>
    <w:rsid w:val="00116830"/>
    <w:rsid w:val="00121037"/>
    <w:rsid w:val="00122CE0"/>
    <w:rsid w:val="00122DE0"/>
    <w:rsid w:val="001336E7"/>
    <w:rsid w:val="00135812"/>
    <w:rsid w:val="001428DF"/>
    <w:rsid w:val="001429F4"/>
    <w:rsid w:val="001536F4"/>
    <w:rsid w:val="00154785"/>
    <w:rsid w:val="001547D0"/>
    <w:rsid w:val="00161153"/>
    <w:rsid w:val="00164E36"/>
    <w:rsid w:val="00165AF3"/>
    <w:rsid w:val="00174FA3"/>
    <w:rsid w:val="001819A2"/>
    <w:rsid w:val="00181F8B"/>
    <w:rsid w:val="0018433C"/>
    <w:rsid w:val="00186107"/>
    <w:rsid w:val="00186B05"/>
    <w:rsid w:val="00190459"/>
    <w:rsid w:val="001918E8"/>
    <w:rsid w:val="00191F1F"/>
    <w:rsid w:val="00194CD6"/>
    <w:rsid w:val="00197E96"/>
    <w:rsid w:val="001A1210"/>
    <w:rsid w:val="001A25A1"/>
    <w:rsid w:val="001A2E6F"/>
    <w:rsid w:val="001A3095"/>
    <w:rsid w:val="001A3467"/>
    <w:rsid w:val="001A46FD"/>
    <w:rsid w:val="001A7398"/>
    <w:rsid w:val="001C03A1"/>
    <w:rsid w:val="001C0A2C"/>
    <w:rsid w:val="001C0E72"/>
    <w:rsid w:val="001C1DDE"/>
    <w:rsid w:val="001C1E3F"/>
    <w:rsid w:val="001C6EFD"/>
    <w:rsid w:val="001C7724"/>
    <w:rsid w:val="001D2FB4"/>
    <w:rsid w:val="001D763A"/>
    <w:rsid w:val="001D77C2"/>
    <w:rsid w:val="001E7777"/>
    <w:rsid w:val="001F10B5"/>
    <w:rsid w:val="001F1101"/>
    <w:rsid w:val="001F6F45"/>
    <w:rsid w:val="001F7414"/>
    <w:rsid w:val="00202788"/>
    <w:rsid w:val="002028BE"/>
    <w:rsid w:val="00205F86"/>
    <w:rsid w:val="00205FB0"/>
    <w:rsid w:val="0021446D"/>
    <w:rsid w:val="00214FE9"/>
    <w:rsid w:val="0022101B"/>
    <w:rsid w:val="00221214"/>
    <w:rsid w:val="00225004"/>
    <w:rsid w:val="00227885"/>
    <w:rsid w:val="0023315F"/>
    <w:rsid w:val="00236E81"/>
    <w:rsid w:val="00237469"/>
    <w:rsid w:val="002416F6"/>
    <w:rsid w:val="00242D46"/>
    <w:rsid w:val="00243FCC"/>
    <w:rsid w:val="002442E9"/>
    <w:rsid w:val="00245D5B"/>
    <w:rsid w:val="0025100B"/>
    <w:rsid w:val="002571EA"/>
    <w:rsid w:val="002661B7"/>
    <w:rsid w:val="00271658"/>
    <w:rsid w:val="00272964"/>
    <w:rsid w:val="002742C3"/>
    <w:rsid w:val="00276274"/>
    <w:rsid w:val="002765D0"/>
    <w:rsid w:val="00281C9D"/>
    <w:rsid w:val="00281E8E"/>
    <w:rsid w:val="00285DA3"/>
    <w:rsid w:val="00291F1C"/>
    <w:rsid w:val="0029327C"/>
    <w:rsid w:val="002936D0"/>
    <w:rsid w:val="00293FD8"/>
    <w:rsid w:val="002A0E0A"/>
    <w:rsid w:val="002A61A3"/>
    <w:rsid w:val="002A79C8"/>
    <w:rsid w:val="002B1447"/>
    <w:rsid w:val="002B31FF"/>
    <w:rsid w:val="002B56F3"/>
    <w:rsid w:val="002B708D"/>
    <w:rsid w:val="002B7515"/>
    <w:rsid w:val="002C2F72"/>
    <w:rsid w:val="002C4321"/>
    <w:rsid w:val="002C5B98"/>
    <w:rsid w:val="002C6E75"/>
    <w:rsid w:val="002D0754"/>
    <w:rsid w:val="002D0D07"/>
    <w:rsid w:val="002D353E"/>
    <w:rsid w:val="002D60CF"/>
    <w:rsid w:val="002D6EA4"/>
    <w:rsid w:val="002E3814"/>
    <w:rsid w:val="002E5C07"/>
    <w:rsid w:val="002F3D8F"/>
    <w:rsid w:val="002F44FD"/>
    <w:rsid w:val="002F5B74"/>
    <w:rsid w:val="002F66FD"/>
    <w:rsid w:val="0030162E"/>
    <w:rsid w:val="00303BFD"/>
    <w:rsid w:val="003057C7"/>
    <w:rsid w:val="00313136"/>
    <w:rsid w:val="003133E9"/>
    <w:rsid w:val="0031390E"/>
    <w:rsid w:val="00315011"/>
    <w:rsid w:val="00315979"/>
    <w:rsid w:val="00317414"/>
    <w:rsid w:val="00321691"/>
    <w:rsid w:val="003227F0"/>
    <w:rsid w:val="0032612B"/>
    <w:rsid w:val="00326702"/>
    <w:rsid w:val="00327AC3"/>
    <w:rsid w:val="00332429"/>
    <w:rsid w:val="0033444C"/>
    <w:rsid w:val="003372CD"/>
    <w:rsid w:val="00337E98"/>
    <w:rsid w:val="00340B50"/>
    <w:rsid w:val="00341D76"/>
    <w:rsid w:val="003442D7"/>
    <w:rsid w:val="00346691"/>
    <w:rsid w:val="00357BC4"/>
    <w:rsid w:val="00360664"/>
    <w:rsid w:val="00362F45"/>
    <w:rsid w:val="003630A0"/>
    <w:rsid w:val="003634EC"/>
    <w:rsid w:val="00365804"/>
    <w:rsid w:val="00366877"/>
    <w:rsid w:val="00374D25"/>
    <w:rsid w:val="0037649F"/>
    <w:rsid w:val="00382110"/>
    <w:rsid w:val="0038529F"/>
    <w:rsid w:val="00386FBE"/>
    <w:rsid w:val="0038705A"/>
    <w:rsid w:val="00395A48"/>
    <w:rsid w:val="003978CF"/>
    <w:rsid w:val="003979BD"/>
    <w:rsid w:val="003B2236"/>
    <w:rsid w:val="003B3175"/>
    <w:rsid w:val="003B3781"/>
    <w:rsid w:val="003B7379"/>
    <w:rsid w:val="003B7740"/>
    <w:rsid w:val="003C239E"/>
    <w:rsid w:val="003C2C2A"/>
    <w:rsid w:val="003C2CCC"/>
    <w:rsid w:val="003D1430"/>
    <w:rsid w:val="003D6A0B"/>
    <w:rsid w:val="003E0A8C"/>
    <w:rsid w:val="003E43F0"/>
    <w:rsid w:val="003E4DE4"/>
    <w:rsid w:val="003E5DCB"/>
    <w:rsid w:val="003F462A"/>
    <w:rsid w:val="00401351"/>
    <w:rsid w:val="00406380"/>
    <w:rsid w:val="00407984"/>
    <w:rsid w:val="00413511"/>
    <w:rsid w:val="004144E6"/>
    <w:rsid w:val="004156B2"/>
    <w:rsid w:val="0041707D"/>
    <w:rsid w:val="004205BA"/>
    <w:rsid w:val="00432286"/>
    <w:rsid w:val="0043487E"/>
    <w:rsid w:val="00436383"/>
    <w:rsid w:val="00437734"/>
    <w:rsid w:val="004377DD"/>
    <w:rsid w:val="00437E79"/>
    <w:rsid w:val="00440CE6"/>
    <w:rsid w:val="00447F77"/>
    <w:rsid w:val="004519D7"/>
    <w:rsid w:val="0045218A"/>
    <w:rsid w:val="00452515"/>
    <w:rsid w:val="00452630"/>
    <w:rsid w:val="00455A67"/>
    <w:rsid w:val="0046217B"/>
    <w:rsid w:val="00463EA1"/>
    <w:rsid w:val="004743BB"/>
    <w:rsid w:val="00476BA3"/>
    <w:rsid w:val="00480AC3"/>
    <w:rsid w:val="004828D8"/>
    <w:rsid w:val="004846CC"/>
    <w:rsid w:val="004913CE"/>
    <w:rsid w:val="00492C17"/>
    <w:rsid w:val="004974E1"/>
    <w:rsid w:val="004A3ABB"/>
    <w:rsid w:val="004A5173"/>
    <w:rsid w:val="004B3E34"/>
    <w:rsid w:val="004D5EEE"/>
    <w:rsid w:val="004D6151"/>
    <w:rsid w:val="004D6DF5"/>
    <w:rsid w:val="004E14DC"/>
    <w:rsid w:val="004E4852"/>
    <w:rsid w:val="004E4A6C"/>
    <w:rsid w:val="004E6402"/>
    <w:rsid w:val="004E771A"/>
    <w:rsid w:val="004F586D"/>
    <w:rsid w:val="00501478"/>
    <w:rsid w:val="005030A0"/>
    <w:rsid w:val="00504F10"/>
    <w:rsid w:val="005077FE"/>
    <w:rsid w:val="00511F24"/>
    <w:rsid w:val="00511FD0"/>
    <w:rsid w:val="00512783"/>
    <w:rsid w:val="005130F7"/>
    <w:rsid w:val="005135ED"/>
    <w:rsid w:val="00516FA3"/>
    <w:rsid w:val="00517E74"/>
    <w:rsid w:val="00520070"/>
    <w:rsid w:val="00520D9B"/>
    <w:rsid w:val="00526BB3"/>
    <w:rsid w:val="0052700B"/>
    <w:rsid w:val="0053174C"/>
    <w:rsid w:val="00532264"/>
    <w:rsid w:val="00533DC2"/>
    <w:rsid w:val="00534F97"/>
    <w:rsid w:val="00535598"/>
    <w:rsid w:val="00535AE5"/>
    <w:rsid w:val="0053700F"/>
    <w:rsid w:val="00541957"/>
    <w:rsid w:val="00545CF7"/>
    <w:rsid w:val="00547870"/>
    <w:rsid w:val="00547EE3"/>
    <w:rsid w:val="0055178A"/>
    <w:rsid w:val="00551D8A"/>
    <w:rsid w:val="00567491"/>
    <w:rsid w:val="00567605"/>
    <w:rsid w:val="0057047E"/>
    <w:rsid w:val="00570CB8"/>
    <w:rsid w:val="0057136C"/>
    <w:rsid w:val="00572A58"/>
    <w:rsid w:val="00574EA0"/>
    <w:rsid w:val="00577067"/>
    <w:rsid w:val="00581B36"/>
    <w:rsid w:val="0058332B"/>
    <w:rsid w:val="0058363E"/>
    <w:rsid w:val="00583E8E"/>
    <w:rsid w:val="00587908"/>
    <w:rsid w:val="00591AF5"/>
    <w:rsid w:val="0059636D"/>
    <w:rsid w:val="005965D0"/>
    <w:rsid w:val="00597329"/>
    <w:rsid w:val="005A0EC0"/>
    <w:rsid w:val="005A16F8"/>
    <w:rsid w:val="005A4E82"/>
    <w:rsid w:val="005B4511"/>
    <w:rsid w:val="005B4745"/>
    <w:rsid w:val="005C01E8"/>
    <w:rsid w:val="005C2C1F"/>
    <w:rsid w:val="005C75FE"/>
    <w:rsid w:val="005D25B4"/>
    <w:rsid w:val="005D3419"/>
    <w:rsid w:val="005D567C"/>
    <w:rsid w:val="005D676C"/>
    <w:rsid w:val="005E2ED0"/>
    <w:rsid w:val="005F5558"/>
    <w:rsid w:val="006015F0"/>
    <w:rsid w:val="00601EBD"/>
    <w:rsid w:val="00602A2F"/>
    <w:rsid w:val="0060386E"/>
    <w:rsid w:val="00603F07"/>
    <w:rsid w:val="006073E2"/>
    <w:rsid w:val="00611978"/>
    <w:rsid w:val="00611C50"/>
    <w:rsid w:val="00613192"/>
    <w:rsid w:val="006142A8"/>
    <w:rsid w:val="006166F0"/>
    <w:rsid w:val="006168C2"/>
    <w:rsid w:val="00620B85"/>
    <w:rsid w:val="00623262"/>
    <w:rsid w:val="006232CC"/>
    <w:rsid w:val="00626480"/>
    <w:rsid w:val="00631C35"/>
    <w:rsid w:val="00631D3F"/>
    <w:rsid w:val="006337FF"/>
    <w:rsid w:val="00637258"/>
    <w:rsid w:val="00640344"/>
    <w:rsid w:val="00640E08"/>
    <w:rsid w:val="00641054"/>
    <w:rsid w:val="006411CD"/>
    <w:rsid w:val="00642821"/>
    <w:rsid w:val="0064542D"/>
    <w:rsid w:val="00653AE0"/>
    <w:rsid w:val="00657540"/>
    <w:rsid w:val="006633AD"/>
    <w:rsid w:val="006645A1"/>
    <w:rsid w:val="00670A8E"/>
    <w:rsid w:val="0068036E"/>
    <w:rsid w:val="00681142"/>
    <w:rsid w:val="00682C5E"/>
    <w:rsid w:val="00687192"/>
    <w:rsid w:val="006A7AC1"/>
    <w:rsid w:val="006B1998"/>
    <w:rsid w:val="006B42FE"/>
    <w:rsid w:val="006B6D4A"/>
    <w:rsid w:val="006B7448"/>
    <w:rsid w:val="006B7F63"/>
    <w:rsid w:val="006C08D2"/>
    <w:rsid w:val="006C1783"/>
    <w:rsid w:val="006C2DA5"/>
    <w:rsid w:val="006C378D"/>
    <w:rsid w:val="006C438C"/>
    <w:rsid w:val="006C4E6B"/>
    <w:rsid w:val="006C50DB"/>
    <w:rsid w:val="006C7F35"/>
    <w:rsid w:val="006D03A4"/>
    <w:rsid w:val="006D09EA"/>
    <w:rsid w:val="006D6160"/>
    <w:rsid w:val="006E1297"/>
    <w:rsid w:val="006F1879"/>
    <w:rsid w:val="006F669A"/>
    <w:rsid w:val="006F6A29"/>
    <w:rsid w:val="00705BE7"/>
    <w:rsid w:val="00707493"/>
    <w:rsid w:val="007125F6"/>
    <w:rsid w:val="00714795"/>
    <w:rsid w:val="00715C3B"/>
    <w:rsid w:val="007169BB"/>
    <w:rsid w:val="00720EB2"/>
    <w:rsid w:val="00725BCF"/>
    <w:rsid w:val="00726BE1"/>
    <w:rsid w:val="007308C4"/>
    <w:rsid w:val="00731FB6"/>
    <w:rsid w:val="00732659"/>
    <w:rsid w:val="00733FC5"/>
    <w:rsid w:val="00734630"/>
    <w:rsid w:val="0073544B"/>
    <w:rsid w:val="00740807"/>
    <w:rsid w:val="00741D56"/>
    <w:rsid w:val="00742FFE"/>
    <w:rsid w:val="00743C01"/>
    <w:rsid w:val="007449D3"/>
    <w:rsid w:val="007459C3"/>
    <w:rsid w:val="00752379"/>
    <w:rsid w:val="00754076"/>
    <w:rsid w:val="00755D8B"/>
    <w:rsid w:val="00756D70"/>
    <w:rsid w:val="007604EA"/>
    <w:rsid w:val="00760A2B"/>
    <w:rsid w:val="00763824"/>
    <w:rsid w:val="00763DDA"/>
    <w:rsid w:val="00770417"/>
    <w:rsid w:val="00770FD2"/>
    <w:rsid w:val="00774CA4"/>
    <w:rsid w:val="00774FAA"/>
    <w:rsid w:val="00777B5F"/>
    <w:rsid w:val="0078688E"/>
    <w:rsid w:val="00790C4A"/>
    <w:rsid w:val="0079114B"/>
    <w:rsid w:val="0079313F"/>
    <w:rsid w:val="007932BB"/>
    <w:rsid w:val="00794AD2"/>
    <w:rsid w:val="007A4135"/>
    <w:rsid w:val="007B3202"/>
    <w:rsid w:val="007B3CBC"/>
    <w:rsid w:val="007B5208"/>
    <w:rsid w:val="007B5995"/>
    <w:rsid w:val="007B5EFC"/>
    <w:rsid w:val="007B7989"/>
    <w:rsid w:val="007C3363"/>
    <w:rsid w:val="007C480F"/>
    <w:rsid w:val="007C5DD0"/>
    <w:rsid w:val="007D0ADF"/>
    <w:rsid w:val="007D1298"/>
    <w:rsid w:val="007D1439"/>
    <w:rsid w:val="007D18E0"/>
    <w:rsid w:val="007D27BC"/>
    <w:rsid w:val="007D2B1D"/>
    <w:rsid w:val="007D2BB8"/>
    <w:rsid w:val="007D5CA9"/>
    <w:rsid w:val="007D695F"/>
    <w:rsid w:val="007E4E95"/>
    <w:rsid w:val="007E5BD2"/>
    <w:rsid w:val="007F0353"/>
    <w:rsid w:val="007F0BF1"/>
    <w:rsid w:val="007F4964"/>
    <w:rsid w:val="007F7FA4"/>
    <w:rsid w:val="00800E72"/>
    <w:rsid w:val="00803CB4"/>
    <w:rsid w:val="00805225"/>
    <w:rsid w:val="00811DF5"/>
    <w:rsid w:val="008137D5"/>
    <w:rsid w:val="00814F16"/>
    <w:rsid w:val="008202B0"/>
    <w:rsid w:val="00821F4B"/>
    <w:rsid w:val="00822B79"/>
    <w:rsid w:val="00822FE0"/>
    <w:rsid w:val="008238B1"/>
    <w:rsid w:val="00826193"/>
    <w:rsid w:val="008273D7"/>
    <w:rsid w:val="00833757"/>
    <w:rsid w:val="00833D43"/>
    <w:rsid w:val="008451C1"/>
    <w:rsid w:val="00845B74"/>
    <w:rsid w:val="008479DD"/>
    <w:rsid w:val="00851FDC"/>
    <w:rsid w:val="008531FF"/>
    <w:rsid w:val="00853ADF"/>
    <w:rsid w:val="008559B8"/>
    <w:rsid w:val="00863AD7"/>
    <w:rsid w:val="00864DD3"/>
    <w:rsid w:val="008661D7"/>
    <w:rsid w:val="00866277"/>
    <w:rsid w:val="00867CFC"/>
    <w:rsid w:val="008727B7"/>
    <w:rsid w:val="00872D9B"/>
    <w:rsid w:val="00872F18"/>
    <w:rsid w:val="008730EB"/>
    <w:rsid w:val="00874EF7"/>
    <w:rsid w:val="008753B7"/>
    <w:rsid w:val="00876312"/>
    <w:rsid w:val="00883F30"/>
    <w:rsid w:val="008860BE"/>
    <w:rsid w:val="008942C9"/>
    <w:rsid w:val="008A6693"/>
    <w:rsid w:val="008B3332"/>
    <w:rsid w:val="008B449D"/>
    <w:rsid w:val="008C22B3"/>
    <w:rsid w:val="008D06D3"/>
    <w:rsid w:val="008D1B39"/>
    <w:rsid w:val="008D3307"/>
    <w:rsid w:val="008E57BB"/>
    <w:rsid w:val="008E6C4D"/>
    <w:rsid w:val="008E6F0C"/>
    <w:rsid w:val="008E75C5"/>
    <w:rsid w:val="008E7F29"/>
    <w:rsid w:val="008F00F3"/>
    <w:rsid w:val="008F3D6B"/>
    <w:rsid w:val="008F5A12"/>
    <w:rsid w:val="008F7F87"/>
    <w:rsid w:val="00900981"/>
    <w:rsid w:val="00901F7B"/>
    <w:rsid w:val="00902A65"/>
    <w:rsid w:val="0090315B"/>
    <w:rsid w:val="00907579"/>
    <w:rsid w:val="0091609B"/>
    <w:rsid w:val="0092091E"/>
    <w:rsid w:val="00923793"/>
    <w:rsid w:val="009255A2"/>
    <w:rsid w:val="00926E5F"/>
    <w:rsid w:val="00930617"/>
    <w:rsid w:val="00931376"/>
    <w:rsid w:val="00931D5A"/>
    <w:rsid w:val="00934F8D"/>
    <w:rsid w:val="00935EEF"/>
    <w:rsid w:val="00936D01"/>
    <w:rsid w:val="009431CA"/>
    <w:rsid w:val="00950310"/>
    <w:rsid w:val="00953F07"/>
    <w:rsid w:val="00956349"/>
    <w:rsid w:val="00957DF3"/>
    <w:rsid w:val="0096036D"/>
    <w:rsid w:val="00974B55"/>
    <w:rsid w:val="00980874"/>
    <w:rsid w:val="0098654C"/>
    <w:rsid w:val="00990EA4"/>
    <w:rsid w:val="009944A4"/>
    <w:rsid w:val="00994743"/>
    <w:rsid w:val="009958E4"/>
    <w:rsid w:val="00997B12"/>
    <w:rsid w:val="009A1ADB"/>
    <w:rsid w:val="009A619E"/>
    <w:rsid w:val="009A62E2"/>
    <w:rsid w:val="009A666B"/>
    <w:rsid w:val="009A6841"/>
    <w:rsid w:val="009A76C8"/>
    <w:rsid w:val="009B0CE7"/>
    <w:rsid w:val="009B1790"/>
    <w:rsid w:val="009B2161"/>
    <w:rsid w:val="009B32D9"/>
    <w:rsid w:val="009B6056"/>
    <w:rsid w:val="009B699B"/>
    <w:rsid w:val="009B6BB8"/>
    <w:rsid w:val="009C3C41"/>
    <w:rsid w:val="009E245A"/>
    <w:rsid w:val="009E7D89"/>
    <w:rsid w:val="009F08AD"/>
    <w:rsid w:val="009F1434"/>
    <w:rsid w:val="009F264E"/>
    <w:rsid w:val="009F4F48"/>
    <w:rsid w:val="009F753A"/>
    <w:rsid w:val="00A10E72"/>
    <w:rsid w:val="00A17DA3"/>
    <w:rsid w:val="00A21B03"/>
    <w:rsid w:val="00A2219C"/>
    <w:rsid w:val="00A247A2"/>
    <w:rsid w:val="00A26E0B"/>
    <w:rsid w:val="00A33635"/>
    <w:rsid w:val="00A34F1F"/>
    <w:rsid w:val="00A41C8E"/>
    <w:rsid w:val="00A4212B"/>
    <w:rsid w:val="00A43875"/>
    <w:rsid w:val="00A4439C"/>
    <w:rsid w:val="00A45297"/>
    <w:rsid w:val="00A464CB"/>
    <w:rsid w:val="00A50219"/>
    <w:rsid w:val="00A5026A"/>
    <w:rsid w:val="00A515F5"/>
    <w:rsid w:val="00A52629"/>
    <w:rsid w:val="00A606D4"/>
    <w:rsid w:val="00A622D5"/>
    <w:rsid w:val="00A63677"/>
    <w:rsid w:val="00A6396D"/>
    <w:rsid w:val="00A64232"/>
    <w:rsid w:val="00A77243"/>
    <w:rsid w:val="00A82694"/>
    <w:rsid w:val="00A85447"/>
    <w:rsid w:val="00A937D9"/>
    <w:rsid w:val="00A9478C"/>
    <w:rsid w:val="00AA3053"/>
    <w:rsid w:val="00AA54A6"/>
    <w:rsid w:val="00AA72F5"/>
    <w:rsid w:val="00AB0016"/>
    <w:rsid w:val="00AB1949"/>
    <w:rsid w:val="00AB1B0F"/>
    <w:rsid w:val="00AB3E7F"/>
    <w:rsid w:val="00AB7C11"/>
    <w:rsid w:val="00AC427C"/>
    <w:rsid w:val="00AC5E5C"/>
    <w:rsid w:val="00AD04F0"/>
    <w:rsid w:val="00AD2868"/>
    <w:rsid w:val="00AD5786"/>
    <w:rsid w:val="00AD6893"/>
    <w:rsid w:val="00AE185D"/>
    <w:rsid w:val="00AE2045"/>
    <w:rsid w:val="00AE46B0"/>
    <w:rsid w:val="00AE4CB3"/>
    <w:rsid w:val="00AE628E"/>
    <w:rsid w:val="00AF15B9"/>
    <w:rsid w:val="00AF4849"/>
    <w:rsid w:val="00AF5252"/>
    <w:rsid w:val="00B00836"/>
    <w:rsid w:val="00B0134F"/>
    <w:rsid w:val="00B02CE3"/>
    <w:rsid w:val="00B052C3"/>
    <w:rsid w:val="00B12771"/>
    <w:rsid w:val="00B15312"/>
    <w:rsid w:val="00B2185C"/>
    <w:rsid w:val="00B265C0"/>
    <w:rsid w:val="00B30F4C"/>
    <w:rsid w:val="00B367BE"/>
    <w:rsid w:val="00B37065"/>
    <w:rsid w:val="00B44C2D"/>
    <w:rsid w:val="00B45A07"/>
    <w:rsid w:val="00B46767"/>
    <w:rsid w:val="00B46D2F"/>
    <w:rsid w:val="00B46E23"/>
    <w:rsid w:val="00B47884"/>
    <w:rsid w:val="00B47C54"/>
    <w:rsid w:val="00B52061"/>
    <w:rsid w:val="00B52859"/>
    <w:rsid w:val="00B53C27"/>
    <w:rsid w:val="00B61EC4"/>
    <w:rsid w:val="00B6412E"/>
    <w:rsid w:val="00B649D5"/>
    <w:rsid w:val="00B65E0D"/>
    <w:rsid w:val="00B66A21"/>
    <w:rsid w:val="00B67C0D"/>
    <w:rsid w:val="00B707C0"/>
    <w:rsid w:val="00B73AA7"/>
    <w:rsid w:val="00B7626D"/>
    <w:rsid w:val="00B773E9"/>
    <w:rsid w:val="00B809B3"/>
    <w:rsid w:val="00B850D9"/>
    <w:rsid w:val="00B855FB"/>
    <w:rsid w:val="00B86D1B"/>
    <w:rsid w:val="00B9188E"/>
    <w:rsid w:val="00B94860"/>
    <w:rsid w:val="00B97F67"/>
    <w:rsid w:val="00BA08C8"/>
    <w:rsid w:val="00BA0A58"/>
    <w:rsid w:val="00BA2163"/>
    <w:rsid w:val="00BA2F0A"/>
    <w:rsid w:val="00BA3C12"/>
    <w:rsid w:val="00BA5BF2"/>
    <w:rsid w:val="00BB2F20"/>
    <w:rsid w:val="00BB3628"/>
    <w:rsid w:val="00BB5AEE"/>
    <w:rsid w:val="00BC1C41"/>
    <w:rsid w:val="00BC4290"/>
    <w:rsid w:val="00BD1068"/>
    <w:rsid w:val="00BD26AD"/>
    <w:rsid w:val="00BD56BC"/>
    <w:rsid w:val="00BD653C"/>
    <w:rsid w:val="00BE1A35"/>
    <w:rsid w:val="00BE2ADA"/>
    <w:rsid w:val="00BE30B7"/>
    <w:rsid w:val="00BF0BF7"/>
    <w:rsid w:val="00BF0C78"/>
    <w:rsid w:val="00BF26C7"/>
    <w:rsid w:val="00BF30D3"/>
    <w:rsid w:val="00BF3A67"/>
    <w:rsid w:val="00BF5713"/>
    <w:rsid w:val="00BF59F6"/>
    <w:rsid w:val="00BF715D"/>
    <w:rsid w:val="00C07F95"/>
    <w:rsid w:val="00C1079D"/>
    <w:rsid w:val="00C10FE4"/>
    <w:rsid w:val="00C13753"/>
    <w:rsid w:val="00C1542A"/>
    <w:rsid w:val="00C2005E"/>
    <w:rsid w:val="00C220B7"/>
    <w:rsid w:val="00C26502"/>
    <w:rsid w:val="00C26570"/>
    <w:rsid w:val="00C353A0"/>
    <w:rsid w:val="00C36682"/>
    <w:rsid w:val="00C42324"/>
    <w:rsid w:val="00C478EA"/>
    <w:rsid w:val="00C47C4A"/>
    <w:rsid w:val="00C510FD"/>
    <w:rsid w:val="00C51E33"/>
    <w:rsid w:val="00C554E6"/>
    <w:rsid w:val="00C57074"/>
    <w:rsid w:val="00C62BDF"/>
    <w:rsid w:val="00C673B0"/>
    <w:rsid w:val="00C71169"/>
    <w:rsid w:val="00C75F3D"/>
    <w:rsid w:val="00C81384"/>
    <w:rsid w:val="00C84D56"/>
    <w:rsid w:val="00C853D8"/>
    <w:rsid w:val="00C8566C"/>
    <w:rsid w:val="00C85810"/>
    <w:rsid w:val="00C87783"/>
    <w:rsid w:val="00C944EC"/>
    <w:rsid w:val="00C96E11"/>
    <w:rsid w:val="00C973F7"/>
    <w:rsid w:val="00CA0F72"/>
    <w:rsid w:val="00CA11F2"/>
    <w:rsid w:val="00CA1FBA"/>
    <w:rsid w:val="00CA24C5"/>
    <w:rsid w:val="00CA6C32"/>
    <w:rsid w:val="00CA7BD3"/>
    <w:rsid w:val="00CB005D"/>
    <w:rsid w:val="00CB08A8"/>
    <w:rsid w:val="00CB1B4E"/>
    <w:rsid w:val="00CB67EA"/>
    <w:rsid w:val="00CB763E"/>
    <w:rsid w:val="00CC3865"/>
    <w:rsid w:val="00CC401B"/>
    <w:rsid w:val="00CC57BE"/>
    <w:rsid w:val="00CD00EA"/>
    <w:rsid w:val="00CD1B7E"/>
    <w:rsid w:val="00CD7E8A"/>
    <w:rsid w:val="00CE27F9"/>
    <w:rsid w:val="00CE2EA8"/>
    <w:rsid w:val="00CE6739"/>
    <w:rsid w:val="00CF0AE4"/>
    <w:rsid w:val="00CF7676"/>
    <w:rsid w:val="00D00A11"/>
    <w:rsid w:val="00D031F3"/>
    <w:rsid w:val="00D056BA"/>
    <w:rsid w:val="00D06294"/>
    <w:rsid w:val="00D07D43"/>
    <w:rsid w:val="00D10420"/>
    <w:rsid w:val="00D15B0D"/>
    <w:rsid w:val="00D15C36"/>
    <w:rsid w:val="00D20F0C"/>
    <w:rsid w:val="00D21FE0"/>
    <w:rsid w:val="00D2329A"/>
    <w:rsid w:val="00D25918"/>
    <w:rsid w:val="00D272A6"/>
    <w:rsid w:val="00D30C5D"/>
    <w:rsid w:val="00D328B8"/>
    <w:rsid w:val="00D33634"/>
    <w:rsid w:val="00D3591A"/>
    <w:rsid w:val="00D40910"/>
    <w:rsid w:val="00D43FC8"/>
    <w:rsid w:val="00D47A1D"/>
    <w:rsid w:val="00D51D40"/>
    <w:rsid w:val="00D52F90"/>
    <w:rsid w:val="00D64CBB"/>
    <w:rsid w:val="00D73308"/>
    <w:rsid w:val="00D73367"/>
    <w:rsid w:val="00D74CFF"/>
    <w:rsid w:val="00D8797B"/>
    <w:rsid w:val="00D905D6"/>
    <w:rsid w:val="00D92CCD"/>
    <w:rsid w:val="00D9396F"/>
    <w:rsid w:val="00D97C29"/>
    <w:rsid w:val="00DA1322"/>
    <w:rsid w:val="00DA3DB5"/>
    <w:rsid w:val="00DA4AE9"/>
    <w:rsid w:val="00DB0E58"/>
    <w:rsid w:val="00DB66E9"/>
    <w:rsid w:val="00DC08E0"/>
    <w:rsid w:val="00DC1396"/>
    <w:rsid w:val="00DC6DF0"/>
    <w:rsid w:val="00DC781A"/>
    <w:rsid w:val="00DD6D1B"/>
    <w:rsid w:val="00DE1FDE"/>
    <w:rsid w:val="00DE1FE4"/>
    <w:rsid w:val="00DE2E58"/>
    <w:rsid w:val="00DE549E"/>
    <w:rsid w:val="00DF0220"/>
    <w:rsid w:val="00DF568F"/>
    <w:rsid w:val="00E003D2"/>
    <w:rsid w:val="00E03378"/>
    <w:rsid w:val="00E04954"/>
    <w:rsid w:val="00E04BD8"/>
    <w:rsid w:val="00E05E0F"/>
    <w:rsid w:val="00E06D63"/>
    <w:rsid w:val="00E107BB"/>
    <w:rsid w:val="00E14146"/>
    <w:rsid w:val="00E1603B"/>
    <w:rsid w:val="00E17112"/>
    <w:rsid w:val="00E22EA9"/>
    <w:rsid w:val="00E24A6B"/>
    <w:rsid w:val="00E2660D"/>
    <w:rsid w:val="00E30184"/>
    <w:rsid w:val="00E32A42"/>
    <w:rsid w:val="00E35E0F"/>
    <w:rsid w:val="00E36C28"/>
    <w:rsid w:val="00E36F6B"/>
    <w:rsid w:val="00E371D1"/>
    <w:rsid w:val="00E44055"/>
    <w:rsid w:val="00E4431B"/>
    <w:rsid w:val="00E47EB2"/>
    <w:rsid w:val="00E53738"/>
    <w:rsid w:val="00E61227"/>
    <w:rsid w:val="00E65AB9"/>
    <w:rsid w:val="00E660E7"/>
    <w:rsid w:val="00E6710A"/>
    <w:rsid w:val="00E71B63"/>
    <w:rsid w:val="00E84F3B"/>
    <w:rsid w:val="00E919DB"/>
    <w:rsid w:val="00E92CC3"/>
    <w:rsid w:val="00E95C98"/>
    <w:rsid w:val="00E96594"/>
    <w:rsid w:val="00EA1C9E"/>
    <w:rsid w:val="00EA2676"/>
    <w:rsid w:val="00EA6697"/>
    <w:rsid w:val="00EA736A"/>
    <w:rsid w:val="00EB0DB3"/>
    <w:rsid w:val="00EB144C"/>
    <w:rsid w:val="00EB3A0C"/>
    <w:rsid w:val="00EB6860"/>
    <w:rsid w:val="00EC4414"/>
    <w:rsid w:val="00EC5178"/>
    <w:rsid w:val="00EC7DFE"/>
    <w:rsid w:val="00ED19A9"/>
    <w:rsid w:val="00ED3FD5"/>
    <w:rsid w:val="00ED450F"/>
    <w:rsid w:val="00ED5F67"/>
    <w:rsid w:val="00ED7450"/>
    <w:rsid w:val="00EE1C5F"/>
    <w:rsid w:val="00EF0113"/>
    <w:rsid w:val="00EF08AE"/>
    <w:rsid w:val="00EF24DF"/>
    <w:rsid w:val="00EF2813"/>
    <w:rsid w:val="00EF480F"/>
    <w:rsid w:val="00EF4B63"/>
    <w:rsid w:val="00EF5790"/>
    <w:rsid w:val="00EF5916"/>
    <w:rsid w:val="00F03FD7"/>
    <w:rsid w:val="00F0602A"/>
    <w:rsid w:val="00F060A7"/>
    <w:rsid w:val="00F07349"/>
    <w:rsid w:val="00F12C6B"/>
    <w:rsid w:val="00F15F19"/>
    <w:rsid w:val="00F17EBA"/>
    <w:rsid w:val="00F23C32"/>
    <w:rsid w:val="00F256A6"/>
    <w:rsid w:val="00F25D7E"/>
    <w:rsid w:val="00F265D6"/>
    <w:rsid w:val="00F334AA"/>
    <w:rsid w:val="00F35FCC"/>
    <w:rsid w:val="00F40A56"/>
    <w:rsid w:val="00F44489"/>
    <w:rsid w:val="00F475EF"/>
    <w:rsid w:val="00F5003E"/>
    <w:rsid w:val="00F5478B"/>
    <w:rsid w:val="00F56012"/>
    <w:rsid w:val="00F62E9D"/>
    <w:rsid w:val="00F7183A"/>
    <w:rsid w:val="00F75CDE"/>
    <w:rsid w:val="00F7756F"/>
    <w:rsid w:val="00F77B94"/>
    <w:rsid w:val="00F84450"/>
    <w:rsid w:val="00F84E5A"/>
    <w:rsid w:val="00F91EE4"/>
    <w:rsid w:val="00F93966"/>
    <w:rsid w:val="00FA073F"/>
    <w:rsid w:val="00FB001F"/>
    <w:rsid w:val="00FB1817"/>
    <w:rsid w:val="00FB7172"/>
    <w:rsid w:val="00FB7ED8"/>
    <w:rsid w:val="00FC2B72"/>
    <w:rsid w:val="00FC31CD"/>
    <w:rsid w:val="00FC3FB7"/>
    <w:rsid w:val="00FC7344"/>
    <w:rsid w:val="00FD0B6F"/>
    <w:rsid w:val="00FD13FB"/>
    <w:rsid w:val="00FD2F4A"/>
    <w:rsid w:val="00FD34C6"/>
    <w:rsid w:val="00FD3F3F"/>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character" w:styleId="CommentReference">
    <w:name w:val="annotation reference"/>
    <w:basedOn w:val="DefaultParagraphFont"/>
    <w:uiPriority w:val="99"/>
    <w:semiHidden/>
    <w:unhideWhenUsed/>
    <w:rsid w:val="005E2ED0"/>
    <w:rPr>
      <w:sz w:val="16"/>
      <w:szCs w:val="16"/>
    </w:rPr>
  </w:style>
  <w:style w:type="paragraph" w:styleId="CommentText">
    <w:name w:val="annotation text"/>
    <w:basedOn w:val="Normal"/>
    <w:link w:val="CommentTextChar"/>
    <w:uiPriority w:val="99"/>
    <w:semiHidden/>
    <w:unhideWhenUsed/>
    <w:rsid w:val="005E2ED0"/>
    <w:pPr>
      <w:spacing w:line="240" w:lineRule="auto"/>
    </w:pPr>
    <w:rPr>
      <w:sz w:val="20"/>
      <w:szCs w:val="20"/>
    </w:rPr>
  </w:style>
  <w:style w:type="character" w:customStyle="1" w:styleId="CommentTextChar">
    <w:name w:val="Comment Text Char"/>
    <w:basedOn w:val="DefaultParagraphFont"/>
    <w:link w:val="CommentText"/>
    <w:uiPriority w:val="99"/>
    <w:semiHidden/>
    <w:rsid w:val="005E2ED0"/>
    <w:rPr>
      <w:sz w:val="20"/>
      <w:szCs w:val="20"/>
    </w:rPr>
  </w:style>
  <w:style w:type="paragraph" w:styleId="CommentSubject">
    <w:name w:val="annotation subject"/>
    <w:basedOn w:val="CommentText"/>
    <w:next w:val="CommentText"/>
    <w:link w:val="CommentSubjectChar"/>
    <w:uiPriority w:val="99"/>
    <w:semiHidden/>
    <w:unhideWhenUsed/>
    <w:rsid w:val="005E2ED0"/>
    <w:rPr>
      <w:b/>
      <w:bCs/>
    </w:rPr>
  </w:style>
  <w:style w:type="character" w:customStyle="1" w:styleId="CommentSubjectChar">
    <w:name w:val="Comment Subject Char"/>
    <w:basedOn w:val="CommentTextChar"/>
    <w:link w:val="CommentSubject"/>
    <w:uiPriority w:val="99"/>
    <w:semiHidden/>
    <w:rsid w:val="005E2E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davidstevens@uta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D001A-88D4-429B-AC28-79B3B8893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1865</Words>
  <Characters>10744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184</cp:revision>
  <cp:lastPrinted>2011-06-21T20:32:00Z</cp:lastPrinted>
  <dcterms:created xsi:type="dcterms:W3CDTF">2016-01-13T22:55:00Z</dcterms:created>
  <dcterms:modified xsi:type="dcterms:W3CDTF">2016-01-14T17:51:00Z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