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C1079D" w:rsidP="00C1079D">
            <w:pPr>
              <w:spacing w:after="0" w:line="240" w:lineRule="auto"/>
              <w:ind w:right="-108"/>
              <w:rPr>
                <w:rFonts w:ascii="Arial" w:hAnsi="Arial" w:cs="Arial"/>
                <w:b/>
                <w:sz w:val="20"/>
                <w:szCs w:val="20"/>
              </w:rPr>
            </w:pPr>
            <w:r>
              <w:rPr>
                <w:rFonts w:ascii="Arial" w:hAnsi="Arial" w:cs="Arial"/>
                <w:b/>
                <w:sz w:val="20"/>
                <w:szCs w:val="20"/>
              </w:rPr>
              <w:t>TPF-5(296</w:t>
            </w:r>
            <w:r w:rsidR="000C209F"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F265D6"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F265D6" w:rsidRPr="00F265D6">
              <w:rPr>
                <w:rFonts w:ascii="Arial" w:hAnsi="Arial" w:cs="Arial"/>
                <w:sz w:val="36"/>
                <w:szCs w:val="36"/>
                <w:u w:val="single"/>
              </w:rPr>
              <w:t>_</w:t>
            </w:r>
            <w:r w:rsidRPr="00F265D6">
              <w:rPr>
                <w:rFonts w:ascii="Arial" w:hAnsi="Arial" w:cs="Arial"/>
                <w:sz w:val="36"/>
                <w:szCs w:val="36"/>
              </w:rPr>
              <w:t xml:space="preserve"> </w:t>
            </w:r>
            <w:r w:rsidRPr="00F265D6">
              <w:rPr>
                <w:rFonts w:ascii="Arial" w:hAnsi="Arial" w:cs="Arial"/>
                <w:sz w:val="20"/>
                <w:szCs w:val="20"/>
              </w:rPr>
              <w:t>Quarter 1 (January 1 – March 31</w:t>
            </w:r>
            <w:r w:rsidR="005C75FE" w:rsidRPr="00F265D6">
              <w:rPr>
                <w:rFonts w:ascii="Arial" w:hAnsi="Arial" w:cs="Arial"/>
                <w:sz w:val="20"/>
                <w:szCs w:val="20"/>
              </w:rPr>
              <w:t xml:space="preserve">, </w:t>
            </w:r>
            <w:r w:rsidR="003E4DE4" w:rsidRPr="00F265D6">
              <w:rPr>
                <w:rFonts w:ascii="Arial" w:hAnsi="Arial" w:cs="Arial"/>
                <w:sz w:val="20"/>
                <w:szCs w:val="20"/>
              </w:rPr>
              <w:t>201</w:t>
            </w:r>
            <w:r w:rsidR="00631C35" w:rsidRPr="00F265D6">
              <w:rPr>
                <w:rFonts w:ascii="Arial" w:hAnsi="Arial" w:cs="Arial"/>
                <w:sz w:val="20"/>
                <w:szCs w:val="20"/>
              </w:rPr>
              <w:t>5</w:t>
            </w:r>
            <w:r w:rsidRPr="00F265D6">
              <w:rPr>
                <w:rFonts w:ascii="Arial" w:hAnsi="Arial" w:cs="Arial"/>
                <w:sz w:val="20"/>
                <w:szCs w:val="20"/>
              </w:rPr>
              <w:t>)</w:t>
            </w:r>
          </w:p>
          <w:p w:rsidR="000C209F" w:rsidRPr="000556F2" w:rsidRDefault="000C209F" w:rsidP="00360664">
            <w:pPr>
              <w:spacing w:after="0" w:line="240" w:lineRule="auto"/>
              <w:ind w:left="-108" w:right="-108"/>
              <w:rPr>
                <w:rFonts w:ascii="Arial" w:hAnsi="Arial" w:cs="Arial"/>
                <w:sz w:val="20"/>
                <w:szCs w:val="20"/>
              </w:rPr>
            </w:pPr>
            <w:r w:rsidRPr="000556F2">
              <w:rPr>
                <w:rFonts w:ascii="Arial" w:hAnsi="Arial" w:cs="Arial"/>
                <w:sz w:val="36"/>
                <w:szCs w:val="36"/>
              </w:rPr>
              <w:t xml:space="preserve"> </w:t>
            </w:r>
            <w:r w:rsidR="000556F2" w:rsidRPr="000556F2">
              <w:rPr>
                <w:rFonts w:ascii="Arial" w:hAnsi="Arial" w:cs="Arial"/>
                <w:sz w:val="36"/>
                <w:szCs w:val="36"/>
              </w:rPr>
              <w:t>_</w:t>
            </w:r>
            <w:r w:rsidR="00C47C4A" w:rsidRPr="000556F2">
              <w:rPr>
                <w:rFonts w:ascii="Arial" w:hAnsi="Arial" w:cs="Arial"/>
                <w:sz w:val="36"/>
                <w:szCs w:val="36"/>
              </w:rPr>
              <w:t xml:space="preserve"> </w:t>
            </w:r>
            <w:r w:rsidRPr="000556F2">
              <w:rPr>
                <w:rFonts w:ascii="Arial" w:hAnsi="Arial" w:cs="Arial"/>
                <w:sz w:val="20"/>
                <w:szCs w:val="20"/>
              </w:rPr>
              <w:t>Quarter 2 (April 1 – June 30</w:t>
            </w:r>
            <w:r w:rsidR="002C4321" w:rsidRPr="000556F2">
              <w:rPr>
                <w:rFonts w:ascii="Arial" w:hAnsi="Arial" w:cs="Arial"/>
                <w:sz w:val="20"/>
                <w:szCs w:val="20"/>
              </w:rPr>
              <w:t>, 201</w:t>
            </w:r>
            <w:r w:rsidR="00631C35" w:rsidRPr="000556F2">
              <w:rPr>
                <w:rFonts w:ascii="Arial" w:hAnsi="Arial" w:cs="Arial"/>
                <w:sz w:val="20"/>
                <w:szCs w:val="20"/>
              </w:rPr>
              <w:t>5</w:t>
            </w:r>
            <w:r w:rsidRPr="000556F2">
              <w:rPr>
                <w:rFonts w:ascii="Arial" w:hAnsi="Arial" w:cs="Arial"/>
                <w:sz w:val="20"/>
                <w:szCs w:val="20"/>
              </w:rPr>
              <w:t>)</w:t>
            </w:r>
          </w:p>
          <w:p w:rsidR="000C209F" w:rsidRPr="000556F2" w:rsidRDefault="000556F2" w:rsidP="00360664">
            <w:pPr>
              <w:spacing w:after="0" w:line="240" w:lineRule="auto"/>
              <w:ind w:right="-720"/>
              <w:rPr>
                <w:rFonts w:ascii="Arial" w:hAnsi="Arial" w:cs="Arial"/>
                <w:b/>
                <w:sz w:val="20"/>
                <w:szCs w:val="20"/>
              </w:rPr>
            </w:pPr>
            <w:r w:rsidRPr="000556F2">
              <w:rPr>
                <w:rFonts w:ascii="Arial" w:hAnsi="Arial" w:cs="Arial"/>
                <w:b/>
                <w:sz w:val="36"/>
                <w:szCs w:val="36"/>
                <w:u w:val="single"/>
              </w:rPr>
              <w:t>x</w:t>
            </w:r>
            <w:r w:rsidR="001D763A" w:rsidRPr="000556F2">
              <w:rPr>
                <w:rFonts w:ascii="Arial" w:hAnsi="Arial" w:cs="Arial"/>
                <w:b/>
                <w:sz w:val="36"/>
                <w:szCs w:val="36"/>
              </w:rPr>
              <w:t xml:space="preserve"> </w:t>
            </w:r>
            <w:r w:rsidR="000C209F" w:rsidRPr="000556F2">
              <w:rPr>
                <w:rFonts w:ascii="Arial" w:hAnsi="Arial" w:cs="Arial"/>
                <w:b/>
                <w:sz w:val="20"/>
                <w:szCs w:val="20"/>
              </w:rPr>
              <w:t>Quarter 3 (July 1 – September 30</w:t>
            </w:r>
            <w:r w:rsidR="002C4321" w:rsidRPr="000556F2">
              <w:rPr>
                <w:rFonts w:ascii="Arial" w:hAnsi="Arial" w:cs="Arial"/>
                <w:b/>
                <w:sz w:val="20"/>
                <w:szCs w:val="20"/>
              </w:rPr>
              <w:t>, 201</w:t>
            </w:r>
            <w:r w:rsidR="00631C35" w:rsidRPr="000556F2">
              <w:rPr>
                <w:rFonts w:ascii="Arial" w:hAnsi="Arial" w:cs="Arial"/>
                <w:b/>
                <w:sz w:val="20"/>
                <w:szCs w:val="20"/>
              </w:rPr>
              <w:t>5</w:t>
            </w:r>
            <w:r w:rsidR="000C209F" w:rsidRPr="000556F2">
              <w:rPr>
                <w:rFonts w:ascii="Arial" w:hAnsi="Arial" w:cs="Arial"/>
                <w:b/>
                <w:sz w:val="20"/>
                <w:szCs w:val="20"/>
              </w:rPr>
              <w:t>)</w:t>
            </w:r>
          </w:p>
          <w:p w:rsidR="000C209F" w:rsidRPr="00631C35" w:rsidRDefault="00631C35" w:rsidP="00631C35">
            <w:pPr>
              <w:spacing w:after="0" w:line="240" w:lineRule="auto"/>
              <w:ind w:right="-720"/>
              <w:rPr>
                <w:rFonts w:ascii="Arial" w:hAnsi="Arial" w:cs="Arial"/>
                <w:sz w:val="20"/>
                <w:szCs w:val="20"/>
              </w:rPr>
            </w:pPr>
            <w:r w:rsidRPr="002E3814">
              <w:rPr>
                <w:rFonts w:ascii="Arial" w:hAnsi="Arial" w:cs="Arial"/>
                <w:sz w:val="36"/>
                <w:szCs w:val="36"/>
                <w:u w:val="single"/>
              </w:rPr>
              <w:t>_</w:t>
            </w:r>
            <w:r w:rsidR="00532264" w:rsidRPr="00631C35">
              <w:rPr>
                <w:rFonts w:ascii="Arial" w:hAnsi="Arial" w:cs="Arial"/>
                <w:sz w:val="36"/>
                <w:szCs w:val="36"/>
              </w:rPr>
              <w:t xml:space="preserve"> </w:t>
            </w:r>
            <w:r w:rsidR="000C209F" w:rsidRPr="00631C35">
              <w:rPr>
                <w:rFonts w:ascii="Arial" w:hAnsi="Arial" w:cs="Arial"/>
                <w:sz w:val="20"/>
                <w:szCs w:val="20"/>
              </w:rPr>
              <w:t xml:space="preserve">Quarter </w:t>
            </w:r>
            <w:r w:rsidR="005C75FE" w:rsidRPr="00631C35">
              <w:rPr>
                <w:rFonts w:ascii="Arial" w:hAnsi="Arial" w:cs="Arial"/>
                <w:sz w:val="20"/>
                <w:szCs w:val="20"/>
              </w:rPr>
              <w:t>4 (October 1 – December 31</w:t>
            </w:r>
            <w:r w:rsidR="002C4321" w:rsidRPr="00631C35">
              <w:rPr>
                <w:rFonts w:ascii="Arial" w:hAnsi="Arial" w:cs="Arial"/>
                <w:sz w:val="20"/>
                <w:szCs w:val="20"/>
              </w:rPr>
              <w:t>, 201</w:t>
            </w:r>
            <w:r w:rsidRPr="00631C35">
              <w:rPr>
                <w:rFonts w:ascii="Arial" w:hAnsi="Arial" w:cs="Arial"/>
                <w:sz w:val="20"/>
                <w:szCs w:val="20"/>
              </w:rPr>
              <w:t>5</w:t>
            </w:r>
            <w:r w:rsidR="000C209F" w:rsidRPr="00631C35">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C1079D" w:rsidP="00360664">
            <w:pPr>
              <w:spacing w:after="0" w:line="240" w:lineRule="auto"/>
              <w:ind w:right="-108"/>
              <w:rPr>
                <w:rFonts w:ascii="Arial" w:hAnsi="Arial" w:cs="Arial"/>
                <w:sz w:val="20"/>
                <w:szCs w:val="20"/>
              </w:rPr>
            </w:pPr>
            <w:r w:rsidRPr="00C1079D">
              <w:rPr>
                <w:rFonts w:ascii="Arial" w:hAnsi="Arial" w:cs="Arial"/>
                <w:sz w:val="20"/>
                <w:szCs w:val="20"/>
              </w:rPr>
              <w:t>Simplified SPT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sidRPr="001C1DDE">
              <w:rPr>
                <w:rFonts w:ascii="Arial" w:hAnsi="Arial" w:cs="Arial"/>
                <w:sz w:val="20"/>
                <w:szCs w:val="20"/>
              </w:rPr>
              <w:t>November 30, 2016</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Pr="00BE2ADA">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BE2ADA">
            <w:pPr>
              <w:spacing w:after="0" w:line="240" w:lineRule="auto"/>
              <w:ind w:right="-108"/>
              <w:jc w:val="center"/>
              <w:rPr>
                <w:rFonts w:ascii="Arial" w:hAnsi="Arial" w:cs="Arial"/>
                <w:sz w:val="20"/>
                <w:szCs w:val="20"/>
              </w:rPr>
            </w:pPr>
            <w:r>
              <w:rPr>
                <w:rFonts w:ascii="Arial" w:hAnsi="Arial" w:cs="Arial"/>
                <w:sz w:val="20"/>
                <w:szCs w:val="20"/>
              </w:rPr>
              <w:t>$1</w:t>
            </w:r>
            <w:r w:rsidR="007449D3">
              <w:rPr>
                <w:rFonts w:ascii="Arial" w:hAnsi="Arial" w:cs="Arial"/>
                <w:sz w:val="20"/>
                <w:szCs w:val="20"/>
              </w:rPr>
              <w:t>4</w:t>
            </w:r>
            <w:r w:rsidR="00BE2ADA">
              <w:rPr>
                <w:rFonts w:ascii="Arial" w:hAnsi="Arial" w:cs="Arial"/>
                <w:sz w:val="20"/>
                <w:szCs w:val="20"/>
              </w:rPr>
              <w:t>9</w:t>
            </w:r>
            <w:r>
              <w:rPr>
                <w:rFonts w:ascii="Arial" w:hAnsi="Arial" w:cs="Arial"/>
                <w:sz w:val="20"/>
                <w:szCs w:val="20"/>
              </w:rPr>
              <w:t>,</w:t>
            </w:r>
            <w:r w:rsidR="00BE2ADA">
              <w:rPr>
                <w:rFonts w:ascii="Arial" w:hAnsi="Arial" w:cs="Arial"/>
                <w:sz w:val="20"/>
                <w:szCs w:val="20"/>
              </w:rPr>
              <w:t>500.00</w:t>
            </w:r>
            <w:r w:rsidR="00934F8D">
              <w:rPr>
                <w:rFonts w:ascii="Arial" w:hAnsi="Arial" w:cs="Arial"/>
                <w:sz w:val="20"/>
                <w:szCs w:val="20"/>
              </w:rPr>
              <w:t xml:space="preserve"> (current contract)</w:t>
            </w:r>
          </w:p>
          <w:p w:rsidR="00934F8D" w:rsidRPr="00360664" w:rsidRDefault="00934F8D" w:rsidP="00BE2ADA">
            <w:pPr>
              <w:spacing w:after="0" w:line="240" w:lineRule="auto"/>
              <w:ind w:right="-108"/>
              <w:jc w:val="center"/>
              <w:rPr>
                <w:rFonts w:ascii="Arial" w:hAnsi="Arial" w:cs="Arial"/>
                <w:sz w:val="20"/>
                <w:szCs w:val="20"/>
              </w:rPr>
            </w:pPr>
            <w:r>
              <w:rPr>
                <w:rFonts w:ascii="Arial" w:hAnsi="Arial" w:cs="Arial"/>
                <w:sz w:val="20"/>
                <w:szCs w:val="20"/>
              </w:rPr>
              <w:t>$167,500.00 (total commitments)</w:t>
            </w:r>
          </w:p>
        </w:tc>
        <w:tc>
          <w:tcPr>
            <w:tcW w:w="3330" w:type="dxa"/>
            <w:vAlign w:val="center"/>
          </w:tcPr>
          <w:p w:rsidR="000C209F" w:rsidRPr="00360664" w:rsidRDefault="006F1879" w:rsidP="00065B11">
            <w:pPr>
              <w:spacing w:after="0" w:line="240" w:lineRule="auto"/>
              <w:ind w:left="-108" w:right="-108"/>
              <w:jc w:val="center"/>
              <w:rPr>
                <w:rFonts w:ascii="Arial" w:hAnsi="Arial" w:cs="Arial"/>
                <w:sz w:val="20"/>
                <w:szCs w:val="20"/>
              </w:rPr>
            </w:pPr>
            <w:r>
              <w:rPr>
                <w:rFonts w:ascii="Arial" w:hAnsi="Arial" w:cs="Arial"/>
                <w:sz w:val="20"/>
                <w:szCs w:val="20"/>
              </w:rPr>
              <w:t>$</w:t>
            </w:r>
            <w:r w:rsidR="007459C3" w:rsidRPr="007459C3">
              <w:rPr>
                <w:rFonts w:ascii="Arial" w:hAnsi="Arial" w:cs="Arial"/>
                <w:sz w:val="20"/>
                <w:szCs w:val="20"/>
              </w:rPr>
              <w:t>71,750</w:t>
            </w:r>
          </w:p>
        </w:tc>
        <w:tc>
          <w:tcPr>
            <w:tcW w:w="3420" w:type="dxa"/>
            <w:vAlign w:val="center"/>
          </w:tcPr>
          <w:p w:rsidR="000C209F" w:rsidRPr="00360664" w:rsidRDefault="00934F8D" w:rsidP="00360664">
            <w:pPr>
              <w:spacing w:after="0" w:line="240" w:lineRule="auto"/>
              <w:ind w:left="-108" w:right="-108"/>
              <w:jc w:val="center"/>
              <w:rPr>
                <w:rFonts w:ascii="Arial" w:hAnsi="Arial" w:cs="Arial"/>
                <w:sz w:val="20"/>
                <w:szCs w:val="20"/>
              </w:rPr>
            </w:pPr>
            <w:r>
              <w:rPr>
                <w:rFonts w:ascii="Arial" w:hAnsi="Arial" w:cs="Arial"/>
                <w:sz w:val="20"/>
                <w:szCs w:val="20"/>
              </w:rPr>
              <w:t>6</w:t>
            </w:r>
            <w:r w:rsidR="007459C3">
              <w:rPr>
                <w:rFonts w:ascii="Arial" w:hAnsi="Arial" w:cs="Arial"/>
                <w:sz w:val="20"/>
                <w:szCs w:val="20"/>
              </w:rPr>
              <w:t>0</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934F8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934F8D">
            <w:pPr>
              <w:spacing w:after="0" w:line="240" w:lineRule="auto"/>
              <w:ind w:right="-108"/>
              <w:jc w:val="center"/>
              <w:rPr>
                <w:rFonts w:ascii="Arial" w:hAnsi="Arial" w:cs="Arial"/>
                <w:sz w:val="20"/>
                <w:szCs w:val="20"/>
              </w:rPr>
            </w:pPr>
            <w:r>
              <w:rPr>
                <w:rFonts w:ascii="Arial" w:hAnsi="Arial" w:cs="Arial"/>
                <w:sz w:val="20"/>
                <w:szCs w:val="20"/>
              </w:rPr>
              <w:t>$</w:t>
            </w:r>
            <w:r w:rsidR="00934F8D">
              <w:rPr>
                <w:rFonts w:ascii="Arial" w:hAnsi="Arial" w:cs="Arial"/>
                <w:sz w:val="20"/>
                <w:szCs w:val="20"/>
              </w:rPr>
              <w:t>0</w:t>
            </w:r>
          </w:p>
        </w:tc>
        <w:tc>
          <w:tcPr>
            <w:tcW w:w="3420" w:type="dxa"/>
          </w:tcPr>
          <w:p w:rsidR="000C209F" w:rsidRPr="00360664" w:rsidRDefault="002D0754" w:rsidP="00D47A1D">
            <w:pPr>
              <w:spacing w:after="0" w:line="240" w:lineRule="auto"/>
              <w:ind w:left="-108" w:right="-108"/>
              <w:jc w:val="center"/>
              <w:rPr>
                <w:rFonts w:ascii="Arial" w:hAnsi="Arial" w:cs="Arial"/>
                <w:sz w:val="20"/>
                <w:szCs w:val="20"/>
              </w:rPr>
            </w:pPr>
            <w:r>
              <w:rPr>
                <w:rFonts w:ascii="Arial" w:hAnsi="Arial" w:cs="Arial"/>
                <w:sz w:val="20"/>
                <w:szCs w:val="20"/>
              </w:rPr>
              <w:t>55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w:t>
            </w:r>
            <w:r>
              <w:rPr>
                <w:rFonts w:ascii="Arial" w:hAnsi="Arial" w:cs="Arial"/>
                <w:sz w:val="20"/>
                <w:szCs w:val="20"/>
              </w:rPr>
              <w:t>s and post-earthquake recovery.</w:t>
            </w:r>
          </w:p>
          <w:p w:rsidR="008E57BB" w:rsidRP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8E57BB">
              <w:rPr>
                <w:rFonts w:ascii="Arial" w:hAnsi="Arial" w:cs="Arial"/>
                <w:sz w:val="20"/>
                <w:szCs w:val="20"/>
              </w:rPr>
              <w:t>Rathje</w:t>
            </w:r>
            <w:proofErr w:type="spellEnd"/>
            <w:r w:rsidRPr="008E57BB">
              <w:rPr>
                <w:rFonts w:ascii="Arial" w:hAnsi="Arial" w:cs="Arial"/>
                <w:sz w:val="20"/>
                <w:szCs w:val="20"/>
              </w:rPr>
              <w:t xml:space="preserve"> and </w:t>
            </w:r>
            <w:proofErr w:type="spellStart"/>
            <w:r w:rsidRPr="008E57BB">
              <w:rPr>
                <w:rFonts w:ascii="Arial" w:hAnsi="Arial" w:cs="Arial"/>
                <w:sz w:val="20"/>
                <w:szCs w:val="20"/>
              </w:rPr>
              <w:t>Saygili</w:t>
            </w:r>
            <w:proofErr w:type="spellEnd"/>
            <w:r w:rsidRPr="008E57BB">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w:t>
            </w:r>
            <w:r>
              <w:rPr>
                <w:rFonts w:ascii="Arial" w:hAnsi="Arial" w:cs="Arial"/>
                <w:sz w:val="20"/>
                <w:szCs w:val="20"/>
              </w:rPr>
              <w:t xml:space="preserve"> of most practicing engineers.</w:t>
            </w:r>
          </w:p>
          <w:p w:rsid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This study proposes to create and evaluate </w:t>
            </w:r>
            <w:r w:rsidRPr="008E57BB">
              <w:rPr>
                <w:rFonts w:ascii="Arial" w:hAnsi="Arial" w:cs="Arial"/>
                <w:i/>
                <w:sz w:val="20"/>
                <w:szCs w:val="20"/>
              </w:rPr>
              <w:t>simplified</w:t>
            </w:r>
            <w:r w:rsidRPr="008E57BB">
              <w:rPr>
                <w:rFonts w:ascii="Arial" w:hAnsi="Arial" w:cs="Arial"/>
                <w:sz w:val="20"/>
                <w:szCs w:val="20"/>
              </w:rPr>
              <w:t xml:space="preserve"> performance-based design procedures for the </w:t>
            </w:r>
            <w:r w:rsidRPr="008E57BB">
              <w:rPr>
                <w:rFonts w:ascii="Arial" w:hAnsi="Arial" w:cs="Arial"/>
                <w:i/>
                <w:sz w:val="20"/>
                <w:szCs w:val="20"/>
              </w:rPr>
              <w:t>a priori</w:t>
            </w:r>
            <w:r w:rsidRPr="008E57BB">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1. Derive new simplified performance-based procedure for liquefaction triggering, lateral spread displacement, free-field post-liquefaction settlements, and Newmark seismic slope displacements.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3. Evaluate the new simplified performance-based liquefaction procedures against conventional (i.e., AASHTO) liquefaction analysis procedures. </w:t>
            </w:r>
          </w:p>
          <w:p w:rsidR="00814F16" w:rsidRDefault="000C65A5" w:rsidP="000C65A5">
            <w:pPr>
              <w:spacing w:after="0" w:line="240" w:lineRule="auto"/>
              <w:rPr>
                <w:rFonts w:ascii="Arial" w:hAnsi="Arial" w:cs="Arial"/>
                <w:sz w:val="20"/>
                <w:szCs w:val="20"/>
              </w:rPr>
            </w:pPr>
            <w:r w:rsidRPr="000C65A5">
              <w:rPr>
                <w:rFonts w:ascii="Arial" w:hAnsi="Arial" w:cs="Arial"/>
                <w:sz w:val="20"/>
                <w:szCs w:val="20"/>
              </w:rPr>
              <w:t>4. Develop a simplified design procedure that will allow the designer to envelope the performance-based and conventional results to select which</w:t>
            </w:r>
            <w:r>
              <w:rPr>
                <w:rFonts w:ascii="Arial" w:hAnsi="Arial" w:cs="Arial"/>
                <w:sz w:val="20"/>
                <w:szCs w:val="20"/>
              </w:rPr>
              <w:t xml:space="preserve"> result will govern the design.</w:t>
            </w:r>
            <w:r>
              <w:rPr>
                <w:rFonts w:ascii="Arial" w:hAnsi="Arial" w:cs="Arial"/>
                <w:sz w:val="20"/>
                <w:szCs w:val="20"/>
              </w:rPr>
              <w:br/>
            </w:r>
          </w:p>
          <w:p w:rsid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Tasks for this study include, regarding the participating states: </w:t>
            </w:r>
          </w:p>
          <w:p w:rsidR="004F586D" w:rsidRPr="004F586D" w:rsidRDefault="004F586D" w:rsidP="004F586D">
            <w:pPr>
              <w:spacing w:after="0" w:line="240" w:lineRule="auto"/>
              <w:rPr>
                <w:rFonts w:ascii="Arial" w:hAnsi="Arial" w:cs="Arial"/>
                <w:sz w:val="20"/>
                <w:szCs w:val="20"/>
              </w:rPr>
            </w:pP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 Derivation and validation of a new simplified liquefaction triggering model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2. Derivation and validation of simplified lateral spread displacement models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3. Derivation and validation of simplified post-liquefaction settlement models (Year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4. Derivation and validation of simplified Newmark seismic slope displacement models (Year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5. Assessment of grid spacing considerations in various seismic environments for</w:t>
            </w:r>
            <w:r w:rsidR="00FE7490">
              <w:rPr>
                <w:rFonts w:ascii="Arial" w:hAnsi="Arial" w:cs="Arial"/>
                <w:sz w:val="20"/>
                <w:szCs w:val="20"/>
              </w:rPr>
              <w:t xml:space="preserve"> map development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6. Development of liquefaction parameter maps at targeted return periods in GIS file format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7. Comparison of simplified, conventional, and deterministic ana</w:t>
            </w:r>
            <w:r w:rsidR="00FE7490">
              <w:rPr>
                <w:rFonts w:ascii="Arial" w:hAnsi="Arial" w:cs="Arial"/>
                <w:sz w:val="20"/>
                <w:szCs w:val="20"/>
              </w:rPr>
              <w:t>lysis approaches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8. Development of a simplified design procedure and an analysis spreadsheet that incorporates both performance-based and conventional methods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9. Preparation of the annual and final reports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10. Dissemination of results in appropriate engineering journals and conferences (Years 1 &amp; 2). </w:t>
            </w:r>
          </w:p>
          <w:p w:rsidR="000C209F" w:rsidRDefault="004F586D" w:rsidP="004F586D">
            <w:pPr>
              <w:spacing w:after="0" w:line="240" w:lineRule="auto"/>
              <w:rPr>
                <w:rFonts w:ascii="Arial" w:hAnsi="Arial" w:cs="Arial"/>
                <w:sz w:val="20"/>
                <w:szCs w:val="20"/>
              </w:rPr>
            </w:pPr>
            <w:r w:rsidRPr="004F586D">
              <w:rPr>
                <w:rFonts w:ascii="Arial" w:hAnsi="Arial" w:cs="Arial"/>
                <w:sz w:val="20"/>
                <w:szCs w:val="20"/>
              </w:rPr>
              <w:t>11. Technical Advisory Committee meetings (Years 1 &amp; 2), including a final workshop to train partner states on the new performance-based liquefaction hazard me</w:t>
            </w:r>
            <w:r>
              <w:rPr>
                <w:rFonts w:ascii="Arial" w:hAnsi="Arial" w:cs="Arial"/>
                <w:sz w:val="20"/>
                <w:szCs w:val="20"/>
              </w:rPr>
              <w:t>thods.</w:t>
            </w:r>
          </w:p>
          <w:p w:rsidR="004F586D" w:rsidRDefault="004F586D" w:rsidP="004F586D">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includes representatives from UT, AK, CT, ID, MT</w:t>
            </w:r>
            <w:r w:rsidR="003D6A0B" w:rsidRPr="003D6A0B">
              <w:rPr>
                <w:rFonts w:ascii="Arial" w:hAnsi="Arial" w:cs="Arial"/>
                <w:sz w:val="20"/>
                <w:szCs w:val="20"/>
              </w:rPr>
              <w:t xml:space="preserve">,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8727B7">
              <w:rPr>
                <w:rFonts w:ascii="Arial" w:hAnsi="Arial" w:cs="Arial"/>
                <w:b/>
                <w:sz w:val="20"/>
                <w:szCs w:val="20"/>
              </w:rPr>
              <w:t>Progress this Quarter (includes meetings, work plan status, contract status, significant progress, etc.):</w:t>
            </w:r>
          </w:p>
          <w:p w:rsidR="000C209F" w:rsidRPr="0078688E" w:rsidRDefault="000C209F" w:rsidP="00360664">
            <w:pPr>
              <w:spacing w:after="0" w:line="240" w:lineRule="auto"/>
              <w:rPr>
                <w:rFonts w:ascii="Arial" w:hAnsi="Arial" w:cs="Arial"/>
                <w:sz w:val="20"/>
                <w:szCs w:val="20"/>
              </w:rPr>
            </w:pPr>
          </w:p>
          <w:p w:rsidR="00A4212B"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1 – </w:t>
            </w:r>
            <w:r w:rsidR="00A4439C" w:rsidRPr="0078688E">
              <w:rPr>
                <w:rFonts w:ascii="Arial" w:hAnsi="Arial" w:cs="Arial"/>
                <w:sz w:val="20"/>
                <w:szCs w:val="20"/>
              </w:rPr>
              <w:t>100</w:t>
            </w:r>
            <w:r w:rsidRPr="0078688E">
              <w:rPr>
                <w:rFonts w:ascii="Arial" w:hAnsi="Arial" w:cs="Arial"/>
                <w:sz w:val="20"/>
                <w:szCs w:val="20"/>
              </w:rPr>
              <w:t>% complete.</w:t>
            </w:r>
          </w:p>
          <w:p w:rsidR="00EC4414"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2 – </w:t>
            </w:r>
            <w:r w:rsidR="00A4439C" w:rsidRPr="0078688E">
              <w:rPr>
                <w:rFonts w:ascii="Arial" w:hAnsi="Arial" w:cs="Arial"/>
                <w:sz w:val="20"/>
                <w:szCs w:val="20"/>
              </w:rPr>
              <w:t>100</w:t>
            </w:r>
            <w:r w:rsidRPr="0078688E">
              <w:rPr>
                <w:rFonts w:ascii="Arial" w:hAnsi="Arial" w:cs="Arial"/>
                <w:sz w:val="20"/>
                <w:szCs w:val="20"/>
              </w:rPr>
              <w:t>% complete.</w:t>
            </w:r>
          </w:p>
          <w:p w:rsidR="00440CE6"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3 – </w:t>
            </w:r>
            <w:r w:rsidR="007B5995">
              <w:rPr>
                <w:rFonts w:ascii="Arial" w:hAnsi="Arial" w:cs="Arial"/>
                <w:sz w:val="20"/>
                <w:szCs w:val="20"/>
              </w:rPr>
              <w:t>95</w:t>
            </w:r>
            <w:r w:rsidR="00440CE6">
              <w:rPr>
                <w:rFonts w:ascii="Arial" w:hAnsi="Arial" w:cs="Arial"/>
                <w:sz w:val="20"/>
                <w:szCs w:val="20"/>
              </w:rPr>
              <w:t>% complete.</w:t>
            </w:r>
          </w:p>
          <w:p w:rsidR="00D328B8"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4 – </w:t>
            </w:r>
            <w:r w:rsidR="00D328B8" w:rsidRPr="0078688E">
              <w:rPr>
                <w:rFonts w:ascii="Arial" w:hAnsi="Arial" w:cs="Arial"/>
                <w:sz w:val="20"/>
                <w:szCs w:val="20"/>
              </w:rPr>
              <w:t>9</w:t>
            </w:r>
            <w:r w:rsidR="00440CE6">
              <w:rPr>
                <w:rFonts w:ascii="Arial" w:hAnsi="Arial" w:cs="Arial"/>
                <w:sz w:val="20"/>
                <w:szCs w:val="20"/>
              </w:rPr>
              <w:t>5% complete.</w:t>
            </w:r>
            <w:r w:rsidR="00FE37C1">
              <w:rPr>
                <w:rFonts w:ascii="Arial" w:hAnsi="Arial" w:cs="Arial"/>
                <w:sz w:val="20"/>
                <w:szCs w:val="20"/>
              </w:rPr>
              <w:t xml:space="preserve">  BYU updated the TAC quarterly update report for Tasks 3 and 4 based on TAC feedback.</w:t>
            </w:r>
          </w:p>
          <w:p w:rsidR="00440CE6" w:rsidRPr="0078688E" w:rsidRDefault="00A4212B" w:rsidP="00440CE6">
            <w:pPr>
              <w:spacing w:after="0" w:line="240" w:lineRule="auto"/>
              <w:rPr>
                <w:rFonts w:ascii="Arial" w:hAnsi="Arial" w:cs="Arial"/>
                <w:sz w:val="20"/>
                <w:szCs w:val="20"/>
              </w:rPr>
            </w:pPr>
            <w:r w:rsidRPr="0078688E">
              <w:rPr>
                <w:rFonts w:ascii="Arial" w:hAnsi="Arial" w:cs="Arial"/>
                <w:sz w:val="20"/>
                <w:szCs w:val="20"/>
              </w:rPr>
              <w:lastRenderedPageBreak/>
              <w:t xml:space="preserve">Task 5 – </w:t>
            </w:r>
            <w:r w:rsidR="00440CE6">
              <w:rPr>
                <w:rFonts w:ascii="Arial" w:hAnsi="Arial" w:cs="Arial"/>
                <w:sz w:val="20"/>
                <w:szCs w:val="20"/>
              </w:rPr>
              <w:t>8</w:t>
            </w:r>
            <w:r w:rsidR="00A4439C" w:rsidRPr="0078688E">
              <w:rPr>
                <w:rFonts w:ascii="Arial" w:hAnsi="Arial" w:cs="Arial"/>
                <w:sz w:val="20"/>
                <w:szCs w:val="20"/>
              </w:rPr>
              <w:t>0% complete.</w:t>
            </w:r>
            <w:r w:rsidR="00A5026A" w:rsidRPr="0078688E">
              <w:rPr>
                <w:rFonts w:ascii="Arial" w:hAnsi="Arial" w:cs="Arial"/>
                <w:sz w:val="20"/>
                <w:szCs w:val="20"/>
              </w:rPr>
              <w:t xml:space="preserve">  </w:t>
            </w:r>
            <w:r w:rsidR="00440CE6" w:rsidRPr="0078688E">
              <w:rPr>
                <w:rFonts w:ascii="Arial" w:hAnsi="Arial" w:cs="Arial"/>
                <w:sz w:val="20"/>
                <w:szCs w:val="20"/>
              </w:rPr>
              <w:t>BYU continued work on this task.</w:t>
            </w:r>
          </w:p>
          <w:p w:rsidR="004E6402"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6 – </w:t>
            </w:r>
            <w:r w:rsidR="00440CE6">
              <w:rPr>
                <w:rFonts w:ascii="Arial" w:hAnsi="Arial" w:cs="Arial"/>
                <w:sz w:val="20"/>
                <w:szCs w:val="20"/>
              </w:rPr>
              <w:t>8</w:t>
            </w:r>
            <w:r w:rsidR="00A4439C" w:rsidRPr="0078688E">
              <w:rPr>
                <w:rFonts w:ascii="Arial" w:hAnsi="Arial" w:cs="Arial"/>
                <w:sz w:val="20"/>
                <w:szCs w:val="20"/>
              </w:rPr>
              <w:t>0% complete.</w:t>
            </w:r>
            <w:r w:rsidR="00A5026A" w:rsidRPr="0078688E">
              <w:rPr>
                <w:rFonts w:ascii="Arial" w:hAnsi="Arial" w:cs="Arial"/>
                <w:sz w:val="20"/>
                <w:szCs w:val="20"/>
              </w:rPr>
              <w:t xml:space="preserve">  </w:t>
            </w:r>
            <w:r w:rsidR="00440CE6" w:rsidRPr="0078688E">
              <w:rPr>
                <w:rFonts w:ascii="Arial" w:hAnsi="Arial" w:cs="Arial"/>
                <w:sz w:val="20"/>
                <w:szCs w:val="20"/>
              </w:rPr>
              <w:t>BYU continued work on this task and prepared the TAC quarterly update report</w:t>
            </w:r>
            <w:r w:rsidR="001A25A1">
              <w:rPr>
                <w:rFonts w:ascii="Arial" w:hAnsi="Arial" w:cs="Arial"/>
                <w:sz w:val="20"/>
                <w:szCs w:val="20"/>
              </w:rPr>
              <w:t xml:space="preserve"> and maps </w:t>
            </w:r>
            <w:r w:rsidR="00440CE6" w:rsidRPr="0078688E">
              <w:rPr>
                <w:rFonts w:ascii="Arial" w:hAnsi="Arial" w:cs="Arial"/>
                <w:sz w:val="20"/>
                <w:szCs w:val="20"/>
              </w:rPr>
              <w:t xml:space="preserve">for Tasks </w:t>
            </w:r>
            <w:r w:rsidR="00440CE6">
              <w:rPr>
                <w:rFonts w:ascii="Arial" w:hAnsi="Arial" w:cs="Arial"/>
                <w:sz w:val="20"/>
                <w:szCs w:val="20"/>
              </w:rPr>
              <w:t>5</w:t>
            </w:r>
            <w:r w:rsidR="00440CE6" w:rsidRPr="0078688E">
              <w:rPr>
                <w:rFonts w:ascii="Arial" w:hAnsi="Arial" w:cs="Arial"/>
                <w:sz w:val="20"/>
                <w:szCs w:val="20"/>
              </w:rPr>
              <w:t xml:space="preserve"> and </w:t>
            </w:r>
            <w:r w:rsidR="00440CE6">
              <w:rPr>
                <w:rFonts w:ascii="Arial" w:hAnsi="Arial" w:cs="Arial"/>
                <w:sz w:val="20"/>
                <w:szCs w:val="20"/>
              </w:rPr>
              <w:t>6</w:t>
            </w:r>
            <w:r w:rsidR="006645A1">
              <w:rPr>
                <w:rFonts w:ascii="Arial" w:hAnsi="Arial" w:cs="Arial"/>
                <w:sz w:val="20"/>
                <w:szCs w:val="20"/>
              </w:rPr>
              <w:t xml:space="preserve"> (Year 2)</w:t>
            </w:r>
            <w:r w:rsidR="00440CE6" w:rsidRPr="0078688E">
              <w:rPr>
                <w:rFonts w:ascii="Arial" w:hAnsi="Arial" w:cs="Arial"/>
                <w:sz w:val="20"/>
                <w:szCs w:val="20"/>
              </w:rPr>
              <w:t>.</w:t>
            </w:r>
          </w:p>
          <w:p w:rsidR="00A4212B"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7 – </w:t>
            </w:r>
            <w:r w:rsidR="00AD2868">
              <w:rPr>
                <w:rFonts w:ascii="Arial" w:hAnsi="Arial" w:cs="Arial"/>
                <w:sz w:val="20"/>
                <w:szCs w:val="20"/>
              </w:rPr>
              <w:t>6</w:t>
            </w:r>
            <w:r w:rsidR="002D0D07" w:rsidRPr="0078688E">
              <w:rPr>
                <w:rFonts w:ascii="Arial" w:hAnsi="Arial" w:cs="Arial"/>
                <w:sz w:val="20"/>
                <w:szCs w:val="20"/>
              </w:rPr>
              <w:t>0% complete.</w:t>
            </w:r>
            <w:r w:rsidR="00440CE6" w:rsidRPr="0078688E">
              <w:rPr>
                <w:rFonts w:ascii="Arial" w:hAnsi="Arial" w:cs="Arial"/>
                <w:sz w:val="20"/>
                <w:szCs w:val="20"/>
              </w:rPr>
              <w:t xml:space="preserve"> </w:t>
            </w:r>
            <w:r w:rsidR="00440CE6">
              <w:rPr>
                <w:rFonts w:ascii="Arial" w:hAnsi="Arial" w:cs="Arial"/>
                <w:sz w:val="20"/>
                <w:szCs w:val="20"/>
              </w:rPr>
              <w:t xml:space="preserve"> </w:t>
            </w:r>
            <w:r w:rsidR="00440CE6" w:rsidRPr="0078688E">
              <w:rPr>
                <w:rFonts w:ascii="Arial" w:hAnsi="Arial" w:cs="Arial"/>
                <w:sz w:val="20"/>
                <w:szCs w:val="20"/>
              </w:rPr>
              <w:t>BYU began the Year 2 work on this task.</w:t>
            </w:r>
          </w:p>
          <w:p w:rsidR="002D0D07"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8 – </w:t>
            </w:r>
            <w:r w:rsidR="00AD2868">
              <w:rPr>
                <w:rFonts w:ascii="Arial" w:hAnsi="Arial" w:cs="Arial"/>
                <w:sz w:val="20"/>
                <w:szCs w:val="20"/>
              </w:rPr>
              <w:t>6</w:t>
            </w:r>
            <w:r w:rsidR="002D0D07" w:rsidRPr="0078688E">
              <w:rPr>
                <w:rFonts w:ascii="Arial" w:hAnsi="Arial" w:cs="Arial"/>
                <w:sz w:val="20"/>
                <w:szCs w:val="20"/>
              </w:rPr>
              <w:t>0% complete.</w:t>
            </w:r>
            <w:r w:rsidR="00AD2868" w:rsidRPr="0078688E">
              <w:rPr>
                <w:rFonts w:ascii="Arial" w:hAnsi="Arial" w:cs="Arial"/>
                <w:sz w:val="20"/>
                <w:szCs w:val="20"/>
              </w:rPr>
              <w:t xml:space="preserve"> </w:t>
            </w:r>
            <w:r w:rsidR="00AD2868">
              <w:rPr>
                <w:rFonts w:ascii="Arial" w:hAnsi="Arial" w:cs="Arial"/>
                <w:sz w:val="20"/>
                <w:szCs w:val="20"/>
              </w:rPr>
              <w:t xml:space="preserve"> </w:t>
            </w:r>
            <w:r w:rsidR="00AD2868" w:rsidRPr="0078688E">
              <w:rPr>
                <w:rFonts w:ascii="Arial" w:hAnsi="Arial" w:cs="Arial"/>
                <w:sz w:val="20"/>
                <w:szCs w:val="20"/>
              </w:rPr>
              <w:t>BYU began the Year 2 work on this task.</w:t>
            </w:r>
          </w:p>
          <w:p w:rsidR="00AD2868"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9 – </w:t>
            </w:r>
            <w:r w:rsidR="00AD2868">
              <w:rPr>
                <w:rFonts w:ascii="Arial" w:hAnsi="Arial" w:cs="Arial"/>
                <w:sz w:val="20"/>
                <w:szCs w:val="20"/>
              </w:rPr>
              <w:t>60% complete.</w:t>
            </w:r>
          </w:p>
          <w:p w:rsidR="00A4212B"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10 – </w:t>
            </w:r>
            <w:r w:rsidR="00876312" w:rsidRPr="0078688E">
              <w:rPr>
                <w:rFonts w:ascii="Arial" w:hAnsi="Arial" w:cs="Arial"/>
                <w:sz w:val="20"/>
                <w:szCs w:val="20"/>
              </w:rPr>
              <w:t>50</w:t>
            </w:r>
            <w:r w:rsidR="00154785" w:rsidRPr="0078688E">
              <w:rPr>
                <w:rFonts w:ascii="Arial" w:hAnsi="Arial" w:cs="Arial"/>
                <w:sz w:val="20"/>
                <w:szCs w:val="20"/>
              </w:rPr>
              <w:t>% complete.</w:t>
            </w:r>
          </w:p>
          <w:p w:rsidR="00ED19A9"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11 – </w:t>
            </w:r>
            <w:r w:rsidR="003B7740" w:rsidRPr="0078688E">
              <w:rPr>
                <w:rFonts w:ascii="Arial" w:hAnsi="Arial" w:cs="Arial"/>
                <w:sz w:val="20"/>
                <w:szCs w:val="20"/>
              </w:rPr>
              <w:t>5</w:t>
            </w:r>
            <w:r w:rsidR="00731FB6" w:rsidRPr="0078688E">
              <w:rPr>
                <w:rFonts w:ascii="Arial" w:hAnsi="Arial" w:cs="Arial"/>
                <w:sz w:val="20"/>
                <w:szCs w:val="20"/>
              </w:rPr>
              <w:t>0</w:t>
            </w:r>
            <w:r w:rsidRPr="0078688E">
              <w:rPr>
                <w:rFonts w:ascii="Arial" w:hAnsi="Arial" w:cs="Arial"/>
                <w:sz w:val="20"/>
                <w:szCs w:val="20"/>
              </w:rPr>
              <w:t>% complete.</w:t>
            </w:r>
          </w:p>
          <w:p w:rsidR="007D27BC"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Contract – </w:t>
            </w:r>
            <w:r w:rsidR="00ED19A9" w:rsidRPr="0078688E">
              <w:rPr>
                <w:rFonts w:ascii="Arial" w:hAnsi="Arial" w:cs="Arial"/>
                <w:sz w:val="20"/>
                <w:szCs w:val="20"/>
              </w:rPr>
              <w:t>No adjustment this quarter.</w:t>
            </w:r>
            <w:r w:rsidR="005F5558">
              <w:rPr>
                <w:rFonts w:ascii="Arial" w:hAnsi="Arial" w:cs="Arial"/>
                <w:sz w:val="20"/>
                <w:szCs w:val="20"/>
              </w:rPr>
              <w:t xml:space="preserve">  Oregon DOT posted a funding commitment online to join the pooled fund.</w:t>
            </w:r>
          </w:p>
          <w:p w:rsidR="009E245A" w:rsidRPr="0078688E" w:rsidRDefault="009E245A" w:rsidP="009E245A">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8727B7">
              <w:rPr>
                <w:rFonts w:ascii="Arial" w:hAnsi="Arial" w:cs="Arial"/>
                <w:b/>
                <w:sz w:val="20"/>
                <w:szCs w:val="20"/>
              </w:rPr>
              <w:t>Anticipated work next quarter</w:t>
            </w:r>
            <w:r w:rsidRPr="008727B7">
              <w:rPr>
                <w:rFonts w:ascii="Arial" w:hAnsi="Arial" w:cs="Arial"/>
                <w:sz w:val="20"/>
                <w:szCs w:val="20"/>
              </w:rPr>
              <w:t>:</w:t>
            </w:r>
          </w:p>
          <w:p w:rsidR="000C209F" w:rsidRPr="0078688E" w:rsidRDefault="000C209F" w:rsidP="00360664">
            <w:pPr>
              <w:spacing w:after="0" w:line="240" w:lineRule="auto"/>
              <w:rPr>
                <w:rFonts w:ascii="Arial" w:hAnsi="Arial" w:cs="Arial"/>
                <w:sz w:val="20"/>
                <w:szCs w:val="20"/>
              </w:rPr>
            </w:pPr>
          </w:p>
          <w:p w:rsidR="002F44FD" w:rsidRPr="0078688E" w:rsidRDefault="00B773E9" w:rsidP="00B773E9">
            <w:pPr>
              <w:spacing w:after="0" w:line="240" w:lineRule="auto"/>
              <w:rPr>
                <w:rFonts w:ascii="Arial" w:hAnsi="Arial" w:cs="Arial"/>
                <w:sz w:val="20"/>
                <w:szCs w:val="20"/>
              </w:rPr>
            </w:pPr>
            <w:r w:rsidRPr="0078688E">
              <w:rPr>
                <w:rFonts w:ascii="Arial" w:hAnsi="Arial" w:cs="Arial"/>
                <w:sz w:val="20"/>
                <w:szCs w:val="20"/>
              </w:rPr>
              <w:t>Task 1 –</w:t>
            </w:r>
            <w:r w:rsidR="00F44489" w:rsidRPr="0078688E">
              <w:rPr>
                <w:rFonts w:ascii="Arial" w:hAnsi="Arial" w:cs="Arial"/>
                <w:sz w:val="20"/>
                <w:szCs w:val="20"/>
              </w:rPr>
              <w:t xml:space="preserve"> C</w:t>
            </w:r>
            <w:r w:rsidR="00463EA1" w:rsidRPr="0078688E">
              <w:rPr>
                <w:rFonts w:ascii="Arial" w:hAnsi="Arial" w:cs="Arial"/>
                <w:sz w:val="20"/>
                <w:szCs w:val="20"/>
              </w:rPr>
              <w:t>ompleted</w:t>
            </w:r>
            <w:r w:rsidR="00BC4290" w:rsidRPr="0078688E">
              <w:rPr>
                <w:rFonts w:ascii="Arial" w:hAnsi="Arial" w:cs="Arial"/>
                <w:sz w:val="20"/>
                <w:szCs w:val="20"/>
              </w:rPr>
              <w:t>.</w:t>
            </w:r>
          </w:p>
          <w:p w:rsidR="00EC4414" w:rsidRPr="0078688E" w:rsidRDefault="00B773E9" w:rsidP="00B773E9">
            <w:pPr>
              <w:spacing w:after="0" w:line="240" w:lineRule="auto"/>
              <w:rPr>
                <w:rFonts w:ascii="Arial" w:hAnsi="Arial" w:cs="Arial"/>
                <w:sz w:val="20"/>
                <w:szCs w:val="20"/>
              </w:rPr>
            </w:pPr>
            <w:r w:rsidRPr="0078688E">
              <w:rPr>
                <w:rFonts w:ascii="Arial" w:hAnsi="Arial" w:cs="Arial"/>
                <w:sz w:val="20"/>
                <w:szCs w:val="20"/>
              </w:rPr>
              <w:t>Task 2 –</w:t>
            </w:r>
            <w:r w:rsidR="00F44489" w:rsidRPr="0078688E">
              <w:rPr>
                <w:rFonts w:ascii="Arial" w:hAnsi="Arial" w:cs="Arial"/>
                <w:sz w:val="20"/>
                <w:szCs w:val="20"/>
              </w:rPr>
              <w:t xml:space="preserve"> </w:t>
            </w:r>
            <w:r w:rsidR="005C2C1F" w:rsidRPr="0078688E">
              <w:rPr>
                <w:rFonts w:ascii="Arial" w:hAnsi="Arial" w:cs="Arial"/>
                <w:sz w:val="20"/>
                <w:szCs w:val="20"/>
              </w:rPr>
              <w:t>C</w:t>
            </w:r>
            <w:r w:rsidR="00EC4414" w:rsidRPr="0078688E">
              <w:rPr>
                <w:rFonts w:ascii="Arial" w:hAnsi="Arial" w:cs="Arial"/>
                <w:sz w:val="20"/>
                <w:szCs w:val="20"/>
              </w:rPr>
              <w:t>omplete</w:t>
            </w:r>
            <w:r w:rsidR="005C2C1F" w:rsidRPr="0078688E">
              <w:rPr>
                <w:rFonts w:ascii="Arial" w:hAnsi="Arial" w:cs="Arial"/>
                <w:sz w:val="20"/>
                <w:szCs w:val="20"/>
              </w:rPr>
              <w:t>d</w:t>
            </w:r>
            <w:r w:rsidR="00EC4414" w:rsidRPr="0078688E">
              <w:rPr>
                <w:rFonts w:ascii="Arial" w:hAnsi="Arial" w:cs="Arial"/>
                <w:sz w:val="20"/>
                <w:szCs w:val="20"/>
              </w:rPr>
              <w:t xml:space="preserve">.  </w:t>
            </w:r>
          </w:p>
          <w:p w:rsidR="003C2C2A" w:rsidRPr="0078688E" w:rsidRDefault="00B773E9" w:rsidP="00B773E9">
            <w:pPr>
              <w:spacing w:after="0" w:line="240" w:lineRule="auto"/>
              <w:rPr>
                <w:rFonts w:ascii="Arial" w:hAnsi="Arial" w:cs="Arial"/>
                <w:sz w:val="20"/>
                <w:szCs w:val="20"/>
              </w:rPr>
            </w:pPr>
            <w:r w:rsidRPr="0078688E">
              <w:rPr>
                <w:rFonts w:ascii="Arial" w:hAnsi="Arial" w:cs="Arial"/>
                <w:sz w:val="20"/>
                <w:szCs w:val="20"/>
              </w:rPr>
              <w:t>Task 3 –</w:t>
            </w:r>
            <w:r w:rsidR="00653AE0" w:rsidRPr="0078688E">
              <w:rPr>
                <w:rFonts w:ascii="Arial" w:hAnsi="Arial" w:cs="Arial"/>
                <w:sz w:val="20"/>
                <w:szCs w:val="20"/>
              </w:rPr>
              <w:t xml:space="preserve"> BYU will complete work on this task</w:t>
            </w:r>
            <w:r w:rsidR="00BF715D" w:rsidRPr="0078688E">
              <w:rPr>
                <w:rFonts w:ascii="Arial" w:hAnsi="Arial" w:cs="Arial"/>
                <w:sz w:val="20"/>
                <w:szCs w:val="20"/>
              </w:rPr>
              <w:t>.</w:t>
            </w:r>
          </w:p>
          <w:p w:rsidR="00B773E9" w:rsidRPr="0078688E" w:rsidRDefault="00B773E9" w:rsidP="00B773E9">
            <w:pPr>
              <w:spacing w:after="0" w:line="240" w:lineRule="auto"/>
              <w:rPr>
                <w:rFonts w:ascii="Arial" w:hAnsi="Arial" w:cs="Arial"/>
                <w:sz w:val="20"/>
                <w:szCs w:val="20"/>
              </w:rPr>
            </w:pPr>
            <w:r w:rsidRPr="0078688E">
              <w:rPr>
                <w:rFonts w:ascii="Arial" w:hAnsi="Arial" w:cs="Arial"/>
                <w:sz w:val="20"/>
                <w:szCs w:val="20"/>
              </w:rPr>
              <w:t>Task 4 –</w:t>
            </w:r>
            <w:r w:rsidR="00653AE0">
              <w:rPr>
                <w:rFonts w:ascii="Arial" w:hAnsi="Arial" w:cs="Arial"/>
                <w:sz w:val="20"/>
                <w:szCs w:val="20"/>
              </w:rPr>
              <w:t xml:space="preserve"> </w:t>
            </w:r>
            <w:r w:rsidR="00653AE0" w:rsidRPr="0078688E">
              <w:rPr>
                <w:rFonts w:ascii="Arial" w:hAnsi="Arial" w:cs="Arial"/>
                <w:sz w:val="20"/>
                <w:szCs w:val="20"/>
              </w:rPr>
              <w:t xml:space="preserve">BYU will </w:t>
            </w:r>
            <w:r w:rsidR="00653AE0">
              <w:rPr>
                <w:rFonts w:ascii="Arial" w:hAnsi="Arial" w:cs="Arial"/>
                <w:sz w:val="20"/>
                <w:szCs w:val="20"/>
              </w:rPr>
              <w:t>finish updating</w:t>
            </w:r>
            <w:r w:rsidR="00653AE0" w:rsidRPr="0078688E">
              <w:rPr>
                <w:rFonts w:ascii="Arial" w:hAnsi="Arial" w:cs="Arial"/>
                <w:sz w:val="20"/>
                <w:szCs w:val="20"/>
              </w:rPr>
              <w:t xml:space="preserve"> </w:t>
            </w:r>
            <w:r w:rsidR="00653AE0">
              <w:rPr>
                <w:rFonts w:ascii="Arial" w:hAnsi="Arial" w:cs="Arial"/>
                <w:sz w:val="20"/>
                <w:szCs w:val="20"/>
              </w:rPr>
              <w:t>t</w:t>
            </w:r>
            <w:r w:rsidR="00B707C0" w:rsidRPr="0078688E">
              <w:rPr>
                <w:rFonts w:ascii="Arial" w:hAnsi="Arial" w:cs="Arial"/>
                <w:sz w:val="20"/>
                <w:szCs w:val="20"/>
              </w:rPr>
              <w:t xml:space="preserve">he TAC quarterly update report for Tasks 3 and 4 </w:t>
            </w:r>
            <w:r w:rsidR="00653AE0">
              <w:rPr>
                <w:rFonts w:ascii="Arial" w:hAnsi="Arial" w:cs="Arial"/>
                <w:sz w:val="20"/>
                <w:szCs w:val="20"/>
              </w:rPr>
              <w:t xml:space="preserve">based on </w:t>
            </w:r>
            <w:r w:rsidR="00B707C0" w:rsidRPr="0078688E">
              <w:rPr>
                <w:rFonts w:ascii="Arial" w:hAnsi="Arial" w:cs="Arial"/>
                <w:sz w:val="20"/>
                <w:szCs w:val="20"/>
              </w:rPr>
              <w:t>TAC</w:t>
            </w:r>
            <w:r w:rsidR="00653AE0">
              <w:rPr>
                <w:rFonts w:ascii="Arial" w:hAnsi="Arial" w:cs="Arial"/>
                <w:sz w:val="20"/>
                <w:szCs w:val="20"/>
              </w:rPr>
              <w:t xml:space="preserve"> feedback</w:t>
            </w:r>
            <w:r w:rsidR="00B707C0" w:rsidRPr="0078688E">
              <w:rPr>
                <w:rFonts w:ascii="Arial" w:hAnsi="Arial" w:cs="Arial"/>
                <w:sz w:val="20"/>
                <w:szCs w:val="20"/>
              </w:rPr>
              <w:t>.</w:t>
            </w:r>
          </w:p>
          <w:p w:rsidR="00B773E9" w:rsidRPr="0078688E" w:rsidRDefault="00B773E9" w:rsidP="00B773E9">
            <w:pPr>
              <w:spacing w:after="0" w:line="240" w:lineRule="auto"/>
              <w:rPr>
                <w:rFonts w:ascii="Arial" w:hAnsi="Arial" w:cs="Arial"/>
                <w:sz w:val="20"/>
                <w:szCs w:val="20"/>
              </w:rPr>
            </w:pPr>
            <w:r w:rsidRPr="0078688E">
              <w:rPr>
                <w:rFonts w:ascii="Arial" w:hAnsi="Arial" w:cs="Arial"/>
                <w:sz w:val="20"/>
                <w:szCs w:val="20"/>
              </w:rPr>
              <w:t xml:space="preserve">Task 5 – </w:t>
            </w:r>
            <w:r w:rsidR="00AD5786" w:rsidRPr="0078688E">
              <w:rPr>
                <w:rFonts w:ascii="Arial" w:hAnsi="Arial" w:cs="Arial"/>
                <w:sz w:val="20"/>
                <w:szCs w:val="20"/>
              </w:rPr>
              <w:t xml:space="preserve">BYU will </w:t>
            </w:r>
            <w:r w:rsidR="006645A1">
              <w:rPr>
                <w:rFonts w:ascii="Arial" w:hAnsi="Arial" w:cs="Arial"/>
                <w:sz w:val="20"/>
                <w:szCs w:val="20"/>
              </w:rPr>
              <w:t xml:space="preserve">complete </w:t>
            </w:r>
            <w:r w:rsidR="00AD5786" w:rsidRPr="0078688E">
              <w:rPr>
                <w:rFonts w:ascii="Arial" w:hAnsi="Arial" w:cs="Arial"/>
                <w:sz w:val="20"/>
                <w:szCs w:val="20"/>
              </w:rPr>
              <w:t>work on this task</w:t>
            </w:r>
            <w:r w:rsidR="000B2F53" w:rsidRPr="0078688E">
              <w:rPr>
                <w:rFonts w:ascii="Arial" w:hAnsi="Arial" w:cs="Arial"/>
                <w:sz w:val="20"/>
                <w:szCs w:val="20"/>
              </w:rPr>
              <w:t>.</w:t>
            </w:r>
          </w:p>
          <w:p w:rsidR="00AD5786" w:rsidRPr="0078688E" w:rsidRDefault="00B773E9" w:rsidP="00B773E9">
            <w:pPr>
              <w:spacing w:after="0" w:line="240" w:lineRule="auto"/>
              <w:rPr>
                <w:rFonts w:ascii="Arial" w:hAnsi="Arial" w:cs="Arial"/>
                <w:sz w:val="20"/>
                <w:szCs w:val="20"/>
              </w:rPr>
            </w:pPr>
            <w:r w:rsidRPr="0078688E">
              <w:rPr>
                <w:rFonts w:ascii="Arial" w:hAnsi="Arial" w:cs="Arial"/>
                <w:sz w:val="20"/>
                <w:szCs w:val="20"/>
              </w:rPr>
              <w:t xml:space="preserve">Task 6 – </w:t>
            </w:r>
            <w:r w:rsidR="0041707D" w:rsidRPr="0078688E">
              <w:rPr>
                <w:rFonts w:ascii="Arial" w:hAnsi="Arial" w:cs="Arial"/>
                <w:sz w:val="20"/>
                <w:szCs w:val="20"/>
              </w:rPr>
              <w:t xml:space="preserve">BYU will </w:t>
            </w:r>
            <w:r w:rsidR="006645A1">
              <w:rPr>
                <w:rFonts w:ascii="Arial" w:hAnsi="Arial" w:cs="Arial"/>
                <w:sz w:val="20"/>
                <w:szCs w:val="20"/>
              </w:rPr>
              <w:t xml:space="preserve">complete work on this task.  </w:t>
            </w:r>
            <w:r w:rsidR="00BF715D" w:rsidRPr="0078688E">
              <w:rPr>
                <w:rFonts w:ascii="Arial" w:hAnsi="Arial" w:cs="Arial"/>
                <w:sz w:val="20"/>
                <w:szCs w:val="20"/>
              </w:rPr>
              <w:t xml:space="preserve">The TAC quarterly update report for Tasks </w:t>
            </w:r>
            <w:r w:rsidR="005C01E8" w:rsidRPr="0078688E">
              <w:rPr>
                <w:rFonts w:ascii="Arial" w:hAnsi="Arial" w:cs="Arial"/>
                <w:sz w:val="20"/>
                <w:szCs w:val="20"/>
              </w:rPr>
              <w:t>5</w:t>
            </w:r>
            <w:r w:rsidR="00BF715D" w:rsidRPr="0078688E">
              <w:rPr>
                <w:rFonts w:ascii="Arial" w:hAnsi="Arial" w:cs="Arial"/>
                <w:sz w:val="20"/>
                <w:szCs w:val="20"/>
              </w:rPr>
              <w:t xml:space="preserve"> and </w:t>
            </w:r>
            <w:r w:rsidR="005C01E8" w:rsidRPr="0078688E">
              <w:rPr>
                <w:rFonts w:ascii="Arial" w:hAnsi="Arial" w:cs="Arial"/>
                <w:sz w:val="20"/>
                <w:szCs w:val="20"/>
              </w:rPr>
              <w:t>6 (Year 2)</w:t>
            </w:r>
            <w:r w:rsidR="00BF715D" w:rsidRPr="0078688E">
              <w:rPr>
                <w:rFonts w:ascii="Arial" w:hAnsi="Arial" w:cs="Arial"/>
                <w:sz w:val="20"/>
                <w:szCs w:val="20"/>
              </w:rPr>
              <w:t xml:space="preserve"> </w:t>
            </w:r>
            <w:r w:rsidR="006645A1">
              <w:rPr>
                <w:rFonts w:ascii="Arial" w:hAnsi="Arial" w:cs="Arial"/>
                <w:sz w:val="20"/>
                <w:szCs w:val="20"/>
              </w:rPr>
              <w:t xml:space="preserve">will be completed and </w:t>
            </w:r>
            <w:r w:rsidR="00BF715D" w:rsidRPr="0078688E">
              <w:rPr>
                <w:rFonts w:ascii="Arial" w:hAnsi="Arial" w:cs="Arial"/>
                <w:sz w:val="20"/>
                <w:szCs w:val="20"/>
              </w:rPr>
              <w:t>shared with the TAC</w:t>
            </w:r>
            <w:r w:rsidR="006645A1">
              <w:rPr>
                <w:rFonts w:ascii="Arial" w:hAnsi="Arial" w:cs="Arial"/>
                <w:sz w:val="20"/>
                <w:szCs w:val="20"/>
              </w:rPr>
              <w:t xml:space="preserve"> for their review</w:t>
            </w:r>
            <w:r w:rsidR="006015F0" w:rsidRPr="0078688E">
              <w:rPr>
                <w:rFonts w:ascii="Arial" w:hAnsi="Arial" w:cs="Arial"/>
                <w:sz w:val="20"/>
                <w:szCs w:val="20"/>
              </w:rPr>
              <w:t xml:space="preserve">, along with the </w:t>
            </w:r>
            <w:r w:rsidR="0032612B" w:rsidRPr="0078688E">
              <w:rPr>
                <w:rFonts w:ascii="Arial" w:hAnsi="Arial" w:cs="Arial"/>
                <w:sz w:val="20"/>
                <w:szCs w:val="20"/>
              </w:rPr>
              <w:t xml:space="preserve">volumetric strain and seismic slope displacement reference </w:t>
            </w:r>
            <w:r w:rsidR="006015F0" w:rsidRPr="0078688E">
              <w:rPr>
                <w:rFonts w:ascii="Arial" w:hAnsi="Arial" w:cs="Arial"/>
                <w:sz w:val="20"/>
                <w:szCs w:val="20"/>
              </w:rPr>
              <w:t>parameter maps</w:t>
            </w:r>
            <w:r w:rsidR="005C01E8" w:rsidRPr="0078688E">
              <w:rPr>
                <w:rFonts w:ascii="Arial" w:hAnsi="Arial" w:cs="Arial"/>
                <w:sz w:val="20"/>
                <w:szCs w:val="20"/>
              </w:rPr>
              <w:t>.</w:t>
            </w:r>
          </w:p>
          <w:p w:rsidR="007B5208" w:rsidRPr="0078688E" w:rsidRDefault="00B773E9" w:rsidP="00B773E9">
            <w:pPr>
              <w:spacing w:after="0" w:line="240" w:lineRule="auto"/>
              <w:rPr>
                <w:rFonts w:ascii="Arial" w:hAnsi="Arial" w:cs="Arial"/>
                <w:sz w:val="20"/>
                <w:szCs w:val="20"/>
              </w:rPr>
            </w:pPr>
            <w:r w:rsidRPr="0078688E">
              <w:rPr>
                <w:rFonts w:ascii="Arial" w:hAnsi="Arial" w:cs="Arial"/>
                <w:sz w:val="20"/>
                <w:szCs w:val="20"/>
              </w:rPr>
              <w:t xml:space="preserve">Task 7 – </w:t>
            </w:r>
            <w:r w:rsidR="008F3D6B" w:rsidRPr="0078688E">
              <w:rPr>
                <w:rFonts w:ascii="Arial" w:hAnsi="Arial" w:cs="Arial"/>
                <w:sz w:val="20"/>
                <w:szCs w:val="20"/>
              </w:rPr>
              <w:t xml:space="preserve">BYU will </w:t>
            </w:r>
            <w:r w:rsidR="00413511">
              <w:rPr>
                <w:rFonts w:ascii="Arial" w:hAnsi="Arial" w:cs="Arial"/>
                <w:sz w:val="20"/>
                <w:szCs w:val="20"/>
              </w:rPr>
              <w:t xml:space="preserve">complete </w:t>
            </w:r>
            <w:r w:rsidR="008F3D6B" w:rsidRPr="0078688E">
              <w:rPr>
                <w:rFonts w:ascii="Arial" w:hAnsi="Arial" w:cs="Arial"/>
                <w:sz w:val="20"/>
                <w:szCs w:val="20"/>
              </w:rPr>
              <w:t>the Year 2 work on this task (comparison of analysis approaches).</w:t>
            </w:r>
          </w:p>
          <w:p w:rsidR="005A0EC0" w:rsidRPr="0078688E" w:rsidRDefault="00B773E9" w:rsidP="00B773E9">
            <w:pPr>
              <w:spacing w:after="0" w:line="240" w:lineRule="auto"/>
              <w:rPr>
                <w:rFonts w:ascii="Arial" w:hAnsi="Arial" w:cs="Arial"/>
                <w:sz w:val="20"/>
                <w:szCs w:val="20"/>
              </w:rPr>
            </w:pPr>
            <w:r w:rsidRPr="0078688E">
              <w:rPr>
                <w:rFonts w:ascii="Arial" w:hAnsi="Arial" w:cs="Arial"/>
                <w:sz w:val="20"/>
                <w:szCs w:val="20"/>
              </w:rPr>
              <w:t>Task 8 –</w:t>
            </w:r>
            <w:r w:rsidR="00950310" w:rsidRPr="0078688E">
              <w:rPr>
                <w:rFonts w:ascii="Arial" w:hAnsi="Arial" w:cs="Arial"/>
                <w:sz w:val="20"/>
                <w:szCs w:val="20"/>
              </w:rPr>
              <w:t xml:space="preserve"> </w:t>
            </w:r>
            <w:r w:rsidR="008F3D6B" w:rsidRPr="0078688E">
              <w:rPr>
                <w:rFonts w:ascii="Arial" w:hAnsi="Arial" w:cs="Arial"/>
                <w:sz w:val="20"/>
                <w:szCs w:val="20"/>
              </w:rPr>
              <w:t xml:space="preserve">BYU </w:t>
            </w:r>
            <w:r w:rsidR="00413511">
              <w:rPr>
                <w:rFonts w:ascii="Arial" w:hAnsi="Arial" w:cs="Arial"/>
                <w:sz w:val="20"/>
                <w:szCs w:val="20"/>
              </w:rPr>
              <w:t xml:space="preserve">will complete </w:t>
            </w:r>
            <w:r w:rsidR="008F3D6B" w:rsidRPr="0078688E">
              <w:rPr>
                <w:rFonts w:ascii="Arial" w:hAnsi="Arial" w:cs="Arial"/>
                <w:sz w:val="20"/>
                <w:szCs w:val="20"/>
              </w:rPr>
              <w:t>the Year 2 work on this task (add</w:t>
            </w:r>
            <w:r w:rsidR="00B15312" w:rsidRPr="0078688E">
              <w:rPr>
                <w:rFonts w:ascii="Arial" w:hAnsi="Arial" w:cs="Arial"/>
                <w:sz w:val="20"/>
                <w:szCs w:val="20"/>
              </w:rPr>
              <w:t>ing</w:t>
            </w:r>
            <w:r w:rsidR="008F3D6B" w:rsidRPr="0078688E">
              <w:rPr>
                <w:rFonts w:ascii="Arial" w:hAnsi="Arial" w:cs="Arial"/>
                <w:sz w:val="20"/>
                <w:szCs w:val="20"/>
              </w:rPr>
              <w:t xml:space="preserve"> features to the </w:t>
            </w:r>
            <w:r w:rsidR="009B1790" w:rsidRPr="0078688E">
              <w:rPr>
                <w:rFonts w:ascii="Arial" w:hAnsi="Arial" w:cs="Arial"/>
                <w:sz w:val="20"/>
                <w:szCs w:val="20"/>
              </w:rPr>
              <w:t>analysis spreadsheet</w:t>
            </w:r>
            <w:r w:rsidR="008F3D6B" w:rsidRPr="0078688E">
              <w:rPr>
                <w:rFonts w:ascii="Arial" w:hAnsi="Arial" w:cs="Arial"/>
                <w:sz w:val="20"/>
                <w:szCs w:val="20"/>
              </w:rPr>
              <w:t>).</w:t>
            </w:r>
          </w:p>
          <w:p w:rsidR="00B773E9" w:rsidRPr="0078688E" w:rsidRDefault="00B773E9" w:rsidP="00B773E9">
            <w:pPr>
              <w:spacing w:after="0" w:line="240" w:lineRule="auto"/>
              <w:rPr>
                <w:rFonts w:ascii="Arial" w:hAnsi="Arial" w:cs="Arial"/>
                <w:sz w:val="20"/>
                <w:szCs w:val="20"/>
              </w:rPr>
            </w:pPr>
            <w:r w:rsidRPr="0078688E">
              <w:rPr>
                <w:rFonts w:ascii="Arial" w:hAnsi="Arial" w:cs="Arial"/>
                <w:sz w:val="20"/>
                <w:szCs w:val="20"/>
              </w:rPr>
              <w:t xml:space="preserve">Task 9 – </w:t>
            </w:r>
            <w:r w:rsidR="00413511">
              <w:rPr>
                <w:rFonts w:ascii="Arial" w:hAnsi="Arial" w:cs="Arial"/>
                <w:sz w:val="20"/>
                <w:szCs w:val="20"/>
              </w:rPr>
              <w:t>TAC quarterly update reports will continue to be combined for final reports.</w:t>
            </w:r>
          </w:p>
          <w:p w:rsidR="00B773E9" w:rsidRPr="0078688E" w:rsidRDefault="00587908" w:rsidP="00B773E9">
            <w:pPr>
              <w:spacing w:after="0" w:line="240" w:lineRule="auto"/>
              <w:rPr>
                <w:rFonts w:ascii="Arial" w:hAnsi="Arial" w:cs="Arial"/>
                <w:sz w:val="20"/>
                <w:szCs w:val="20"/>
              </w:rPr>
            </w:pPr>
            <w:r w:rsidRPr="0078688E">
              <w:rPr>
                <w:rFonts w:ascii="Arial" w:hAnsi="Arial" w:cs="Arial"/>
                <w:sz w:val="20"/>
                <w:szCs w:val="20"/>
              </w:rPr>
              <w:t xml:space="preserve">Task 10 – </w:t>
            </w:r>
            <w:r w:rsidR="00752379" w:rsidRPr="0078688E">
              <w:rPr>
                <w:rFonts w:ascii="Arial" w:hAnsi="Arial" w:cs="Arial"/>
                <w:sz w:val="20"/>
                <w:szCs w:val="20"/>
              </w:rPr>
              <w:t>None.</w:t>
            </w:r>
          </w:p>
          <w:p w:rsidR="00B773E9" w:rsidRPr="0078688E" w:rsidRDefault="00B773E9" w:rsidP="00B773E9">
            <w:pPr>
              <w:spacing w:after="0" w:line="240" w:lineRule="auto"/>
              <w:rPr>
                <w:rFonts w:ascii="Arial" w:hAnsi="Arial" w:cs="Arial"/>
                <w:sz w:val="20"/>
                <w:szCs w:val="20"/>
              </w:rPr>
            </w:pPr>
            <w:r w:rsidRPr="0078688E">
              <w:rPr>
                <w:rFonts w:ascii="Arial" w:hAnsi="Arial" w:cs="Arial"/>
                <w:sz w:val="20"/>
                <w:szCs w:val="20"/>
              </w:rPr>
              <w:t xml:space="preserve">Task 11 – </w:t>
            </w:r>
            <w:r w:rsidR="00ED19A9" w:rsidRPr="0078688E">
              <w:rPr>
                <w:rFonts w:ascii="Arial" w:hAnsi="Arial" w:cs="Arial"/>
                <w:sz w:val="20"/>
                <w:szCs w:val="20"/>
              </w:rPr>
              <w:t xml:space="preserve">A TAC web-conference will be held </w:t>
            </w:r>
            <w:r w:rsidR="00C853D8" w:rsidRPr="0078688E">
              <w:rPr>
                <w:rFonts w:ascii="Arial" w:hAnsi="Arial" w:cs="Arial"/>
                <w:sz w:val="20"/>
                <w:szCs w:val="20"/>
              </w:rPr>
              <w:t>in</w:t>
            </w:r>
            <w:r w:rsidR="00ED19A9" w:rsidRPr="0078688E">
              <w:rPr>
                <w:rFonts w:ascii="Arial" w:hAnsi="Arial" w:cs="Arial"/>
                <w:sz w:val="20"/>
                <w:szCs w:val="20"/>
              </w:rPr>
              <w:t xml:space="preserve"> </w:t>
            </w:r>
            <w:r w:rsidR="00413511">
              <w:rPr>
                <w:rFonts w:ascii="Arial" w:hAnsi="Arial" w:cs="Arial"/>
                <w:sz w:val="20"/>
                <w:szCs w:val="20"/>
              </w:rPr>
              <w:t>October or November</w:t>
            </w:r>
            <w:r w:rsidR="00ED19A9" w:rsidRPr="0078688E">
              <w:rPr>
                <w:rFonts w:ascii="Arial" w:hAnsi="Arial" w:cs="Arial"/>
                <w:sz w:val="20"/>
                <w:szCs w:val="20"/>
              </w:rPr>
              <w:t xml:space="preserve"> to review progress and provide feedback.</w:t>
            </w:r>
          </w:p>
          <w:p w:rsidR="00B773E9" w:rsidRPr="0078688E" w:rsidRDefault="00B773E9" w:rsidP="00B773E9">
            <w:pPr>
              <w:spacing w:after="0" w:line="240" w:lineRule="auto"/>
              <w:rPr>
                <w:rFonts w:ascii="Arial" w:hAnsi="Arial" w:cs="Arial"/>
                <w:sz w:val="20"/>
                <w:szCs w:val="20"/>
              </w:rPr>
            </w:pPr>
            <w:r w:rsidRPr="0078688E">
              <w:rPr>
                <w:rFonts w:ascii="Arial" w:hAnsi="Arial" w:cs="Arial"/>
                <w:sz w:val="20"/>
                <w:szCs w:val="20"/>
              </w:rPr>
              <w:t>Contract –</w:t>
            </w:r>
            <w:r w:rsidR="00413511">
              <w:rPr>
                <w:rFonts w:ascii="Arial" w:hAnsi="Arial" w:cs="Arial"/>
                <w:sz w:val="20"/>
                <w:szCs w:val="20"/>
              </w:rPr>
              <w:t xml:space="preserve"> A plan will be made with BYU and Oregon DOT to generate maps and other deliverables for Oregon DOT as part of the study.  This additional work </w:t>
            </w:r>
            <w:r w:rsidR="00480AC3">
              <w:rPr>
                <w:rFonts w:ascii="Arial" w:hAnsi="Arial" w:cs="Arial"/>
                <w:sz w:val="20"/>
                <w:szCs w:val="20"/>
              </w:rPr>
              <w:t xml:space="preserve">and budget </w:t>
            </w:r>
            <w:r w:rsidR="00413511">
              <w:rPr>
                <w:rFonts w:ascii="Arial" w:hAnsi="Arial" w:cs="Arial"/>
                <w:sz w:val="20"/>
                <w:szCs w:val="20"/>
              </w:rPr>
              <w:t>will be incorporated in a contract amendment.</w:t>
            </w:r>
          </w:p>
          <w:p w:rsidR="00926E5F" w:rsidRPr="0078688E" w:rsidRDefault="00926E5F" w:rsidP="00463EA1">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E17112" w:rsidRDefault="00E17112" w:rsidP="00360664">
            <w:pPr>
              <w:spacing w:after="0" w:line="240" w:lineRule="auto"/>
              <w:rPr>
                <w:rFonts w:ascii="Arial" w:hAnsi="Arial" w:cs="Arial"/>
                <w:sz w:val="20"/>
                <w:szCs w:val="20"/>
              </w:rPr>
            </w:pPr>
          </w:p>
          <w:p w:rsidR="00D52F90" w:rsidRDefault="00D52F90" w:rsidP="00D52F90">
            <w:pPr>
              <w:spacing w:after="0" w:line="240" w:lineRule="auto"/>
              <w:rPr>
                <w:rFonts w:ascii="Arial" w:hAnsi="Arial" w:cs="Arial"/>
                <w:sz w:val="20"/>
                <w:szCs w:val="20"/>
              </w:rPr>
            </w:pPr>
            <w:r>
              <w:rPr>
                <w:rFonts w:ascii="Arial" w:hAnsi="Arial" w:cs="Arial"/>
                <w:sz w:val="20"/>
                <w:szCs w:val="20"/>
              </w:rPr>
              <w:t xml:space="preserve">The research activities this quarter focused on applying the simplified performance-based volumetric strain (i.e., settlement) and simplified Newmark seismic slope displacement models to the states funding this research project. Specifically, volumetric strain parameter maps are currently being developed for the states, as well as slope displacement reference parameter maps. </w:t>
            </w:r>
          </w:p>
          <w:p w:rsidR="00D52F90" w:rsidRDefault="00D52F90" w:rsidP="00D52F90">
            <w:pPr>
              <w:spacing w:after="0" w:line="240" w:lineRule="auto"/>
              <w:rPr>
                <w:rFonts w:ascii="Arial" w:hAnsi="Arial" w:cs="Arial"/>
                <w:sz w:val="20"/>
                <w:szCs w:val="20"/>
              </w:rPr>
            </w:pPr>
          </w:p>
          <w:p w:rsidR="00D52F90" w:rsidRPr="001A1210" w:rsidRDefault="00D52F90" w:rsidP="00D52F90">
            <w:pPr>
              <w:spacing w:after="0" w:line="240" w:lineRule="auto"/>
              <w:rPr>
                <w:rFonts w:ascii="Arial" w:hAnsi="Arial" w:cs="Arial"/>
                <w:sz w:val="20"/>
                <w:szCs w:val="20"/>
              </w:rPr>
            </w:pPr>
            <w:r>
              <w:rPr>
                <w:rFonts w:ascii="Arial" w:hAnsi="Arial" w:cs="Arial"/>
                <w:sz w:val="20"/>
                <w:szCs w:val="20"/>
              </w:rPr>
              <w:t xml:space="preserve">The development of the reference maps this quarter required greater understanding of how the grid spacing used to develop the contour maps can bias the simplified results. If the grid spacing is too small, then the map developing will be analytically expensive and time-consuming. If the grid spacing is too large, then the maps will introduce bias in the computed hazards, particularly in areas of higher seismicity. A grid spacing study was performed to correlate the length of the grid spacing required to achieve </w:t>
            </w:r>
            <w:r w:rsidRPr="001A1210">
              <w:rPr>
                <w:rFonts w:ascii="Arial" w:hAnsi="Arial" w:cs="Arial"/>
                <w:position w:val="-4"/>
                <w:sz w:val="20"/>
                <w:szCs w:val="20"/>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2.25pt" o:ole="">
                  <v:imagedata r:id="rId10" o:title=""/>
                </v:shape>
                <o:OLEObject Type="Embed" ProgID="Equation.DSMT4" ShapeID="_x0000_i1025" DrawAspect="Content" ObjectID="_1507007853" r:id="rId11"/>
              </w:object>
            </w:r>
            <w:r>
              <w:rPr>
                <w:rFonts w:ascii="Arial" w:hAnsi="Arial" w:cs="Arial"/>
                <w:sz w:val="20"/>
                <w:szCs w:val="20"/>
              </w:rPr>
              <w:t xml:space="preserve"> 5% bias in </w:t>
            </w:r>
            <w:r w:rsidRPr="00031C62">
              <w:rPr>
                <w:rFonts w:ascii="Arial" w:hAnsi="Arial" w:cs="Arial"/>
                <w:position w:val="-14"/>
                <w:sz w:val="20"/>
                <w:szCs w:val="20"/>
              </w:rPr>
              <w:object w:dxaOrig="840" w:dyaOrig="400">
                <v:shape id="_x0000_i1026" type="#_x0000_t75" style="width:42.1pt;height:19.7pt" o:ole="">
                  <v:imagedata r:id="rId12" o:title=""/>
                </v:shape>
                <o:OLEObject Type="Embed" ProgID="Equation.DSMT4" ShapeID="_x0000_i1026" DrawAspect="Content" ObjectID="_1507007854" r:id="rId13"/>
              </w:object>
            </w:r>
            <w:r>
              <w:rPr>
                <w:rFonts w:ascii="Arial" w:hAnsi="Arial" w:cs="Arial"/>
                <w:sz w:val="20"/>
                <w:szCs w:val="20"/>
              </w:rPr>
              <w:t xml:space="preserve"> and </w:t>
            </w:r>
            <w:r w:rsidRPr="003B3175">
              <w:rPr>
                <w:rFonts w:ascii="Arial" w:hAnsi="Arial" w:cs="Arial"/>
                <w:position w:val="-14"/>
                <w:sz w:val="20"/>
                <w:szCs w:val="20"/>
              </w:rPr>
              <w:object w:dxaOrig="880" w:dyaOrig="440">
                <v:shape id="_x0000_i1027" type="#_x0000_t75" style="width:43.45pt;height:21.75pt" o:ole="">
                  <v:imagedata r:id="rId14" o:title=""/>
                </v:shape>
                <o:OLEObject Type="Embed" ProgID="Equation.DSMT4" ShapeID="_x0000_i1027" DrawAspect="Content" ObjectID="_1507007855" r:id="rId15"/>
              </w:object>
            </w:r>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mapped probabilistic peak ground acceleration (</w:t>
            </w:r>
            <w:r w:rsidRPr="00031C62">
              <w:rPr>
                <w:rFonts w:ascii="Arial" w:hAnsi="Arial" w:cs="Arial"/>
                <w:i/>
                <w:sz w:val="20"/>
                <w:szCs w:val="20"/>
              </w:rPr>
              <w:t>PGA</w:t>
            </w:r>
            <w:r>
              <w:rPr>
                <w:rFonts w:ascii="Arial" w:hAnsi="Arial" w:cs="Arial"/>
                <w:sz w:val="20"/>
                <w:szCs w:val="20"/>
              </w:rPr>
              <w:t xml:space="preserve">) hazard. Multiple cities across the U.S. were evaluated in developing these correlations. These were same cities that were used to evaluate the bias in the development of liquefaction loading parameter maps and lateral spread displacement reference parameter maps in the first year of the study. Because both volumetric strain and Newmark seismic slope displacement were to be simultaneously computed for the grids across the different states, focus was given to the hazard that demonstrated the “tightest” grid spacing. The results for the governing grid spacing relationship to achieve 5% or less bias in the computed reference parameters is shown in Fig. 1 and Table 1.  One may note that a few points were located well below our recommended grid spacing line. These points corresponded to cities such as Jackson Hole, WY; and Reno, NV, which are located on the boundaries between various seismic zones, as defined and delineated by the US. Geological Survey. As a result, these cities demonstrated very complex and erratic hazard behavior in our computations, and were therefore considered to be non-representative of the majority of U.S. cities that are located well within the boundaries of the USGS delineated seismic regions. Therefore, they were not considered when developing the boundaries for the grid spacing study. As a result, use of these simplified reference parameter maps in such cities could potentially result in a bias in the interpolated hazard reference parameter that is slightly more than 5%.  </w:t>
            </w:r>
          </w:p>
          <w:p w:rsidR="00D52F90" w:rsidRDefault="00D52F90" w:rsidP="00D52F90">
            <w:pPr>
              <w:spacing w:after="0" w:line="240" w:lineRule="auto"/>
              <w:rPr>
                <w:rFonts w:ascii="Arial" w:hAnsi="Arial" w:cs="Arial"/>
                <w:sz w:val="20"/>
                <w:szCs w:val="20"/>
              </w:rPr>
            </w:pPr>
          </w:p>
          <w:p w:rsidR="00D52F90" w:rsidRDefault="00D52F90" w:rsidP="00D52F90">
            <w:pPr>
              <w:spacing w:after="0" w:line="240" w:lineRule="auto"/>
              <w:jc w:val="center"/>
              <w:rPr>
                <w:rFonts w:ascii="Arial" w:hAnsi="Arial" w:cs="Arial"/>
                <w:sz w:val="20"/>
                <w:szCs w:val="20"/>
              </w:rPr>
            </w:pPr>
            <w:r>
              <w:rPr>
                <w:rFonts w:ascii="Arial" w:hAnsi="Arial" w:cs="Arial"/>
                <w:noProof/>
                <w:sz w:val="20"/>
                <w:szCs w:val="20"/>
              </w:rPr>
              <w:lastRenderedPageBreak/>
              <w:drawing>
                <wp:inline distT="0" distB="0" distL="0" distR="0" wp14:anchorId="569E232E">
                  <wp:extent cx="5883275" cy="4755515"/>
                  <wp:effectExtent l="0" t="0" r="3175"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3275" cy="4755515"/>
                          </a:xfrm>
                          <a:prstGeom prst="rect">
                            <a:avLst/>
                          </a:prstGeom>
                          <a:noFill/>
                        </pic:spPr>
                      </pic:pic>
                    </a:graphicData>
                  </a:graphic>
                </wp:inline>
              </w:drawing>
            </w:r>
          </w:p>
          <w:p w:rsidR="00D52F90" w:rsidRPr="00907579" w:rsidRDefault="00D52F90" w:rsidP="00D52F90">
            <w:pPr>
              <w:spacing w:after="0" w:line="240" w:lineRule="auto"/>
              <w:jc w:val="center"/>
              <w:rPr>
                <w:rFonts w:ascii="Arial" w:hAnsi="Arial" w:cs="Arial"/>
                <w:b/>
                <w:sz w:val="8"/>
                <w:szCs w:val="8"/>
              </w:rPr>
            </w:pPr>
          </w:p>
          <w:p w:rsidR="00D52F90" w:rsidRPr="00FC31CD" w:rsidRDefault="00D52F90" w:rsidP="00D52F90">
            <w:pPr>
              <w:spacing w:after="0" w:line="240" w:lineRule="auto"/>
              <w:rPr>
                <w:rFonts w:ascii="Arial" w:hAnsi="Arial" w:cs="Arial"/>
                <w:b/>
                <w:sz w:val="20"/>
                <w:szCs w:val="20"/>
              </w:rPr>
            </w:pPr>
            <w:r>
              <w:rPr>
                <w:rFonts w:ascii="Arial" w:hAnsi="Arial" w:cs="Arial"/>
                <w:b/>
                <w:sz w:val="20"/>
                <w:szCs w:val="20"/>
              </w:rPr>
              <w:t xml:space="preserve">Figure 1.  Recommended grid spacing correlation for developing liquefaction parameter/loading maps. These correlations should result in </w:t>
            </w:r>
            <w:r w:rsidRPr="00031C62">
              <w:rPr>
                <w:rFonts w:ascii="Arial" w:hAnsi="Arial" w:cs="Arial"/>
                <w:b/>
                <w:position w:val="-6"/>
                <w:sz w:val="20"/>
                <w:szCs w:val="20"/>
              </w:rPr>
              <w:object w:dxaOrig="580" w:dyaOrig="279">
                <v:shape id="_x0000_i1028" type="#_x0000_t75" style="width:29.2pt;height:14.25pt" o:ole="">
                  <v:imagedata r:id="rId17" o:title=""/>
                </v:shape>
                <o:OLEObject Type="Embed" ProgID="Equation.DSMT4" ShapeID="_x0000_i1028" DrawAspect="Content" ObjectID="_1507007856" r:id="rId18"/>
              </w:object>
            </w:r>
            <w:r>
              <w:rPr>
                <w:rFonts w:ascii="Arial" w:hAnsi="Arial" w:cs="Arial"/>
                <w:b/>
                <w:sz w:val="20"/>
                <w:szCs w:val="20"/>
              </w:rPr>
              <w:t xml:space="preserve"> absolute error in mapping hazard reference parameter values for volumetric strain and Newmark seismic slope displacement.</w:t>
            </w:r>
          </w:p>
          <w:p w:rsidR="00D52F90" w:rsidRPr="00907579" w:rsidRDefault="00D52F90" w:rsidP="00D52F90">
            <w:pPr>
              <w:spacing w:after="0" w:line="240" w:lineRule="auto"/>
              <w:rPr>
                <w:rFonts w:ascii="Arial" w:hAnsi="Arial" w:cs="Arial"/>
                <w:sz w:val="40"/>
                <w:szCs w:val="40"/>
              </w:rPr>
            </w:pPr>
          </w:p>
          <w:p w:rsidR="00D52F90" w:rsidRDefault="00D52F90" w:rsidP="00D52F90">
            <w:pPr>
              <w:spacing w:after="0" w:line="240" w:lineRule="auto"/>
              <w:rPr>
                <w:rFonts w:ascii="Arial" w:hAnsi="Arial" w:cs="Arial"/>
                <w:b/>
                <w:sz w:val="20"/>
                <w:szCs w:val="20"/>
              </w:rPr>
            </w:pPr>
            <w:r>
              <w:rPr>
                <w:rFonts w:ascii="Arial" w:hAnsi="Arial" w:cs="Arial"/>
                <w:b/>
                <w:sz w:val="20"/>
                <w:szCs w:val="20"/>
              </w:rPr>
              <w:t xml:space="preserve">Table 1.  Recommended grid spacing correlation for developing liquefaction parameter/loading maps. Interpreted from the hand-drawn correlations presented in Fig. 1. </w:t>
            </w:r>
          </w:p>
          <w:p w:rsidR="00D52F90" w:rsidRDefault="00D52F90" w:rsidP="00D52F90">
            <w:pPr>
              <w:spacing w:after="0" w:line="240" w:lineRule="auto"/>
              <w:rPr>
                <w:rFonts w:ascii="Arial" w:hAnsi="Arial" w:cs="Arial"/>
                <w:b/>
                <w:sz w:val="20"/>
                <w:szCs w:val="20"/>
              </w:rPr>
            </w:pPr>
          </w:p>
          <w:tbl>
            <w:tblPr>
              <w:tblW w:w="2821" w:type="dxa"/>
              <w:jc w:val="center"/>
              <w:tblLook w:val="04A0" w:firstRow="1" w:lastRow="0" w:firstColumn="1" w:lastColumn="0" w:noHBand="0" w:noVBand="1"/>
            </w:tblPr>
            <w:tblGrid>
              <w:gridCol w:w="1249"/>
              <w:gridCol w:w="1572"/>
            </w:tblGrid>
            <w:tr w:rsidR="000C2F8D" w:rsidRPr="006E1CB0" w:rsidTr="000C2F8D">
              <w:trPr>
                <w:trHeight w:val="683"/>
                <w:jc w:val="center"/>
              </w:trPr>
              <w:tc>
                <w:tcPr>
                  <w:tcW w:w="1249" w:type="dxa"/>
                  <w:tcBorders>
                    <w:top w:val="single" w:sz="4" w:space="0" w:color="auto"/>
                    <w:bottom w:val="double" w:sz="4" w:space="0" w:color="auto"/>
                  </w:tcBorders>
                  <w:shd w:val="clear" w:color="auto" w:fill="auto"/>
                  <w:noWrap/>
                  <w:vAlign w:val="center"/>
                  <w:hideMark/>
                </w:tcPr>
                <w:p w:rsidR="000C2F8D" w:rsidRPr="00777E11" w:rsidRDefault="000C2F8D" w:rsidP="00D2469F">
                  <w:pPr>
                    <w:spacing w:line="240" w:lineRule="auto"/>
                    <w:jc w:val="center"/>
                    <w:rPr>
                      <w:i/>
                      <w:color w:val="000000"/>
                    </w:rPr>
                  </w:pPr>
                  <w:r w:rsidRPr="00031C62">
                    <w:rPr>
                      <w:color w:val="000000"/>
                    </w:rPr>
                    <w:t xml:space="preserve">Mapped </w:t>
                  </w:r>
                  <w:r w:rsidRPr="00777E11">
                    <w:rPr>
                      <w:i/>
                      <w:color w:val="000000"/>
                    </w:rPr>
                    <w:t>PGA</w:t>
                  </w:r>
                  <w:r>
                    <w:rPr>
                      <w:i/>
                      <w:color w:val="000000"/>
                    </w:rPr>
                    <w:t xml:space="preserve"> (g)</w:t>
                  </w:r>
                </w:p>
              </w:tc>
              <w:tc>
                <w:tcPr>
                  <w:tcW w:w="1572" w:type="dxa"/>
                  <w:tcBorders>
                    <w:top w:val="single" w:sz="4" w:space="0" w:color="auto"/>
                    <w:bottom w:val="double" w:sz="4" w:space="0" w:color="auto"/>
                  </w:tcBorders>
                  <w:shd w:val="clear" w:color="auto" w:fill="auto"/>
                  <w:noWrap/>
                  <w:vAlign w:val="center"/>
                  <w:hideMark/>
                </w:tcPr>
                <w:p w:rsidR="000C2F8D" w:rsidRPr="006E1CB0" w:rsidRDefault="000C2F8D" w:rsidP="00D2469F">
                  <w:pPr>
                    <w:spacing w:line="240" w:lineRule="auto"/>
                    <w:jc w:val="center"/>
                    <w:rPr>
                      <w:color w:val="000000"/>
                    </w:rPr>
                  </w:pPr>
                  <w:r>
                    <w:rPr>
                      <w:color w:val="000000"/>
                    </w:rPr>
                    <w:t xml:space="preserve">Recommended </w:t>
                  </w:r>
                  <w:r w:rsidRPr="006E1CB0">
                    <w:rPr>
                      <w:color w:val="000000"/>
                    </w:rPr>
                    <w:t>Spacing (km)</w:t>
                  </w:r>
                </w:p>
              </w:tc>
            </w:tr>
            <w:tr w:rsidR="000C2F8D" w:rsidRPr="006E1CB0" w:rsidTr="000C2F8D">
              <w:trPr>
                <w:trHeight w:val="373"/>
                <w:jc w:val="center"/>
              </w:trPr>
              <w:tc>
                <w:tcPr>
                  <w:tcW w:w="1249" w:type="dxa"/>
                  <w:tcBorders>
                    <w:top w:val="double" w:sz="4" w:space="0" w:color="auto"/>
                  </w:tcBorders>
                  <w:shd w:val="clear" w:color="auto" w:fill="auto"/>
                  <w:noWrap/>
                  <w:vAlign w:val="center"/>
                  <w:hideMark/>
                </w:tcPr>
                <w:p w:rsidR="000C2F8D" w:rsidRPr="006E1CB0" w:rsidRDefault="000C2F8D" w:rsidP="00D2469F">
                  <w:pPr>
                    <w:spacing w:line="240" w:lineRule="auto"/>
                    <w:jc w:val="center"/>
                    <w:rPr>
                      <w:color w:val="000000"/>
                    </w:rPr>
                  </w:pPr>
                  <w:r w:rsidRPr="006E1CB0">
                    <w:rPr>
                      <w:color w:val="000000"/>
                    </w:rPr>
                    <w:t>0 - 0.04</w:t>
                  </w:r>
                </w:p>
              </w:tc>
              <w:tc>
                <w:tcPr>
                  <w:tcW w:w="1572" w:type="dxa"/>
                  <w:tcBorders>
                    <w:top w:val="double" w:sz="4" w:space="0" w:color="auto"/>
                  </w:tcBorders>
                  <w:shd w:val="clear" w:color="auto" w:fill="auto"/>
                  <w:noWrap/>
                  <w:vAlign w:val="center"/>
                  <w:hideMark/>
                </w:tcPr>
                <w:p w:rsidR="000C2F8D" w:rsidRPr="006E1CB0" w:rsidRDefault="000C2F8D" w:rsidP="00D2469F">
                  <w:pPr>
                    <w:spacing w:line="240" w:lineRule="auto"/>
                    <w:jc w:val="center"/>
                    <w:rPr>
                      <w:color w:val="000000"/>
                    </w:rPr>
                  </w:pPr>
                  <w:r w:rsidRPr="006E1CB0">
                    <w:rPr>
                      <w:color w:val="000000"/>
                    </w:rPr>
                    <w:t>50</w:t>
                  </w:r>
                </w:p>
              </w:tc>
            </w:tr>
            <w:tr w:rsidR="000C2F8D" w:rsidRPr="006E1CB0" w:rsidTr="000C2F8D">
              <w:trPr>
                <w:trHeight w:val="373"/>
                <w:jc w:val="center"/>
              </w:trPr>
              <w:tc>
                <w:tcPr>
                  <w:tcW w:w="1249" w:type="dxa"/>
                  <w:shd w:val="clear" w:color="auto" w:fill="auto"/>
                  <w:noWrap/>
                  <w:vAlign w:val="center"/>
                  <w:hideMark/>
                </w:tcPr>
                <w:p w:rsidR="000C2F8D" w:rsidRPr="006E1CB0" w:rsidRDefault="000C2F8D" w:rsidP="00D2469F">
                  <w:pPr>
                    <w:spacing w:line="240" w:lineRule="auto"/>
                    <w:jc w:val="center"/>
                    <w:rPr>
                      <w:color w:val="000000"/>
                    </w:rPr>
                  </w:pPr>
                  <w:r w:rsidRPr="006E1CB0">
                    <w:rPr>
                      <w:color w:val="000000"/>
                    </w:rPr>
                    <w:t>0.04 - 0.08</w:t>
                  </w:r>
                </w:p>
              </w:tc>
              <w:tc>
                <w:tcPr>
                  <w:tcW w:w="1572" w:type="dxa"/>
                  <w:shd w:val="clear" w:color="auto" w:fill="auto"/>
                  <w:noWrap/>
                  <w:vAlign w:val="center"/>
                  <w:hideMark/>
                </w:tcPr>
                <w:p w:rsidR="000C2F8D" w:rsidRPr="006E1CB0" w:rsidRDefault="000C2F8D" w:rsidP="00D2469F">
                  <w:pPr>
                    <w:spacing w:line="240" w:lineRule="auto"/>
                    <w:jc w:val="center"/>
                    <w:rPr>
                      <w:color w:val="000000"/>
                    </w:rPr>
                  </w:pPr>
                  <w:r w:rsidRPr="006E1CB0">
                    <w:rPr>
                      <w:color w:val="000000"/>
                    </w:rPr>
                    <w:t>50</w:t>
                  </w:r>
                </w:p>
              </w:tc>
            </w:tr>
            <w:tr w:rsidR="000C2F8D" w:rsidRPr="006E1CB0" w:rsidTr="000C2F8D">
              <w:trPr>
                <w:trHeight w:val="373"/>
                <w:jc w:val="center"/>
              </w:trPr>
              <w:tc>
                <w:tcPr>
                  <w:tcW w:w="1249" w:type="dxa"/>
                  <w:shd w:val="clear" w:color="auto" w:fill="auto"/>
                  <w:noWrap/>
                  <w:vAlign w:val="center"/>
                  <w:hideMark/>
                </w:tcPr>
                <w:p w:rsidR="000C2F8D" w:rsidRPr="006E1CB0" w:rsidRDefault="000C2F8D" w:rsidP="00D2469F">
                  <w:pPr>
                    <w:spacing w:line="240" w:lineRule="auto"/>
                    <w:jc w:val="center"/>
                    <w:rPr>
                      <w:color w:val="000000"/>
                    </w:rPr>
                  </w:pPr>
                  <w:r w:rsidRPr="006E1CB0">
                    <w:rPr>
                      <w:color w:val="000000"/>
                    </w:rPr>
                    <w:t>0.08 - 0.16</w:t>
                  </w:r>
                </w:p>
              </w:tc>
              <w:tc>
                <w:tcPr>
                  <w:tcW w:w="1572" w:type="dxa"/>
                  <w:shd w:val="clear" w:color="auto" w:fill="auto"/>
                  <w:noWrap/>
                  <w:vAlign w:val="center"/>
                  <w:hideMark/>
                </w:tcPr>
                <w:p w:rsidR="000C2F8D" w:rsidRPr="006E1CB0" w:rsidRDefault="000C2F8D" w:rsidP="00D2469F">
                  <w:pPr>
                    <w:spacing w:line="240" w:lineRule="auto"/>
                    <w:jc w:val="center"/>
                    <w:rPr>
                      <w:color w:val="000000"/>
                    </w:rPr>
                  </w:pPr>
                  <w:r>
                    <w:rPr>
                      <w:color w:val="000000"/>
                    </w:rPr>
                    <w:t>40</w:t>
                  </w:r>
                </w:p>
              </w:tc>
            </w:tr>
            <w:tr w:rsidR="000C2F8D" w:rsidRPr="006E1CB0" w:rsidTr="000C2F8D">
              <w:trPr>
                <w:trHeight w:val="373"/>
                <w:jc w:val="center"/>
              </w:trPr>
              <w:tc>
                <w:tcPr>
                  <w:tcW w:w="1249" w:type="dxa"/>
                  <w:shd w:val="clear" w:color="auto" w:fill="auto"/>
                  <w:noWrap/>
                  <w:vAlign w:val="center"/>
                  <w:hideMark/>
                </w:tcPr>
                <w:p w:rsidR="000C2F8D" w:rsidRPr="006E1CB0" w:rsidRDefault="000C2F8D" w:rsidP="00D2469F">
                  <w:pPr>
                    <w:spacing w:line="240" w:lineRule="auto"/>
                    <w:jc w:val="center"/>
                    <w:rPr>
                      <w:color w:val="000000"/>
                    </w:rPr>
                  </w:pPr>
                  <w:r w:rsidRPr="006E1CB0">
                    <w:rPr>
                      <w:color w:val="000000"/>
                    </w:rPr>
                    <w:t>0.16 - 0.32</w:t>
                  </w:r>
                </w:p>
              </w:tc>
              <w:tc>
                <w:tcPr>
                  <w:tcW w:w="1572" w:type="dxa"/>
                  <w:shd w:val="clear" w:color="auto" w:fill="auto"/>
                  <w:noWrap/>
                  <w:vAlign w:val="center"/>
                  <w:hideMark/>
                </w:tcPr>
                <w:p w:rsidR="000C2F8D" w:rsidRPr="006E1CB0" w:rsidRDefault="000C2F8D" w:rsidP="00D2469F">
                  <w:pPr>
                    <w:spacing w:line="240" w:lineRule="auto"/>
                    <w:jc w:val="center"/>
                    <w:rPr>
                      <w:color w:val="000000"/>
                    </w:rPr>
                  </w:pPr>
                  <w:r>
                    <w:rPr>
                      <w:color w:val="000000"/>
                    </w:rPr>
                    <w:t>30</w:t>
                  </w:r>
                </w:p>
              </w:tc>
            </w:tr>
            <w:tr w:rsidR="000C2F8D" w:rsidRPr="006E1CB0" w:rsidTr="000C2F8D">
              <w:trPr>
                <w:trHeight w:val="373"/>
                <w:jc w:val="center"/>
              </w:trPr>
              <w:tc>
                <w:tcPr>
                  <w:tcW w:w="1249" w:type="dxa"/>
                  <w:shd w:val="clear" w:color="auto" w:fill="auto"/>
                  <w:noWrap/>
                  <w:vAlign w:val="center"/>
                  <w:hideMark/>
                </w:tcPr>
                <w:p w:rsidR="000C2F8D" w:rsidRPr="006E1CB0" w:rsidRDefault="000C2F8D" w:rsidP="00D2469F">
                  <w:pPr>
                    <w:spacing w:line="240" w:lineRule="auto"/>
                    <w:jc w:val="center"/>
                    <w:rPr>
                      <w:color w:val="000000"/>
                    </w:rPr>
                  </w:pPr>
                  <w:r w:rsidRPr="006E1CB0">
                    <w:rPr>
                      <w:color w:val="000000"/>
                    </w:rPr>
                    <w:t>0.32 - 0.48</w:t>
                  </w:r>
                </w:p>
              </w:tc>
              <w:tc>
                <w:tcPr>
                  <w:tcW w:w="1572" w:type="dxa"/>
                  <w:shd w:val="clear" w:color="auto" w:fill="auto"/>
                  <w:noWrap/>
                  <w:vAlign w:val="center"/>
                  <w:hideMark/>
                </w:tcPr>
                <w:p w:rsidR="000C2F8D" w:rsidRPr="006E1CB0" w:rsidRDefault="000C2F8D" w:rsidP="00D2469F">
                  <w:pPr>
                    <w:spacing w:line="240" w:lineRule="auto"/>
                    <w:jc w:val="center"/>
                    <w:rPr>
                      <w:color w:val="000000"/>
                    </w:rPr>
                  </w:pPr>
                  <w:r>
                    <w:rPr>
                      <w:color w:val="000000"/>
                    </w:rPr>
                    <w:t>10</w:t>
                  </w:r>
                </w:p>
              </w:tc>
            </w:tr>
            <w:tr w:rsidR="000C2F8D" w:rsidRPr="006E1CB0" w:rsidTr="000C2F8D">
              <w:trPr>
                <w:trHeight w:val="373"/>
                <w:jc w:val="center"/>
              </w:trPr>
              <w:tc>
                <w:tcPr>
                  <w:tcW w:w="1249" w:type="dxa"/>
                  <w:shd w:val="clear" w:color="auto" w:fill="auto"/>
                  <w:noWrap/>
                  <w:vAlign w:val="center"/>
                  <w:hideMark/>
                </w:tcPr>
                <w:p w:rsidR="000C2F8D" w:rsidRPr="006E1CB0" w:rsidRDefault="000C2F8D" w:rsidP="00D2469F">
                  <w:pPr>
                    <w:spacing w:line="240" w:lineRule="auto"/>
                    <w:jc w:val="center"/>
                    <w:rPr>
                      <w:color w:val="000000"/>
                    </w:rPr>
                  </w:pPr>
                  <w:r w:rsidRPr="006E1CB0">
                    <w:rPr>
                      <w:color w:val="000000"/>
                    </w:rPr>
                    <w:t>0.48 - 0.64</w:t>
                  </w:r>
                </w:p>
              </w:tc>
              <w:tc>
                <w:tcPr>
                  <w:tcW w:w="1572" w:type="dxa"/>
                  <w:shd w:val="clear" w:color="auto" w:fill="auto"/>
                  <w:noWrap/>
                  <w:vAlign w:val="center"/>
                  <w:hideMark/>
                </w:tcPr>
                <w:p w:rsidR="000C2F8D" w:rsidRPr="006E1CB0" w:rsidRDefault="000C2F8D" w:rsidP="00D2469F">
                  <w:pPr>
                    <w:spacing w:line="240" w:lineRule="auto"/>
                    <w:jc w:val="center"/>
                    <w:rPr>
                      <w:color w:val="000000"/>
                    </w:rPr>
                  </w:pPr>
                  <w:r w:rsidRPr="006E1CB0">
                    <w:rPr>
                      <w:color w:val="000000"/>
                    </w:rPr>
                    <w:t>8</w:t>
                  </w:r>
                </w:p>
              </w:tc>
            </w:tr>
            <w:tr w:rsidR="000C2F8D" w:rsidRPr="006E1CB0" w:rsidTr="000C2F8D">
              <w:trPr>
                <w:trHeight w:val="373"/>
                <w:jc w:val="center"/>
              </w:trPr>
              <w:tc>
                <w:tcPr>
                  <w:tcW w:w="1249" w:type="dxa"/>
                  <w:tcBorders>
                    <w:bottom w:val="single" w:sz="4" w:space="0" w:color="auto"/>
                  </w:tcBorders>
                  <w:shd w:val="clear" w:color="auto" w:fill="auto"/>
                  <w:noWrap/>
                  <w:vAlign w:val="center"/>
                  <w:hideMark/>
                </w:tcPr>
                <w:p w:rsidR="000C2F8D" w:rsidRPr="006E1CB0" w:rsidRDefault="000C2F8D" w:rsidP="00D2469F">
                  <w:pPr>
                    <w:spacing w:line="240" w:lineRule="auto"/>
                    <w:jc w:val="center"/>
                    <w:rPr>
                      <w:color w:val="000000"/>
                    </w:rPr>
                  </w:pPr>
                  <w:r w:rsidRPr="006E1CB0">
                    <w:rPr>
                      <w:color w:val="000000"/>
                    </w:rPr>
                    <w:t>0.64+</w:t>
                  </w:r>
                </w:p>
              </w:tc>
              <w:tc>
                <w:tcPr>
                  <w:tcW w:w="1572" w:type="dxa"/>
                  <w:tcBorders>
                    <w:bottom w:val="single" w:sz="4" w:space="0" w:color="auto"/>
                  </w:tcBorders>
                  <w:shd w:val="clear" w:color="auto" w:fill="auto"/>
                  <w:noWrap/>
                  <w:vAlign w:val="center"/>
                  <w:hideMark/>
                </w:tcPr>
                <w:p w:rsidR="000C2F8D" w:rsidRPr="006E1CB0" w:rsidRDefault="000C2F8D" w:rsidP="00D2469F">
                  <w:pPr>
                    <w:spacing w:line="240" w:lineRule="auto"/>
                    <w:jc w:val="center"/>
                    <w:rPr>
                      <w:color w:val="000000"/>
                    </w:rPr>
                  </w:pPr>
                  <w:r w:rsidRPr="006E1CB0">
                    <w:rPr>
                      <w:color w:val="000000"/>
                    </w:rPr>
                    <w:t>4</w:t>
                  </w:r>
                </w:p>
              </w:tc>
            </w:tr>
          </w:tbl>
          <w:p w:rsidR="00D51D40" w:rsidRPr="00114A2D" w:rsidRDefault="00D51D40">
            <w:pPr>
              <w:spacing w:after="0" w:line="240" w:lineRule="auto"/>
              <w:rPr>
                <w:rFonts w:ascii="Arial" w:hAnsi="Arial" w:cs="Arial"/>
                <w:strike/>
                <w:sz w:val="20"/>
                <w:szCs w:val="20"/>
              </w:rPr>
            </w:pPr>
          </w:p>
          <w:p w:rsidR="00D51D40" w:rsidRPr="00CC401B" w:rsidRDefault="00D51D40" w:rsidP="000C2F8D">
            <w:pPr>
              <w:spacing w:after="0" w:line="240" w:lineRule="auto"/>
              <w:jc w:val="center"/>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bookmarkStart w:id="0" w:name="_GoBack"/>
            <w:bookmarkEnd w:id="0"/>
          </w:p>
          <w:p w:rsidR="0090315B" w:rsidRDefault="000C2F8D" w:rsidP="00360664">
            <w:pPr>
              <w:spacing w:after="0" w:line="240" w:lineRule="auto"/>
              <w:rPr>
                <w:rFonts w:ascii="Arial" w:hAnsi="Arial" w:cs="Arial"/>
                <w:sz w:val="20"/>
                <w:szCs w:val="20"/>
              </w:rPr>
            </w:pPr>
            <w:r>
              <w:rPr>
                <w:rFonts w:ascii="Arial" w:hAnsi="Arial" w:cs="Arial"/>
                <w:sz w:val="20"/>
                <w:szCs w:val="20"/>
              </w:rPr>
              <w:t>Because reference parameter maps for both volumetric strain and seismic slope displacement are being developed simultaneously, they are taking longer to develop than the reference parameter maps developed in the first year of the research. In addition, the grid spacing for areas of moderate seismicity is significantly tighter than it was for the maps in the first year, resulting in more grid points in such area</w:t>
            </w:r>
            <w:r w:rsidR="00805225">
              <w:rPr>
                <w:rFonts w:ascii="Arial" w:hAnsi="Arial" w:cs="Arial"/>
                <w:sz w:val="20"/>
                <w:szCs w:val="20"/>
              </w:rPr>
              <w:t>s</w:t>
            </w:r>
            <w:r>
              <w:rPr>
                <w:rFonts w:ascii="Arial" w:hAnsi="Arial" w:cs="Arial"/>
                <w:sz w:val="20"/>
                <w:szCs w:val="20"/>
              </w:rPr>
              <w:t xml:space="preserve">. This latter observation has had a particularly significant impact on our analysis of the state of Alaska due to its very large size. Finally, we have observed that the USGS probabilistic </w:t>
            </w:r>
            <w:proofErr w:type="spellStart"/>
            <w:r>
              <w:rPr>
                <w:rFonts w:ascii="Arial" w:hAnsi="Arial" w:cs="Arial"/>
                <w:sz w:val="20"/>
                <w:szCs w:val="20"/>
              </w:rPr>
              <w:t>deaggregation</w:t>
            </w:r>
            <w:proofErr w:type="spellEnd"/>
            <w:r>
              <w:rPr>
                <w:rFonts w:ascii="Arial" w:hAnsi="Arial" w:cs="Arial"/>
                <w:sz w:val="20"/>
                <w:szCs w:val="20"/>
              </w:rPr>
              <w:t xml:space="preserve"> servers, which our hazard tools utilize to compute reference parameter values, have struggled to meet demand during the past 1-2 months, resulting in additional delays. As a result, we are approximately 2 months behind schedule at this point. However, we anticipate that we will be able to make up this lost time in the last quarter of the study because much of the work to be performed in that quarter was already completed during the first year of the study. Therefore, we do not currently anticipate the need for additional time or budget.  </w:t>
            </w:r>
          </w:p>
          <w:p w:rsidR="000C209F" w:rsidRPr="00360664" w:rsidRDefault="000C209F"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0C209F" w:rsidRDefault="000C2F8D" w:rsidP="00114A2D">
            <w:pPr>
              <w:spacing w:after="0" w:line="240" w:lineRule="auto"/>
              <w:rPr>
                <w:rFonts w:ascii="Arial" w:hAnsi="Arial" w:cs="Arial"/>
                <w:sz w:val="20"/>
                <w:szCs w:val="20"/>
              </w:rPr>
            </w:pPr>
            <w:r>
              <w:rPr>
                <w:rFonts w:ascii="Arial" w:hAnsi="Arial" w:cs="Arial"/>
                <w:sz w:val="20"/>
                <w:szCs w:val="20"/>
              </w:rPr>
              <w:t xml:space="preserve">Once the reference parameter hazard maps are developed for volumetric strain and seismic slope displacement, engineers will be able to compute probabilistic estimates of post-liquefaction settlement and seismic slope displacement in conjunction with liquefaction triggering and lateral spread displacement. The research activities in the last quarter will focus on implementing the methods into the spreadsheet that was developed for this study so that engineers can easily use these procedures on their engineering projects. </w:t>
            </w:r>
            <w:r w:rsidR="00214FE9">
              <w:rPr>
                <w:rFonts w:ascii="Arial" w:hAnsi="Arial" w:cs="Arial"/>
                <w:sz w:val="20"/>
                <w:szCs w:val="20"/>
              </w:rPr>
              <w:t xml:space="preserve"> </w:t>
            </w:r>
          </w:p>
          <w:p w:rsidR="00907579" w:rsidRPr="00360664" w:rsidRDefault="00907579" w:rsidP="00114A2D">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957" w:rsidRDefault="00541957" w:rsidP="00106C83">
      <w:pPr>
        <w:spacing w:after="0" w:line="240" w:lineRule="auto"/>
      </w:pPr>
      <w:r>
        <w:separator/>
      </w:r>
    </w:p>
  </w:endnote>
  <w:endnote w:type="continuationSeparator" w:id="0">
    <w:p w:rsidR="00541957" w:rsidRDefault="0054195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12" w:rsidRDefault="00F56012" w:rsidP="00E371D1">
    <w:pPr>
      <w:pStyle w:val="Footer"/>
      <w:ind w:left="-810"/>
    </w:pPr>
    <w:r>
      <w:t>TPF Program Standard Quarterly Reporting Format – 7/2011</w:t>
    </w:r>
  </w:p>
  <w:p w:rsidR="00F56012" w:rsidRDefault="00F56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957" w:rsidRDefault="00541957" w:rsidP="00106C83">
      <w:pPr>
        <w:spacing w:after="0" w:line="240" w:lineRule="auto"/>
      </w:pPr>
      <w:r>
        <w:separator/>
      </w:r>
    </w:p>
  </w:footnote>
  <w:footnote w:type="continuationSeparator" w:id="0">
    <w:p w:rsidR="00541957" w:rsidRDefault="0054195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20513"/>
    <w:rsid w:val="00021A3F"/>
    <w:rsid w:val="00027840"/>
    <w:rsid w:val="0003260A"/>
    <w:rsid w:val="000335CC"/>
    <w:rsid w:val="000342EB"/>
    <w:rsid w:val="00035DAD"/>
    <w:rsid w:val="00037FBC"/>
    <w:rsid w:val="00040795"/>
    <w:rsid w:val="000452C8"/>
    <w:rsid w:val="00045C7E"/>
    <w:rsid w:val="00046DCA"/>
    <w:rsid w:val="000556F2"/>
    <w:rsid w:val="00060908"/>
    <w:rsid w:val="00060DDA"/>
    <w:rsid w:val="00061A91"/>
    <w:rsid w:val="000632E0"/>
    <w:rsid w:val="0006342D"/>
    <w:rsid w:val="00064DBC"/>
    <w:rsid w:val="00065B11"/>
    <w:rsid w:val="00071797"/>
    <w:rsid w:val="000736BB"/>
    <w:rsid w:val="00074656"/>
    <w:rsid w:val="0007547B"/>
    <w:rsid w:val="0008172C"/>
    <w:rsid w:val="00085456"/>
    <w:rsid w:val="00086047"/>
    <w:rsid w:val="00087DC0"/>
    <w:rsid w:val="000937EA"/>
    <w:rsid w:val="000957A8"/>
    <w:rsid w:val="000A0D23"/>
    <w:rsid w:val="000A7C22"/>
    <w:rsid w:val="000B1557"/>
    <w:rsid w:val="000B2F53"/>
    <w:rsid w:val="000B665A"/>
    <w:rsid w:val="000C19CB"/>
    <w:rsid w:val="000C209F"/>
    <w:rsid w:val="000C2F8D"/>
    <w:rsid w:val="000C3E6D"/>
    <w:rsid w:val="000C4744"/>
    <w:rsid w:val="000C4AC9"/>
    <w:rsid w:val="000C65A5"/>
    <w:rsid w:val="000D1273"/>
    <w:rsid w:val="000D6962"/>
    <w:rsid w:val="000E112D"/>
    <w:rsid w:val="000E189F"/>
    <w:rsid w:val="000E1C3A"/>
    <w:rsid w:val="000F489B"/>
    <w:rsid w:val="000F752B"/>
    <w:rsid w:val="000F7DCA"/>
    <w:rsid w:val="00103835"/>
    <w:rsid w:val="00106C83"/>
    <w:rsid w:val="001147C8"/>
    <w:rsid w:val="00114A2D"/>
    <w:rsid w:val="00121037"/>
    <w:rsid w:val="00122CE0"/>
    <w:rsid w:val="00122DE0"/>
    <w:rsid w:val="001336E7"/>
    <w:rsid w:val="001428DF"/>
    <w:rsid w:val="001429F4"/>
    <w:rsid w:val="001536F4"/>
    <w:rsid w:val="00154785"/>
    <w:rsid w:val="001547D0"/>
    <w:rsid w:val="00161153"/>
    <w:rsid w:val="00164E36"/>
    <w:rsid w:val="00165AF3"/>
    <w:rsid w:val="00174FA3"/>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763A"/>
    <w:rsid w:val="001D77C2"/>
    <w:rsid w:val="001E7777"/>
    <w:rsid w:val="001F10B5"/>
    <w:rsid w:val="001F1101"/>
    <w:rsid w:val="001F7414"/>
    <w:rsid w:val="00202788"/>
    <w:rsid w:val="002028BE"/>
    <w:rsid w:val="00205F86"/>
    <w:rsid w:val="0021446D"/>
    <w:rsid w:val="00214FE9"/>
    <w:rsid w:val="0022101B"/>
    <w:rsid w:val="00221214"/>
    <w:rsid w:val="00225004"/>
    <w:rsid w:val="0023315F"/>
    <w:rsid w:val="00236E81"/>
    <w:rsid w:val="00237469"/>
    <w:rsid w:val="002416F6"/>
    <w:rsid w:val="00243FCC"/>
    <w:rsid w:val="002442E9"/>
    <w:rsid w:val="00245D5B"/>
    <w:rsid w:val="0025100B"/>
    <w:rsid w:val="002571EA"/>
    <w:rsid w:val="002661B7"/>
    <w:rsid w:val="00271658"/>
    <w:rsid w:val="00272964"/>
    <w:rsid w:val="002742C3"/>
    <w:rsid w:val="00276274"/>
    <w:rsid w:val="002765D0"/>
    <w:rsid w:val="00281C9D"/>
    <w:rsid w:val="00281E8E"/>
    <w:rsid w:val="00285DA3"/>
    <w:rsid w:val="00291F1C"/>
    <w:rsid w:val="0029327C"/>
    <w:rsid w:val="002936D0"/>
    <w:rsid w:val="00293FD8"/>
    <w:rsid w:val="002A0E0A"/>
    <w:rsid w:val="002A61A3"/>
    <w:rsid w:val="002A79C8"/>
    <w:rsid w:val="002B1447"/>
    <w:rsid w:val="002B31FF"/>
    <w:rsid w:val="002B56F3"/>
    <w:rsid w:val="002B708D"/>
    <w:rsid w:val="002B7515"/>
    <w:rsid w:val="002C2F72"/>
    <w:rsid w:val="002C4321"/>
    <w:rsid w:val="002C6E75"/>
    <w:rsid w:val="002D0754"/>
    <w:rsid w:val="002D0D07"/>
    <w:rsid w:val="002D353E"/>
    <w:rsid w:val="002D60CF"/>
    <w:rsid w:val="002D6EA4"/>
    <w:rsid w:val="002E3814"/>
    <w:rsid w:val="002E5C07"/>
    <w:rsid w:val="002F3D8F"/>
    <w:rsid w:val="002F44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42D7"/>
    <w:rsid w:val="00346691"/>
    <w:rsid w:val="00357BC4"/>
    <w:rsid w:val="00360664"/>
    <w:rsid w:val="00362F45"/>
    <w:rsid w:val="003630A0"/>
    <w:rsid w:val="003634EC"/>
    <w:rsid w:val="00366877"/>
    <w:rsid w:val="00374D25"/>
    <w:rsid w:val="0037649F"/>
    <w:rsid w:val="00382110"/>
    <w:rsid w:val="0038529F"/>
    <w:rsid w:val="00386FBE"/>
    <w:rsid w:val="0038705A"/>
    <w:rsid w:val="00395A48"/>
    <w:rsid w:val="003979BD"/>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13511"/>
    <w:rsid w:val="004144E6"/>
    <w:rsid w:val="004156B2"/>
    <w:rsid w:val="0041707D"/>
    <w:rsid w:val="00432286"/>
    <w:rsid w:val="0043487E"/>
    <w:rsid w:val="00436383"/>
    <w:rsid w:val="00437734"/>
    <w:rsid w:val="004377DD"/>
    <w:rsid w:val="00437E79"/>
    <w:rsid w:val="00440CE6"/>
    <w:rsid w:val="00447F77"/>
    <w:rsid w:val="004519D7"/>
    <w:rsid w:val="0045218A"/>
    <w:rsid w:val="00452515"/>
    <w:rsid w:val="00455A67"/>
    <w:rsid w:val="0046217B"/>
    <w:rsid w:val="00463EA1"/>
    <w:rsid w:val="00476BA3"/>
    <w:rsid w:val="00480AC3"/>
    <w:rsid w:val="004828D8"/>
    <w:rsid w:val="004846CC"/>
    <w:rsid w:val="004913CE"/>
    <w:rsid w:val="00492C17"/>
    <w:rsid w:val="004974E1"/>
    <w:rsid w:val="004A3ABB"/>
    <w:rsid w:val="004A5173"/>
    <w:rsid w:val="004B3E34"/>
    <w:rsid w:val="004D5EEE"/>
    <w:rsid w:val="004D6151"/>
    <w:rsid w:val="004D6DF5"/>
    <w:rsid w:val="004E14DC"/>
    <w:rsid w:val="004E4852"/>
    <w:rsid w:val="004E4A6C"/>
    <w:rsid w:val="004E6402"/>
    <w:rsid w:val="004E771A"/>
    <w:rsid w:val="004F586D"/>
    <w:rsid w:val="00501478"/>
    <w:rsid w:val="005030A0"/>
    <w:rsid w:val="00504F10"/>
    <w:rsid w:val="005077FE"/>
    <w:rsid w:val="00511F24"/>
    <w:rsid w:val="00511FD0"/>
    <w:rsid w:val="00512783"/>
    <w:rsid w:val="005130F7"/>
    <w:rsid w:val="005135ED"/>
    <w:rsid w:val="00517E74"/>
    <w:rsid w:val="00520070"/>
    <w:rsid w:val="00520D9B"/>
    <w:rsid w:val="00526BB3"/>
    <w:rsid w:val="00532264"/>
    <w:rsid w:val="00533DC2"/>
    <w:rsid w:val="00534F97"/>
    <w:rsid w:val="00535598"/>
    <w:rsid w:val="00535AE5"/>
    <w:rsid w:val="0053700F"/>
    <w:rsid w:val="00541957"/>
    <w:rsid w:val="00545CF7"/>
    <w:rsid w:val="00547870"/>
    <w:rsid w:val="00547EE3"/>
    <w:rsid w:val="0055178A"/>
    <w:rsid w:val="00551D8A"/>
    <w:rsid w:val="00567491"/>
    <w:rsid w:val="00567605"/>
    <w:rsid w:val="0057047E"/>
    <w:rsid w:val="0057136C"/>
    <w:rsid w:val="00572A58"/>
    <w:rsid w:val="00574EA0"/>
    <w:rsid w:val="00577067"/>
    <w:rsid w:val="00581B36"/>
    <w:rsid w:val="0058332B"/>
    <w:rsid w:val="0058363E"/>
    <w:rsid w:val="00583E8E"/>
    <w:rsid w:val="00587908"/>
    <w:rsid w:val="00591AF5"/>
    <w:rsid w:val="0059636D"/>
    <w:rsid w:val="005965D0"/>
    <w:rsid w:val="005A0EC0"/>
    <w:rsid w:val="005A16F8"/>
    <w:rsid w:val="005A4E82"/>
    <w:rsid w:val="005B4511"/>
    <w:rsid w:val="005B4745"/>
    <w:rsid w:val="005C01E8"/>
    <w:rsid w:val="005C2C1F"/>
    <w:rsid w:val="005C75FE"/>
    <w:rsid w:val="005D25B4"/>
    <w:rsid w:val="005D3419"/>
    <w:rsid w:val="005D567C"/>
    <w:rsid w:val="005D676C"/>
    <w:rsid w:val="005F5558"/>
    <w:rsid w:val="006015F0"/>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40344"/>
    <w:rsid w:val="00640E08"/>
    <w:rsid w:val="00641054"/>
    <w:rsid w:val="00642821"/>
    <w:rsid w:val="0064542D"/>
    <w:rsid w:val="00653AE0"/>
    <w:rsid w:val="00657540"/>
    <w:rsid w:val="006645A1"/>
    <w:rsid w:val="00670A8E"/>
    <w:rsid w:val="0068036E"/>
    <w:rsid w:val="00682C5E"/>
    <w:rsid w:val="00687192"/>
    <w:rsid w:val="006A7AC1"/>
    <w:rsid w:val="006B1998"/>
    <w:rsid w:val="006B42FE"/>
    <w:rsid w:val="006B6D4A"/>
    <w:rsid w:val="006B7448"/>
    <w:rsid w:val="006B7F63"/>
    <w:rsid w:val="006C08D2"/>
    <w:rsid w:val="006C1783"/>
    <w:rsid w:val="006C2DA5"/>
    <w:rsid w:val="006C378D"/>
    <w:rsid w:val="006C438C"/>
    <w:rsid w:val="006C4E6B"/>
    <w:rsid w:val="006C50DB"/>
    <w:rsid w:val="006C7F35"/>
    <w:rsid w:val="006D03A4"/>
    <w:rsid w:val="006D6160"/>
    <w:rsid w:val="006E1297"/>
    <w:rsid w:val="006F1879"/>
    <w:rsid w:val="006F669A"/>
    <w:rsid w:val="006F6A29"/>
    <w:rsid w:val="00705BE7"/>
    <w:rsid w:val="00707493"/>
    <w:rsid w:val="00715C3B"/>
    <w:rsid w:val="00725BCF"/>
    <w:rsid w:val="00726BE1"/>
    <w:rsid w:val="007308C4"/>
    <w:rsid w:val="00731FB6"/>
    <w:rsid w:val="00732659"/>
    <w:rsid w:val="00733FC5"/>
    <w:rsid w:val="00741D56"/>
    <w:rsid w:val="00742FFE"/>
    <w:rsid w:val="00743C01"/>
    <w:rsid w:val="007449D3"/>
    <w:rsid w:val="007459C3"/>
    <w:rsid w:val="00752379"/>
    <w:rsid w:val="00754076"/>
    <w:rsid w:val="00755D8B"/>
    <w:rsid w:val="00756D70"/>
    <w:rsid w:val="007604EA"/>
    <w:rsid w:val="00760A2B"/>
    <w:rsid w:val="00763824"/>
    <w:rsid w:val="00763DDA"/>
    <w:rsid w:val="00770417"/>
    <w:rsid w:val="00770FD2"/>
    <w:rsid w:val="00774CA4"/>
    <w:rsid w:val="00774FAA"/>
    <w:rsid w:val="00777B5F"/>
    <w:rsid w:val="0078688E"/>
    <w:rsid w:val="00790C4A"/>
    <w:rsid w:val="0079114B"/>
    <w:rsid w:val="0079313F"/>
    <w:rsid w:val="007932BB"/>
    <w:rsid w:val="007A4135"/>
    <w:rsid w:val="007B3202"/>
    <w:rsid w:val="007B3CBC"/>
    <w:rsid w:val="007B5208"/>
    <w:rsid w:val="007B5995"/>
    <w:rsid w:val="007B5EFC"/>
    <w:rsid w:val="007B7989"/>
    <w:rsid w:val="007C3363"/>
    <w:rsid w:val="007C480F"/>
    <w:rsid w:val="007C5DD0"/>
    <w:rsid w:val="007D0ADF"/>
    <w:rsid w:val="007D1298"/>
    <w:rsid w:val="007D1439"/>
    <w:rsid w:val="007D18E0"/>
    <w:rsid w:val="007D27BC"/>
    <w:rsid w:val="007D2B1D"/>
    <w:rsid w:val="007D2BB8"/>
    <w:rsid w:val="007D5CA9"/>
    <w:rsid w:val="007D695F"/>
    <w:rsid w:val="007E5BD2"/>
    <w:rsid w:val="007F0353"/>
    <w:rsid w:val="007F0BF1"/>
    <w:rsid w:val="007F4964"/>
    <w:rsid w:val="00800E72"/>
    <w:rsid w:val="00803CB4"/>
    <w:rsid w:val="00805225"/>
    <w:rsid w:val="00811DF5"/>
    <w:rsid w:val="008137D5"/>
    <w:rsid w:val="00814F16"/>
    <w:rsid w:val="008202B0"/>
    <w:rsid w:val="00821F4B"/>
    <w:rsid w:val="00822B79"/>
    <w:rsid w:val="00822FE0"/>
    <w:rsid w:val="00826193"/>
    <w:rsid w:val="008273D7"/>
    <w:rsid w:val="00833757"/>
    <w:rsid w:val="00833D43"/>
    <w:rsid w:val="008451C1"/>
    <w:rsid w:val="00845B74"/>
    <w:rsid w:val="008479DD"/>
    <w:rsid w:val="00851FDC"/>
    <w:rsid w:val="008531FF"/>
    <w:rsid w:val="00853ADF"/>
    <w:rsid w:val="008559B8"/>
    <w:rsid w:val="00863AD7"/>
    <w:rsid w:val="00864DD3"/>
    <w:rsid w:val="00866277"/>
    <w:rsid w:val="00867CFC"/>
    <w:rsid w:val="008727B7"/>
    <w:rsid w:val="00872F18"/>
    <w:rsid w:val="008730EB"/>
    <w:rsid w:val="00874EF7"/>
    <w:rsid w:val="008753B7"/>
    <w:rsid w:val="00876312"/>
    <w:rsid w:val="00883F30"/>
    <w:rsid w:val="008860BE"/>
    <w:rsid w:val="008942C9"/>
    <w:rsid w:val="008A6693"/>
    <w:rsid w:val="008B3332"/>
    <w:rsid w:val="008B449D"/>
    <w:rsid w:val="008C22B3"/>
    <w:rsid w:val="008D06D3"/>
    <w:rsid w:val="008D1B39"/>
    <w:rsid w:val="008D3307"/>
    <w:rsid w:val="008E57BB"/>
    <w:rsid w:val="008E6C4D"/>
    <w:rsid w:val="008E6F0C"/>
    <w:rsid w:val="008E75C5"/>
    <w:rsid w:val="008E7F29"/>
    <w:rsid w:val="008F00F3"/>
    <w:rsid w:val="008F3D6B"/>
    <w:rsid w:val="008F5A12"/>
    <w:rsid w:val="008F7F87"/>
    <w:rsid w:val="00900981"/>
    <w:rsid w:val="00901F7B"/>
    <w:rsid w:val="00902A65"/>
    <w:rsid w:val="0090315B"/>
    <w:rsid w:val="00907579"/>
    <w:rsid w:val="0091609B"/>
    <w:rsid w:val="0092091E"/>
    <w:rsid w:val="00923793"/>
    <w:rsid w:val="009255A2"/>
    <w:rsid w:val="00926E5F"/>
    <w:rsid w:val="00930617"/>
    <w:rsid w:val="00931376"/>
    <w:rsid w:val="00931D5A"/>
    <w:rsid w:val="00934F8D"/>
    <w:rsid w:val="00935EEF"/>
    <w:rsid w:val="00936D01"/>
    <w:rsid w:val="009431CA"/>
    <w:rsid w:val="00950310"/>
    <w:rsid w:val="00953F07"/>
    <w:rsid w:val="00956349"/>
    <w:rsid w:val="00957DF3"/>
    <w:rsid w:val="0096036D"/>
    <w:rsid w:val="00974B55"/>
    <w:rsid w:val="00980874"/>
    <w:rsid w:val="0098654C"/>
    <w:rsid w:val="00990EA4"/>
    <w:rsid w:val="009944A4"/>
    <w:rsid w:val="00994743"/>
    <w:rsid w:val="009958E4"/>
    <w:rsid w:val="00997B12"/>
    <w:rsid w:val="009A1ADB"/>
    <w:rsid w:val="009A62E2"/>
    <w:rsid w:val="009A666B"/>
    <w:rsid w:val="009A6841"/>
    <w:rsid w:val="009A76C8"/>
    <w:rsid w:val="009B0CE7"/>
    <w:rsid w:val="009B1790"/>
    <w:rsid w:val="009B2161"/>
    <w:rsid w:val="009B32D9"/>
    <w:rsid w:val="009B6056"/>
    <w:rsid w:val="009B699B"/>
    <w:rsid w:val="009B6BB8"/>
    <w:rsid w:val="009C3C41"/>
    <w:rsid w:val="009E245A"/>
    <w:rsid w:val="009E7D89"/>
    <w:rsid w:val="009F1434"/>
    <w:rsid w:val="009F264E"/>
    <w:rsid w:val="009F4F48"/>
    <w:rsid w:val="009F753A"/>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606D4"/>
    <w:rsid w:val="00A622D5"/>
    <w:rsid w:val="00A63677"/>
    <w:rsid w:val="00A6396D"/>
    <w:rsid w:val="00A64232"/>
    <w:rsid w:val="00A77243"/>
    <w:rsid w:val="00A82694"/>
    <w:rsid w:val="00A85447"/>
    <w:rsid w:val="00A937D9"/>
    <w:rsid w:val="00AA54A6"/>
    <w:rsid w:val="00AA72F5"/>
    <w:rsid w:val="00AB0016"/>
    <w:rsid w:val="00AB1949"/>
    <w:rsid w:val="00AB1B0F"/>
    <w:rsid w:val="00AB3E7F"/>
    <w:rsid w:val="00AB7C11"/>
    <w:rsid w:val="00AC5E5C"/>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12771"/>
    <w:rsid w:val="00B15312"/>
    <w:rsid w:val="00B2185C"/>
    <w:rsid w:val="00B265C0"/>
    <w:rsid w:val="00B30F4C"/>
    <w:rsid w:val="00B367BE"/>
    <w:rsid w:val="00B37065"/>
    <w:rsid w:val="00B44C2D"/>
    <w:rsid w:val="00B45A07"/>
    <w:rsid w:val="00B46767"/>
    <w:rsid w:val="00B46D2F"/>
    <w:rsid w:val="00B46E23"/>
    <w:rsid w:val="00B47884"/>
    <w:rsid w:val="00B47C54"/>
    <w:rsid w:val="00B52061"/>
    <w:rsid w:val="00B52859"/>
    <w:rsid w:val="00B53C27"/>
    <w:rsid w:val="00B61EC4"/>
    <w:rsid w:val="00B6412E"/>
    <w:rsid w:val="00B649D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F0A"/>
    <w:rsid w:val="00BA3C12"/>
    <w:rsid w:val="00BA5BF2"/>
    <w:rsid w:val="00BB2F20"/>
    <w:rsid w:val="00BB3628"/>
    <w:rsid w:val="00BB5AEE"/>
    <w:rsid w:val="00BC1C41"/>
    <w:rsid w:val="00BC4290"/>
    <w:rsid w:val="00BD1068"/>
    <w:rsid w:val="00BD26AD"/>
    <w:rsid w:val="00BD56BC"/>
    <w:rsid w:val="00BD653C"/>
    <w:rsid w:val="00BE1A35"/>
    <w:rsid w:val="00BE2ADA"/>
    <w:rsid w:val="00BE30B7"/>
    <w:rsid w:val="00BF0BF7"/>
    <w:rsid w:val="00BF0C78"/>
    <w:rsid w:val="00BF26C7"/>
    <w:rsid w:val="00BF3A67"/>
    <w:rsid w:val="00BF5713"/>
    <w:rsid w:val="00BF59F6"/>
    <w:rsid w:val="00BF715D"/>
    <w:rsid w:val="00C07F95"/>
    <w:rsid w:val="00C1079D"/>
    <w:rsid w:val="00C10FE4"/>
    <w:rsid w:val="00C13753"/>
    <w:rsid w:val="00C1542A"/>
    <w:rsid w:val="00C2005E"/>
    <w:rsid w:val="00C220B7"/>
    <w:rsid w:val="00C26502"/>
    <w:rsid w:val="00C26570"/>
    <w:rsid w:val="00C353A0"/>
    <w:rsid w:val="00C36682"/>
    <w:rsid w:val="00C42324"/>
    <w:rsid w:val="00C478EA"/>
    <w:rsid w:val="00C47C4A"/>
    <w:rsid w:val="00C510FD"/>
    <w:rsid w:val="00C51E33"/>
    <w:rsid w:val="00C554E6"/>
    <w:rsid w:val="00C57074"/>
    <w:rsid w:val="00C62BDF"/>
    <w:rsid w:val="00C673B0"/>
    <w:rsid w:val="00C75F3D"/>
    <w:rsid w:val="00C81384"/>
    <w:rsid w:val="00C84D56"/>
    <w:rsid w:val="00C853D8"/>
    <w:rsid w:val="00C8566C"/>
    <w:rsid w:val="00C87783"/>
    <w:rsid w:val="00C944EC"/>
    <w:rsid w:val="00C96E11"/>
    <w:rsid w:val="00C973F7"/>
    <w:rsid w:val="00CA0F72"/>
    <w:rsid w:val="00CA11F2"/>
    <w:rsid w:val="00CA1FBA"/>
    <w:rsid w:val="00CA24C5"/>
    <w:rsid w:val="00CA6C32"/>
    <w:rsid w:val="00CA7BD3"/>
    <w:rsid w:val="00CB005D"/>
    <w:rsid w:val="00CB08A8"/>
    <w:rsid w:val="00CB1B4E"/>
    <w:rsid w:val="00CB67EA"/>
    <w:rsid w:val="00CB763E"/>
    <w:rsid w:val="00CC3865"/>
    <w:rsid w:val="00CC401B"/>
    <w:rsid w:val="00CC57BE"/>
    <w:rsid w:val="00CD00EA"/>
    <w:rsid w:val="00CD1B7E"/>
    <w:rsid w:val="00CD7E8A"/>
    <w:rsid w:val="00CE27F9"/>
    <w:rsid w:val="00CE2EA8"/>
    <w:rsid w:val="00CE6739"/>
    <w:rsid w:val="00CF0AE4"/>
    <w:rsid w:val="00CF7676"/>
    <w:rsid w:val="00D00A11"/>
    <w:rsid w:val="00D031F3"/>
    <w:rsid w:val="00D056BA"/>
    <w:rsid w:val="00D06294"/>
    <w:rsid w:val="00D07D43"/>
    <w:rsid w:val="00D10420"/>
    <w:rsid w:val="00D15B0D"/>
    <w:rsid w:val="00D15C36"/>
    <w:rsid w:val="00D20F0C"/>
    <w:rsid w:val="00D21FE0"/>
    <w:rsid w:val="00D2329A"/>
    <w:rsid w:val="00D25918"/>
    <w:rsid w:val="00D30C5D"/>
    <w:rsid w:val="00D328B8"/>
    <w:rsid w:val="00D33634"/>
    <w:rsid w:val="00D3591A"/>
    <w:rsid w:val="00D40910"/>
    <w:rsid w:val="00D43FC8"/>
    <w:rsid w:val="00D47A1D"/>
    <w:rsid w:val="00D51D40"/>
    <w:rsid w:val="00D52F90"/>
    <w:rsid w:val="00D64CBB"/>
    <w:rsid w:val="00D73308"/>
    <w:rsid w:val="00D73367"/>
    <w:rsid w:val="00D74CFF"/>
    <w:rsid w:val="00D8797B"/>
    <w:rsid w:val="00D905D6"/>
    <w:rsid w:val="00D92CCD"/>
    <w:rsid w:val="00D9396F"/>
    <w:rsid w:val="00D97C29"/>
    <w:rsid w:val="00DA1322"/>
    <w:rsid w:val="00DA3DB5"/>
    <w:rsid w:val="00DA4AE9"/>
    <w:rsid w:val="00DB0E58"/>
    <w:rsid w:val="00DB66E9"/>
    <w:rsid w:val="00DC08E0"/>
    <w:rsid w:val="00DC6DF0"/>
    <w:rsid w:val="00DC781A"/>
    <w:rsid w:val="00DD6D1B"/>
    <w:rsid w:val="00DE1FDE"/>
    <w:rsid w:val="00DE2E58"/>
    <w:rsid w:val="00DE549E"/>
    <w:rsid w:val="00DF0220"/>
    <w:rsid w:val="00E003D2"/>
    <w:rsid w:val="00E03378"/>
    <w:rsid w:val="00E04954"/>
    <w:rsid w:val="00E04BD8"/>
    <w:rsid w:val="00E05E0F"/>
    <w:rsid w:val="00E06D63"/>
    <w:rsid w:val="00E107BB"/>
    <w:rsid w:val="00E14146"/>
    <w:rsid w:val="00E1603B"/>
    <w:rsid w:val="00E17112"/>
    <w:rsid w:val="00E22EA9"/>
    <w:rsid w:val="00E24A6B"/>
    <w:rsid w:val="00E2660D"/>
    <w:rsid w:val="00E30184"/>
    <w:rsid w:val="00E32A42"/>
    <w:rsid w:val="00E35E0F"/>
    <w:rsid w:val="00E36F6B"/>
    <w:rsid w:val="00E371D1"/>
    <w:rsid w:val="00E47EB2"/>
    <w:rsid w:val="00E53738"/>
    <w:rsid w:val="00E61227"/>
    <w:rsid w:val="00E65AB9"/>
    <w:rsid w:val="00E660E7"/>
    <w:rsid w:val="00E6710A"/>
    <w:rsid w:val="00E71B63"/>
    <w:rsid w:val="00E84F3B"/>
    <w:rsid w:val="00E919DB"/>
    <w:rsid w:val="00E92CC3"/>
    <w:rsid w:val="00E95C98"/>
    <w:rsid w:val="00E96594"/>
    <w:rsid w:val="00EA1C9E"/>
    <w:rsid w:val="00EA2676"/>
    <w:rsid w:val="00EA6697"/>
    <w:rsid w:val="00EA736A"/>
    <w:rsid w:val="00EB0DB3"/>
    <w:rsid w:val="00EB144C"/>
    <w:rsid w:val="00EB3A0C"/>
    <w:rsid w:val="00EB6860"/>
    <w:rsid w:val="00EC4414"/>
    <w:rsid w:val="00EC5178"/>
    <w:rsid w:val="00EC7DFE"/>
    <w:rsid w:val="00ED19A9"/>
    <w:rsid w:val="00ED3FD5"/>
    <w:rsid w:val="00ED450F"/>
    <w:rsid w:val="00ED5F67"/>
    <w:rsid w:val="00EE1C5F"/>
    <w:rsid w:val="00EF0113"/>
    <w:rsid w:val="00EF08AE"/>
    <w:rsid w:val="00EF24DF"/>
    <w:rsid w:val="00EF2813"/>
    <w:rsid w:val="00EF480F"/>
    <w:rsid w:val="00EF4B63"/>
    <w:rsid w:val="00EF5790"/>
    <w:rsid w:val="00EF5916"/>
    <w:rsid w:val="00F03FD7"/>
    <w:rsid w:val="00F0602A"/>
    <w:rsid w:val="00F060A7"/>
    <w:rsid w:val="00F07349"/>
    <w:rsid w:val="00F12C6B"/>
    <w:rsid w:val="00F15F19"/>
    <w:rsid w:val="00F17EBA"/>
    <w:rsid w:val="00F23C32"/>
    <w:rsid w:val="00F256A6"/>
    <w:rsid w:val="00F25D7E"/>
    <w:rsid w:val="00F265D6"/>
    <w:rsid w:val="00F334AA"/>
    <w:rsid w:val="00F40A56"/>
    <w:rsid w:val="00F44489"/>
    <w:rsid w:val="00F475EF"/>
    <w:rsid w:val="00F5003E"/>
    <w:rsid w:val="00F5478B"/>
    <w:rsid w:val="00F56012"/>
    <w:rsid w:val="00F62E9D"/>
    <w:rsid w:val="00F7183A"/>
    <w:rsid w:val="00F75CDE"/>
    <w:rsid w:val="00F7756F"/>
    <w:rsid w:val="00F77B94"/>
    <w:rsid w:val="00F84450"/>
    <w:rsid w:val="00F84E5A"/>
    <w:rsid w:val="00F91EE4"/>
    <w:rsid w:val="00F93966"/>
    <w:rsid w:val="00FA073F"/>
    <w:rsid w:val="00FB001F"/>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A0F4E-3177-4506-8A43-B0FA91F2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1920</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83</cp:revision>
  <cp:lastPrinted>2011-06-21T20:32:00Z</cp:lastPrinted>
  <dcterms:created xsi:type="dcterms:W3CDTF">2015-10-22T14:03:00Z</dcterms:created>
  <dcterms:modified xsi:type="dcterms:W3CDTF">2015-10-22T14:31:00Z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