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C37B0F">
            <w:pPr>
              <w:spacing w:after="0" w:line="240" w:lineRule="auto"/>
              <w:ind w:right="-108"/>
              <w:rPr>
                <w:rFonts w:ascii="Arial" w:hAnsi="Arial" w:cs="Arial"/>
                <w:b/>
                <w:sz w:val="20"/>
                <w:szCs w:val="20"/>
              </w:rPr>
            </w:pPr>
            <w:r w:rsidRPr="00360664">
              <w:rPr>
                <w:rFonts w:ascii="Arial" w:hAnsi="Arial" w:cs="Arial"/>
                <w:b/>
                <w:sz w:val="20"/>
                <w:szCs w:val="20"/>
              </w:rPr>
              <w:t>TPF-5(2</w:t>
            </w:r>
            <w:r w:rsidR="00C37B0F">
              <w:rPr>
                <w:rFonts w:ascii="Arial" w:hAnsi="Arial" w:cs="Arial"/>
                <w:b/>
                <w:sz w:val="20"/>
                <w:szCs w:val="20"/>
              </w:rPr>
              <w:t>6</w:t>
            </w:r>
            <w:r w:rsidRPr="00360664">
              <w:rPr>
                <w:rFonts w:ascii="Arial" w:hAnsi="Arial" w:cs="Arial"/>
                <w:b/>
                <w:sz w:val="20"/>
                <w:szCs w:val="20"/>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345EA" w:rsidRDefault="000C209F" w:rsidP="00360664">
            <w:pPr>
              <w:spacing w:after="0" w:line="240" w:lineRule="auto"/>
              <w:ind w:left="-108" w:right="-720"/>
              <w:rPr>
                <w:rFonts w:ascii="Arial" w:hAnsi="Arial" w:cs="Arial"/>
                <w:sz w:val="20"/>
                <w:szCs w:val="20"/>
              </w:rPr>
            </w:pPr>
            <w:r w:rsidRPr="00B47259">
              <w:rPr>
                <w:rFonts w:ascii="Arial" w:hAnsi="Arial" w:cs="Arial"/>
                <w:b/>
                <w:sz w:val="36"/>
                <w:szCs w:val="36"/>
              </w:rPr>
              <w:t xml:space="preserve"> </w:t>
            </w:r>
            <w:r w:rsidR="001345EA" w:rsidRPr="001345EA">
              <w:rPr>
                <w:rFonts w:ascii="Arial" w:hAnsi="Arial" w:cs="Arial"/>
                <w:sz w:val="36"/>
                <w:szCs w:val="36"/>
              </w:rPr>
              <w:t>_</w:t>
            </w:r>
            <w:r w:rsidRPr="001345EA">
              <w:rPr>
                <w:rFonts w:ascii="Arial" w:hAnsi="Arial" w:cs="Arial"/>
                <w:sz w:val="36"/>
                <w:szCs w:val="36"/>
              </w:rPr>
              <w:t xml:space="preserve"> </w:t>
            </w:r>
            <w:r w:rsidRPr="001345EA">
              <w:rPr>
                <w:rFonts w:ascii="Arial" w:hAnsi="Arial" w:cs="Arial"/>
                <w:sz w:val="20"/>
                <w:szCs w:val="20"/>
              </w:rPr>
              <w:t>Quarter 1 (January 1 – March 31</w:t>
            </w:r>
            <w:r w:rsidR="005C75FE" w:rsidRPr="001345EA">
              <w:rPr>
                <w:rFonts w:ascii="Arial" w:hAnsi="Arial" w:cs="Arial"/>
                <w:sz w:val="20"/>
                <w:szCs w:val="20"/>
              </w:rPr>
              <w:t>, 201</w:t>
            </w:r>
            <w:r w:rsidR="00B47259" w:rsidRPr="001345EA">
              <w:rPr>
                <w:rFonts w:ascii="Arial" w:hAnsi="Arial" w:cs="Arial"/>
                <w:sz w:val="20"/>
                <w:szCs w:val="20"/>
              </w:rPr>
              <w:t>5</w:t>
            </w:r>
            <w:r w:rsidRPr="001345EA">
              <w:rPr>
                <w:rFonts w:ascii="Arial" w:hAnsi="Arial" w:cs="Arial"/>
                <w:sz w:val="20"/>
                <w:szCs w:val="20"/>
              </w:rPr>
              <w:t>)</w:t>
            </w:r>
          </w:p>
          <w:p w:rsidR="000C209F" w:rsidRPr="001345EA" w:rsidRDefault="000C209F" w:rsidP="00360664">
            <w:pPr>
              <w:spacing w:after="0" w:line="240" w:lineRule="auto"/>
              <w:ind w:left="-108" w:right="-108"/>
              <w:rPr>
                <w:rFonts w:ascii="Arial" w:hAnsi="Arial" w:cs="Arial"/>
                <w:b/>
                <w:sz w:val="20"/>
                <w:szCs w:val="20"/>
              </w:rPr>
            </w:pPr>
            <w:r w:rsidRPr="007567ED">
              <w:rPr>
                <w:rFonts w:ascii="Arial" w:hAnsi="Arial" w:cs="Arial"/>
                <w:sz w:val="36"/>
                <w:szCs w:val="36"/>
              </w:rPr>
              <w:t xml:space="preserve"> </w:t>
            </w:r>
            <w:r w:rsidR="001345EA" w:rsidRPr="001345EA">
              <w:rPr>
                <w:rFonts w:ascii="Arial" w:hAnsi="Arial" w:cs="Arial"/>
                <w:b/>
                <w:sz w:val="36"/>
                <w:szCs w:val="36"/>
                <w:u w:val="single"/>
              </w:rPr>
              <w:t>x</w:t>
            </w:r>
            <w:r w:rsidR="00FE4167" w:rsidRPr="001345EA">
              <w:rPr>
                <w:rFonts w:ascii="Arial" w:hAnsi="Arial" w:cs="Arial"/>
                <w:b/>
                <w:sz w:val="36"/>
                <w:szCs w:val="36"/>
              </w:rPr>
              <w:t xml:space="preserve"> </w:t>
            </w:r>
            <w:r w:rsidRPr="001345EA">
              <w:rPr>
                <w:rFonts w:ascii="Arial" w:hAnsi="Arial" w:cs="Arial"/>
                <w:b/>
                <w:sz w:val="20"/>
                <w:szCs w:val="20"/>
              </w:rPr>
              <w:t>Quarter 2 (April 1 – June 30</w:t>
            </w:r>
            <w:r w:rsidR="0020693E" w:rsidRPr="001345EA">
              <w:rPr>
                <w:rFonts w:ascii="Arial" w:hAnsi="Arial" w:cs="Arial"/>
                <w:b/>
                <w:sz w:val="20"/>
                <w:szCs w:val="20"/>
              </w:rPr>
              <w:t>, 201</w:t>
            </w:r>
            <w:r w:rsidR="00B47259" w:rsidRPr="001345EA">
              <w:rPr>
                <w:rFonts w:ascii="Arial" w:hAnsi="Arial" w:cs="Arial"/>
                <w:b/>
                <w:sz w:val="20"/>
                <w:szCs w:val="20"/>
              </w:rPr>
              <w:t>5</w:t>
            </w:r>
            <w:r w:rsidRPr="001345EA">
              <w:rPr>
                <w:rFonts w:ascii="Arial" w:hAnsi="Arial" w:cs="Arial"/>
                <w:b/>
                <w:sz w:val="20"/>
                <w:szCs w:val="20"/>
              </w:rPr>
              <w:t>)</w:t>
            </w:r>
          </w:p>
          <w:p w:rsidR="009B2A2C" w:rsidRPr="007567ED" w:rsidRDefault="00B47259" w:rsidP="009B2A2C">
            <w:pPr>
              <w:spacing w:after="0" w:line="240" w:lineRule="auto"/>
              <w:ind w:right="-720"/>
              <w:rPr>
                <w:rFonts w:ascii="Arial" w:hAnsi="Arial" w:cs="Arial"/>
                <w:sz w:val="20"/>
                <w:szCs w:val="20"/>
              </w:rPr>
            </w:pPr>
            <w:r w:rsidRPr="007567ED">
              <w:rPr>
                <w:rFonts w:ascii="Arial" w:hAnsi="Arial" w:cs="Arial"/>
                <w:sz w:val="36"/>
                <w:szCs w:val="36"/>
              </w:rPr>
              <w:t>_</w:t>
            </w:r>
            <w:r w:rsidR="009B2A2C" w:rsidRPr="007567ED">
              <w:rPr>
                <w:rFonts w:ascii="Arial" w:hAnsi="Arial" w:cs="Arial"/>
                <w:sz w:val="36"/>
                <w:szCs w:val="36"/>
              </w:rPr>
              <w:t xml:space="preserve"> </w:t>
            </w:r>
            <w:r w:rsidR="009B2A2C" w:rsidRPr="007567ED">
              <w:rPr>
                <w:rFonts w:ascii="Arial" w:hAnsi="Arial" w:cs="Arial"/>
                <w:sz w:val="20"/>
                <w:szCs w:val="20"/>
              </w:rPr>
              <w:t>Quarter 3 (July 1 – September 30, 201</w:t>
            </w:r>
            <w:r>
              <w:rPr>
                <w:rFonts w:ascii="Arial" w:hAnsi="Arial" w:cs="Arial"/>
                <w:sz w:val="20"/>
                <w:szCs w:val="20"/>
              </w:rPr>
              <w:t>5</w:t>
            </w:r>
            <w:r w:rsidR="009B2A2C" w:rsidRPr="007567ED">
              <w:rPr>
                <w:rFonts w:ascii="Arial" w:hAnsi="Arial" w:cs="Arial"/>
                <w:sz w:val="20"/>
                <w:szCs w:val="20"/>
              </w:rPr>
              <w:t>)</w:t>
            </w:r>
          </w:p>
          <w:p w:rsidR="000C209F" w:rsidRPr="00B47259" w:rsidRDefault="00B47259" w:rsidP="00B47259">
            <w:pPr>
              <w:spacing w:after="0" w:line="240" w:lineRule="auto"/>
              <w:ind w:right="-720"/>
              <w:rPr>
                <w:rFonts w:ascii="Arial" w:hAnsi="Arial" w:cs="Arial"/>
                <w:sz w:val="20"/>
                <w:szCs w:val="20"/>
              </w:rPr>
            </w:pPr>
            <w:r w:rsidRPr="007567ED">
              <w:rPr>
                <w:rFonts w:ascii="Arial" w:hAnsi="Arial" w:cs="Arial"/>
                <w:sz w:val="36"/>
                <w:szCs w:val="36"/>
              </w:rPr>
              <w:t>_</w:t>
            </w:r>
            <w:r w:rsidR="009B2A2C" w:rsidRPr="00B47259">
              <w:rPr>
                <w:rFonts w:ascii="Arial" w:hAnsi="Arial" w:cs="Arial"/>
                <w:sz w:val="36"/>
                <w:szCs w:val="36"/>
              </w:rPr>
              <w:t xml:space="preserve"> </w:t>
            </w:r>
            <w:r w:rsidR="009B2A2C" w:rsidRPr="00B47259">
              <w:rPr>
                <w:rFonts w:ascii="Arial" w:hAnsi="Arial" w:cs="Arial"/>
                <w:sz w:val="20"/>
                <w:szCs w:val="20"/>
              </w:rPr>
              <w:t>Quarter 4 (October 1 – December 31, 201</w:t>
            </w:r>
            <w:r>
              <w:rPr>
                <w:rFonts w:ascii="Arial" w:hAnsi="Arial" w:cs="Arial"/>
                <w:sz w:val="20"/>
                <w:szCs w:val="20"/>
              </w:rPr>
              <w:t>5</w:t>
            </w:r>
            <w:r w:rsidR="009B2A2C" w:rsidRPr="00B4725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B6E2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December 15, 2015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6F4DE7">
              <w:rPr>
                <w:rFonts w:ascii="Arial" w:hAnsi="Arial" w:cs="Arial"/>
                <w:sz w:val="20"/>
                <w:szCs w:val="20"/>
              </w:rPr>
              <w:t>2</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Pr="00360664" w:rsidRDefault="00246B51" w:rsidP="003B6E2E">
            <w:pPr>
              <w:spacing w:after="0" w:line="240" w:lineRule="auto"/>
              <w:ind w:right="-108"/>
              <w:jc w:val="center"/>
              <w:rPr>
                <w:rFonts w:ascii="Arial" w:hAnsi="Arial" w:cs="Arial"/>
                <w:sz w:val="20"/>
                <w:szCs w:val="20"/>
              </w:rPr>
            </w:pPr>
            <w:r>
              <w:rPr>
                <w:rFonts w:ascii="Arial" w:hAnsi="Arial" w:cs="Arial"/>
                <w:sz w:val="20"/>
                <w:szCs w:val="20"/>
              </w:rPr>
              <w:t>$270,000.00</w:t>
            </w:r>
          </w:p>
        </w:tc>
        <w:tc>
          <w:tcPr>
            <w:tcW w:w="3330" w:type="dxa"/>
            <w:vAlign w:val="center"/>
          </w:tcPr>
          <w:p w:rsidR="000C209F" w:rsidRPr="00360664" w:rsidRDefault="000C209F" w:rsidP="00852132">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46B51" w:rsidRPr="00246B51">
              <w:rPr>
                <w:rFonts w:ascii="Arial" w:hAnsi="Arial" w:cs="Arial"/>
                <w:sz w:val="20"/>
                <w:szCs w:val="20"/>
              </w:rPr>
              <w:t>1</w:t>
            </w:r>
            <w:r w:rsidR="00852132">
              <w:rPr>
                <w:rFonts w:ascii="Arial" w:hAnsi="Arial" w:cs="Arial"/>
                <w:sz w:val="20"/>
                <w:szCs w:val="20"/>
              </w:rPr>
              <w:t>60</w:t>
            </w:r>
            <w:r w:rsidR="00246B51" w:rsidRPr="00246B51">
              <w:rPr>
                <w:rFonts w:ascii="Arial" w:hAnsi="Arial" w:cs="Arial"/>
                <w:sz w:val="20"/>
                <w:szCs w:val="20"/>
              </w:rPr>
              <w:t>,</w:t>
            </w:r>
            <w:r w:rsidR="00852132">
              <w:rPr>
                <w:rFonts w:ascii="Arial" w:hAnsi="Arial" w:cs="Arial"/>
                <w:sz w:val="20"/>
                <w:szCs w:val="20"/>
              </w:rPr>
              <w:t>8</w:t>
            </w:r>
            <w:r w:rsidR="00246B51" w:rsidRPr="00246B51">
              <w:rPr>
                <w:rFonts w:ascii="Arial" w:hAnsi="Arial" w:cs="Arial"/>
                <w:sz w:val="20"/>
                <w:szCs w:val="20"/>
              </w:rPr>
              <w:t>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36042E" w:rsidP="0080555A">
            <w:pPr>
              <w:spacing w:after="0" w:line="240" w:lineRule="auto"/>
              <w:ind w:left="-108" w:right="-108"/>
              <w:jc w:val="center"/>
              <w:rPr>
                <w:rFonts w:ascii="Arial" w:hAnsi="Arial" w:cs="Arial"/>
                <w:sz w:val="20"/>
                <w:szCs w:val="20"/>
              </w:rPr>
            </w:pPr>
            <w:r w:rsidRPr="002A53DE">
              <w:rPr>
                <w:rFonts w:ascii="Arial" w:hAnsi="Arial" w:cs="Arial"/>
                <w:sz w:val="20"/>
                <w:szCs w:val="20"/>
              </w:rPr>
              <w:t>6</w:t>
            </w:r>
            <w:r w:rsidR="0080555A" w:rsidRPr="002A53DE">
              <w:rPr>
                <w:rFonts w:ascii="Arial" w:hAnsi="Arial" w:cs="Arial"/>
                <w:sz w:val="20"/>
                <w:szCs w:val="20"/>
              </w:rPr>
              <w:t>5</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97728A" w:rsidP="00BA4A0F">
            <w:pPr>
              <w:spacing w:after="0" w:line="240" w:lineRule="auto"/>
              <w:ind w:right="-108"/>
              <w:jc w:val="center"/>
              <w:rPr>
                <w:rFonts w:ascii="Arial" w:hAnsi="Arial" w:cs="Arial"/>
                <w:sz w:val="20"/>
                <w:szCs w:val="20"/>
              </w:rPr>
            </w:pPr>
            <w:r>
              <w:rPr>
                <w:rFonts w:ascii="Arial" w:hAnsi="Arial" w:cs="Arial"/>
                <w:sz w:val="20"/>
                <w:szCs w:val="20"/>
              </w:rPr>
              <w:t>8</w:t>
            </w:r>
            <w:r w:rsidR="007A7559">
              <w:rPr>
                <w:rFonts w:ascii="Arial" w:hAnsi="Arial" w:cs="Arial"/>
                <w:sz w:val="20"/>
                <w:szCs w:val="20"/>
              </w:rPr>
              <w:t>%</w:t>
            </w:r>
          </w:p>
        </w:tc>
        <w:tc>
          <w:tcPr>
            <w:tcW w:w="3330" w:type="dxa"/>
          </w:tcPr>
          <w:p w:rsidR="000C209F" w:rsidRPr="00360664" w:rsidRDefault="000C209F" w:rsidP="0097728A">
            <w:pPr>
              <w:spacing w:after="0" w:line="240" w:lineRule="auto"/>
              <w:ind w:right="-108"/>
              <w:jc w:val="center"/>
              <w:rPr>
                <w:rFonts w:ascii="Arial" w:hAnsi="Arial" w:cs="Arial"/>
                <w:sz w:val="20"/>
                <w:szCs w:val="20"/>
              </w:rPr>
            </w:pPr>
            <w:r w:rsidRPr="00360664">
              <w:rPr>
                <w:rFonts w:ascii="Arial" w:hAnsi="Arial" w:cs="Arial"/>
                <w:sz w:val="20"/>
                <w:szCs w:val="20"/>
              </w:rPr>
              <w:t>$</w:t>
            </w:r>
            <w:r w:rsidR="0097728A">
              <w:rPr>
                <w:rFonts w:ascii="Arial" w:hAnsi="Arial" w:cs="Arial"/>
                <w:sz w:val="20"/>
                <w:szCs w:val="20"/>
              </w:rPr>
              <w:t>21,600</w:t>
            </w:r>
          </w:p>
        </w:tc>
        <w:tc>
          <w:tcPr>
            <w:tcW w:w="3420" w:type="dxa"/>
          </w:tcPr>
          <w:p w:rsidR="000C209F" w:rsidRPr="00360664" w:rsidRDefault="00CE0CBF" w:rsidP="00F52CF5">
            <w:pPr>
              <w:spacing w:after="0" w:line="240" w:lineRule="auto"/>
              <w:ind w:left="-108" w:right="-108"/>
              <w:jc w:val="center"/>
              <w:rPr>
                <w:rFonts w:ascii="Arial" w:hAnsi="Arial" w:cs="Arial"/>
                <w:sz w:val="20"/>
                <w:szCs w:val="20"/>
              </w:rPr>
            </w:pPr>
            <w:r>
              <w:rPr>
                <w:rFonts w:ascii="Arial" w:hAnsi="Arial" w:cs="Arial"/>
                <w:sz w:val="20"/>
                <w:szCs w:val="20"/>
              </w:rPr>
              <w:t>8</w:t>
            </w:r>
            <w:r w:rsidR="00F52CF5">
              <w:rPr>
                <w:rFonts w:ascii="Arial" w:hAnsi="Arial" w:cs="Arial"/>
                <w:sz w:val="20"/>
                <w:szCs w:val="20"/>
              </w:rPr>
              <w:t>5</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6F58BE">
              <w:rPr>
                <w:rFonts w:ascii="Arial" w:hAnsi="Arial" w:cs="Arial"/>
                <w:sz w:val="20"/>
                <w:szCs w:val="20"/>
              </w:rPr>
              <w:t>twelve</w:t>
            </w:r>
            <w:r w:rsidRPr="00360664">
              <w:rPr>
                <w:rFonts w:ascii="Arial" w:hAnsi="Arial" w:cs="Arial"/>
                <w:sz w:val="20"/>
                <w:szCs w:val="20"/>
              </w:rPr>
              <w:t xml:space="preserve"> specific </w:t>
            </w:r>
            <w:r w:rsidRPr="004A6232">
              <w:rPr>
                <w:rFonts w:ascii="Arial" w:hAnsi="Arial" w:cs="Arial"/>
                <w:sz w:val="20"/>
                <w:szCs w:val="20"/>
                <w:u w:val="single"/>
              </w:rPr>
              <w:t>tasks</w:t>
            </w:r>
            <w:r w:rsidR="006F58BE" w:rsidRPr="006F58BE">
              <w:rPr>
                <w:rFonts w:ascii="Arial" w:hAnsi="Arial" w:cs="Arial"/>
                <w:sz w:val="20"/>
                <w:szCs w:val="20"/>
              </w:rPr>
              <w:t xml:space="preserve">, </w:t>
            </w:r>
            <w:r w:rsidR="00AA0BDC">
              <w:rPr>
                <w:rFonts w:ascii="Arial" w:hAnsi="Arial" w:cs="Arial"/>
                <w:sz w:val="20"/>
                <w:szCs w:val="20"/>
              </w:rPr>
              <w:t xml:space="preserve">including new tasks 7 through </w:t>
            </w:r>
            <w:r w:rsidR="006F58BE">
              <w:rPr>
                <w:rFonts w:ascii="Arial" w:hAnsi="Arial" w:cs="Arial"/>
                <w:sz w:val="20"/>
                <w:szCs w:val="20"/>
              </w:rPr>
              <w:t>12</w:t>
            </w:r>
            <w:r w:rsidRPr="00360664">
              <w:rPr>
                <w:rFonts w:ascii="Arial" w:hAnsi="Arial" w:cs="Arial"/>
                <w:sz w:val="20"/>
                <w:szCs w:val="20"/>
              </w:rPr>
              <w:t xml:space="preserve">: </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Literature Review and Collection of Existing Test Data</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Laboratory Passive Force-Deflection Tests on 2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30º, and 45º</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and 30º</w:t>
            </w:r>
            <w:r w:rsidR="008B4FDA">
              <w:rPr>
                <w:rFonts w:ascii="Arial" w:hAnsi="Arial" w:cs="Arial"/>
                <w:sz w:val="20"/>
                <w:szCs w:val="20"/>
              </w:rPr>
              <w:t xml:space="preserve"> and Transverse </w:t>
            </w:r>
            <w:proofErr w:type="spellStart"/>
            <w:r w:rsidR="008B4FD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Abutment with Skew angles of 0º, 15º, 30º and MSE </w:t>
            </w:r>
            <w:proofErr w:type="spellStart"/>
            <w:r w:rsidRPr="00B05A7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Calibrate Computer Model and Conduct Parametric Studies</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Preparation of Final Report</w:t>
            </w:r>
          </w:p>
          <w:p w:rsidR="00187F3A" w:rsidRDefault="003E54CB" w:rsidP="00187F3A">
            <w:pPr>
              <w:pStyle w:val="ListParagraph"/>
              <w:numPr>
                <w:ilvl w:val="0"/>
                <w:numId w:val="2"/>
              </w:numPr>
              <w:spacing w:after="0" w:line="240" w:lineRule="auto"/>
              <w:rPr>
                <w:rFonts w:ascii="Arial" w:hAnsi="Arial" w:cs="Arial"/>
                <w:sz w:val="20"/>
                <w:szCs w:val="20"/>
              </w:rPr>
            </w:pPr>
            <w:r>
              <w:rPr>
                <w:rFonts w:ascii="Arial" w:hAnsi="Arial" w:cs="Arial"/>
                <w:sz w:val="20"/>
                <w:szCs w:val="20"/>
              </w:rPr>
              <w:t>Perform A</w:t>
            </w:r>
            <w:r w:rsidR="00187F3A" w:rsidRPr="00187F3A">
              <w:rPr>
                <w:rFonts w:ascii="Arial" w:hAnsi="Arial" w:cs="Arial"/>
                <w:sz w:val="20"/>
                <w:szCs w:val="20"/>
              </w:rPr>
              <w:t xml:space="preserve">dditional </w:t>
            </w:r>
            <w:r>
              <w:rPr>
                <w:rFonts w:ascii="Arial" w:hAnsi="Arial" w:cs="Arial"/>
                <w:sz w:val="20"/>
                <w:szCs w:val="20"/>
              </w:rPr>
              <w:t>F</w:t>
            </w:r>
            <w:r w:rsidR="00187F3A" w:rsidRPr="00187F3A">
              <w:rPr>
                <w:rFonts w:ascii="Arial" w:hAnsi="Arial" w:cs="Arial"/>
                <w:sz w:val="20"/>
                <w:szCs w:val="20"/>
              </w:rPr>
              <w:t xml:space="preserve">ield </w:t>
            </w:r>
            <w:r>
              <w:rPr>
                <w:rFonts w:ascii="Arial" w:hAnsi="Arial" w:cs="Arial"/>
                <w:sz w:val="20"/>
                <w:szCs w:val="20"/>
              </w:rPr>
              <w:t>P</w:t>
            </w:r>
            <w:r w:rsidR="00187F3A" w:rsidRPr="00187F3A">
              <w:rPr>
                <w:rFonts w:ascii="Arial" w:hAnsi="Arial" w:cs="Arial"/>
                <w:sz w:val="20"/>
                <w:szCs w:val="20"/>
              </w:rPr>
              <w:t xml:space="preserve">assive </w:t>
            </w:r>
            <w:r>
              <w:rPr>
                <w:rFonts w:ascii="Arial" w:hAnsi="Arial" w:cs="Arial"/>
                <w:sz w:val="20"/>
                <w:szCs w:val="20"/>
              </w:rPr>
              <w:t>F</w:t>
            </w:r>
            <w:r w:rsidR="00187F3A" w:rsidRPr="00187F3A">
              <w:rPr>
                <w:rFonts w:ascii="Arial" w:hAnsi="Arial" w:cs="Arial"/>
                <w:sz w:val="20"/>
                <w:szCs w:val="20"/>
              </w:rPr>
              <w:t>orce-</w:t>
            </w:r>
            <w:r>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Pr>
                <w:rFonts w:ascii="Arial" w:hAnsi="Arial" w:cs="Arial"/>
                <w:sz w:val="20"/>
                <w:szCs w:val="20"/>
              </w:rPr>
              <w:t>H</w:t>
            </w:r>
            <w:r w:rsidR="00187F3A" w:rsidRPr="00187F3A">
              <w:rPr>
                <w:rFonts w:ascii="Arial" w:hAnsi="Arial" w:cs="Arial"/>
                <w:sz w:val="20"/>
                <w:szCs w:val="20"/>
              </w:rPr>
              <w:t xml:space="preserve">igh </w:t>
            </w:r>
            <w:r>
              <w:rPr>
                <w:rFonts w:ascii="Arial" w:hAnsi="Arial" w:cs="Arial"/>
                <w:sz w:val="20"/>
                <w:szCs w:val="20"/>
              </w:rPr>
              <w:t>A</w:t>
            </w:r>
            <w:r w:rsidR="00187F3A" w:rsidRPr="00187F3A">
              <w:rPr>
                <w:rFonts w:ascii="Arial" w:hAnsi="Arial" w:cs="Arial"/>
                <w:sz w:val="20"/>
                <w:szCs w:val="20"/>
              </w:rPr>
              <w:t xml:space="preserve">butment with a </w:t>
            </w:r>
            <w:r>
              <w:rPr>
                <w:rFonts w:ascii="Arial" w:hAnsi="Arial" w:cs="Arial"/>
                <w:sz w:val="20"/>
                <w:szCs w:val="20"/>
              </w:rPr>
              <w:t>S</w:t>
            </w:r>
            <w:r w:rsidR="00187F3A" w:rsidRPr="00187F3A">
              <w:rPr>
                <w:rFonts w:ascii="Arial" w:hAnsi="Arial" w:cs="Arial"/>
                <w:sz w:val="20"/>
                <w:szCs w:val="20"/>
              </w:rPr>
              <w:t xml:space="preserve">kew </w:t>
            </w:r>
            <w:r>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proofErr w:type="spellStart"/>
            <w:r>
              <w:rPr>
                <w:rFonts w:ascii="Arial" w:hAnsi="Arial" w:cs="Arial"/>
                <w:sz w:val="20"/>
                <w:szCs w:val="20"/>
              </w:rPr>
              <w:t>W</w:t>
            </w:r>
            <w:r w:rsidR="00187F3A">
              <w:rPr>
                <w:rFonts w:ascii="Arial" w:hAnsi="Arial" w:cs="Arial"/>
                <w:sz w:val="20"/>
                <w:szCs w:val="20"/>
              </w:rPr>
              <w:t>ingwalls</w:t>
            </w:r>
            <w:proofErr w:type="spellEnd"/>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3.0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B</w:t>
            </w:r>
            <w:r w:rsidRPr="00187F3A">
              <w:rPr>
                <w:rFonts w:ascii="Arial" w:hAnsi="Arial" w:cs="Arial"/>
                <w:sz w:val="20"/>
                <w:szCs w:val="20"/>
              </w:rPr>
              <w:t>ackfill w</w:t>
            </w:r>
            <w:r>
              <w:rPr>
                <w:rFonts w:ascii="Arial" w:hAnsi="Arial" w:cs="Arial"/>
                <w:sz w:val="20"/>
                <w:szCs w:val="20"/>
              </w:rPr>
              <w:t xml:space="preserve">ith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5.5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P</w:t>
            </w:r>
            <w:r w:rsidRPr="00187F3A">
              <w:rPr>
                <w:rFonts w:ascii="Arial" w:hAnsi="Arial" w:cs="Arial"/>
                <w:sz w:val="20"/>
                <w:szCs w:val="20"/>
              </w:rPr>
              <w:t xml:space="preserve">ile </w:t>
            </w:r>
            <w:r w:rsidR="003E54CB">
              <w:rPr>
                <w:rFonts w:ascii="Arial" w:hAnsi="Arial" w:cs="Arial"/>
                <w:sz w:val="20"/>
                <w:szCs w:val="20"/>
              </w:rPr>
              <w:t>C</w:t>
            </w:r>
            <w:r w:rsidRPr="00187F3A">
              <w:rPr>
                <w:rFonts w:ascii="Arial" w:hAnsi="Arial" w:cs="Arial"/>
                <w:sz w:val="20"/>
                <w:szCs w:val="20"/>
              </w:rPr>
              <w:t xml:space="preserve">ap with </w:t>
            </w:r>
            <w:r w:rsidR="003E54CB">
              <w:rPr>
                <w:rFonts w:ascii="Arial" w:hAnsi="Arial" w:cs="Arial"/>
                <w:sz w:val="20"/>
                <w:szCs w:val="20"/>
              </w:rPr>
              <w:t>C</w:t>
            </w:r>
            <w:r w:rsidRPr="00187F3A">
              <w:rPr>
                <w:rFonts w:ascii="Arial" w:hAnsi="Arial" w:cs="Arial"/>
                <w:sz w:val="20"/>
                <w:szCs w:val="20"/>
              </w:rPr>
              <w:t xml:space="preserve">oncrete </w:t>
            </w:r>
            <w:proofErr w:type="spellStart"/>
            <w:r w:rsidR="003E54CB">
              <w:rPr>
                <w:rFonts w:ascii="Arial" w:hAnsi="Arial" w:cs="Arial"/>
                <w:sz w:val="20"/>
                <w:szCs w:val="20"/>
              </w:rPr>
              <w:t>W</w:t>
            </w:r>
            <w:r w:rsidRPr="00187F3A">
              <w:rPr>
                <w:rFonts w:ascii="Arial" w:hAnsi="Arial" w:cs="Arial"/>
                <w:sz w:val="20"/>
                <w:szCs w:val="20"/>
              </w:rPr>
              <w:t>ingwalls</w:t>
            </w:r>
            <w:proofErr w:type="spellEnd"/>
            <w:r w:rsidRPr="00187F3A">
              <w:rPr>
                <w:rFonts w:ascii="Arial" w:hAnsi="Arial" w:cs="Arial"/>
                <w:sz w:val="20"/>
                <w:szCs w:val="20"/>
              </w:rPr>
              <w:t xml:space="preserve"> and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45º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 xml:space="preserve">ackfill with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GRS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ackfill with</w:t>
            </w:r>
            <w:r>
              <w:rPr>
                <w:rFonts w:ascii="Arial" w:hAnsi="Arial" w:cs="Arial"/>
                <w:sz w:val="20"/>
                <w:szCs w:val="20"/>
              </w:rPr>
              <w:t xml:space="preserve">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Pr="00B05A7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Present the </w:t>
            </w:r>
            <w:r w:rsidR="003E54CB">
              <w:rPr>
                <w:rFonts w:ascii="Arial" w:hAnsi="Arial" w:cs="Arial"/>
                <w:sz w:val="20"/>
                <w:szCs w:val="20"/>
              </w:rPr>
              <w:t>R</w:t>
            </w:r>
            <w:r w:rsidRPr="00187F3A">
              <w:rPr>
                <w:rFonts w:ascii="Arial" w:hAnsi="Arial" w:cs="Arial"/>
                <w:sz w:val="20"/>
                <w:szCs w:val="20"/>
              </w:rPr>
              <w:t xml:space="preserve">esults of the </w:t>
            </w:r>
            <w:r w:rsidR="003E54CB">
              <w:rPr>
                <w:rFonts w:ascii="Arial" w:hAnsi="Arial" w:cs="Arial"/>
                <w:sz w:val="20"/>
                <w:szCs w:val="20"/>
              </w:rPr>
              <w:t>S</w:t>
            </w:r>
            <w:r w:rsidRPr="00187F3A">
              <w:rPr>
                <w:rFonts w:ascii="Arial" w:hAnsi="Arial" w:cs="Arial"/>
                <w:sz w:val="20"/>
                <w:szCs w:val="20"/>
              </w:rPr>
              <w:t>tu</w:t>
            </w:r>
            <w:r>
              <w:rPr>
                <w:rFonts w:ascii="Arial" w:hAnsi="Arial" w:cs="Arial"/>
                <w:sz w:val="20"/>
                <w:szCs w:val="20"/>
              </w:rPr>
              <w:t xml:space="preserve">dy at TRB and AASHTO </w:t>
            </w:r>
            <w:r w:rsidR="003E54CB">
              <w:rPr>
                <w:rFonts w:ascii="Arial" w:hAnsi="Arial" w:cs="Arial"/>
                <w:sz w:val="20"/>
                <w:szCs w:val="20"/>
              </w:rPr>
              <w:t>Meetings</w:t>
            </w:r>
          </w:p>
          <w:p w:rsidR="00B05A7A" w:rsidRPr="00360664" w:rsidRDefault="00B05A7A"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7 through 11</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Up to two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C912D3">
              <w:rPr>
                <w:rFonts w:ascii="Arial" w:hAnsi="Arial" w:cs="Arial"/>
                <w:sz w:val="20"/>
                <w:szCs w:val="20"/>
              </w:rPr>
              <w:t xml:space="preserve">are planned </w:t>
            </w:r>
            <w:r w:rsidR="00EA066E">
              <w:rPr>
                <w:rFonts w:ascii="Arial" w:hAnsi="Arial" w:cs="Arial"/>
                <w:sz w:val="20"/>
                <w:szCs w:val="20"/>
              </w:rPr>
              <w:t xml:space="preserve">to be 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167E2B" w:rsidRDefault="00167E2B" w:rsidP="00360664">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Task 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5 – </w:t>
            </w:r>
            <w:r w:rsidR="009B0753" w:rsidRPr="002A53DE">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complete.  BYU continued data analysis and worked on task 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6 – </w:t>
            </w:r>
            <w:r w:rsidR="00D2016A" w:rsidRPr="002A53DE">
              <w:rPr>
                <w:rFonts w:ascii="Arial" w:hAnsi="Arial" w:cs="Arial"/>
                <w:sz w:val="20"/>
                <w:szCs w:val="20"/>
              </w:rPr>
              <w:t>3</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DD68BB" w:rsidRPr="002A53DE">
              <w:rPr>
                <w:rFonts w:ascii="Arial" w:hAnsi="Arial" w:cs="Arial"/>
                <w:sz w:val="20"/>
                <w:szCs w:val="20"/>
              </w:rPr>
              <w:t>BYU c</w:t>
            </w:r>
            <w:r w:rsidR="0097623A" w:rsidRPr="002A53DE">
              <w:rPr>
                <w:rFonts w:ascii="Arial" w:hAnsi="Arial" w:cs="Arial"/>
                <w:sz w:val="20"/>
                <w:szCs w:val="20"/>
              </w:rPr>
              <w:t>ombin</w:t>
            </w:r>
            <w:r w:rsidR="008170FC" w:rsidRPr="002A53DE">
              <w:rPr>
                <w:rFonts w:ascii="Arial" w:hAnsi="Arial" w:cs="Arial"/>
                <w:sz w:val="20"/>
                <w:szCs w:val="20"/>
              </w:rPr>
              <w:t>ed</w:t>
            </w:r>
            <w:r w:rsidR="0097623A" w:rsidRPr="002A53DE">
              <w:rPr>
                <w:rFonts w:ascii="Arial" w:hAnsi="Arial" w:cs="Arial"/>
                <w:sz w:val="20"/>
                <w:szCs w:val="20"/>
              </w:rPr>
              <w:t xml:space="preserve"> portions of other task reports for the </w:t>
            </w:r>
            <w:r w:rsidR="00571CB0" w:rsidRPr="002A53DE">
              <w:rPr>
                <w:rFonts w:ascii="Arial" w:hAnsi="Arial" w:cs="Arial"/>
                <w:sz w:val="20"/>
                <w:szCs w:val="20"/>
              </w:rPr>
              <w:t>F</w:t>
            </w:r>
            <w:r w:rsidR="0097623A" w:rsidRPr="002A53DE">
              <w:rPr>
                <w:rFonts w:ascii="Arial" w:hAnsi="Arial" w:cs="Arial"/>
                <w:sz w:val="20"/>
                <w:szCs w:val="20"/>
              </w:rPr>
              <w:t xml:space="preserve">inal </w:t>
            </w:r>
            <w:r w:rsidR="00CE177F" w:rsidRPr="002A53DE">
              <w:rPr>
                <w:rFonts w:ascii="Arial" w:hAnsi="Arial" w:cs="Arial"/>
                <w:sz w:val="20"/>
                <w:szCs w:val="20"/>
              </w:rPr>
              <w:t xml:space="preserve">Summary </w:t>
            </w:r>
            <w:r w:rsidR="00571CB0" w:rsidRPr="002A53DE">
              <w:rPr>
                <w:rFonts w:ascii="Arial" w:hAnsi="Arial" w:cs="Arial"/>
                <w:sz w:val="20"/>
                <w:szCs w:val="20"/>
              </w:rPr>
              <w:t>R</w:t>
            </w:r>
            <w:r w:rsidR="0097623A" w:rsidRPr="002A53DE">
              <w:rPr>
                <w:rFonts w:ascii="Arial" w:hAnsi="Arial" w:cs="Arial"/>
                <w:sz w:val="20"/>
                <w:szCs w:val="20"/>
              </w:rPr>
              <w:t>eport.</w:t>
            </w:r>
            <w:r w:rsidR="006C002A" w:rsidRPr="002A53DE">
              <w:rPr>
                <w:rFonts w:ascii="Arial" w:hAnsi="Arial" w:cs="Arial"/>
                <w:sz w:val="20"/>
                <w:szCs w:val="20"/>
              </w:rPr>
              <w:t xml:space="preserve">  A plan for multiple final reports to be </w:t>
            </w:r>
            <w:proofErr w:type="gramStart"/>
            <w:r w:rsidR="006C002A" w:rsidRPr="002A53DE">
              <w:rPr>
                <w:rFonts w:ascii="Arial" w:hAnsi="Arial" w:cs="Arial"/>
                <w:sz w:val="20"/>
                <w:szCs w:val="20"/>
              </w:rPr>
              <w:t>published,</w:t>
            </w:r>
            <w:proofErr w:type="gramEnd"/>
            <w:r w:rsidR="006C002A" w:rsidRPr="002A53DE">
              <w:rPr>
                <w:rFonts w:ascii="Arial" w:hAnsi="Arial" w:cs="Arial"/>
                <w:sz w:val="20"/>
                <w:szCs w:val="20"/>
              </w:rPr>
              <w:t xml:space="preserve"> based on </w:t>
            </w:r>
            <w:r w:rsidR="00A4249D" w:rsidRPr="002A53DE">
              <w:rPr>
                <w:rFonts w:ascii="Arial" w:hAnsi="Arial" w:cs="Arial"/>
                <w:sz w:val="20"/>
                <w:szCs w:val="20"/>
              </w:rPr>
              <w:t xml:space="preserve">results of related tasks </w:t>
            </w:r>
            <w:r w:rsidR="006C002A" w:rsidRPr="002A53DE">
              <w:rPr>
                <w:rFonts w:ascii="Arial" w:hAnsi="Arial" w:cs="Arial"/>
                <w:sz w:val="20"/>
                <w:szCs w:val="20"/>
              </w:rPr>
              <w:t xml:space="preserve">and including a </w:t>
            </w:r>
            <w:r w:rsidR="00D75A49" w:rsidRPr="002A53DE">
              <w:rPr>
                <w:rFonts w:ascii="Arial" w:hAnsi="Arial" w:cs="Arial"/>
                <w:sz w:val="20"/>
                <w:szCs w:val="20"/>
              </w:rPr>
              <w:t xml:space="preserve">brief </w:t>
            </w:r>
            <w:r w:rsidR="000B3D60" w:rsidRPr="002A53DE">
              <w:rPr>
                <w:rFonts w:ascii="Arial" w:hAnsi="Arial" w:cs="Arial"/>
                <w:sz w:val="20"/>
                <w:szCs w:val="20"/>
              </w:rPr>
              <w:t>summary report</w:t>
            </w:r>
            <w:r w:rsidR="00D75A49" w:rsidRPr="002A53DE">
              <w:rPr>
                <w:rFonts w:ascii="Arial" w:hAnsi="Arial" w:cs="Arial"/>
                <w:sz w:val="20"/>
                <w:szCs w:val="20"/>
              </w:rPr>
              <w:t xml:space="preserve"> with the main design recommendations</w:t>
            </w:r>
            <w:r w:rsidR="000B3D60" w:rsidRPr="002A53DE">
              <w:rPr>
                <w:rFonts w:ascii="Arial" w:hAnsi="Arial" w:cs="Arial"/>
                <w:sz w:val="20"/>
                <w:szCs w:val="20"/>
              </w:rPr>
              <w:t>, was introduced to the TAC.</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E311CA" w:rsidRPr="002A53DE">
              <w:rPr>
                <w:rFonts w:ascii="Arial" w:hAnsi="Arial" w:cs="Arial"/>
                <w:sz w:val="20"/>
                <w:szCs w:val="20"/>
              </w:rPr>
              <w:t xml:space="preserve">BYU </w:t>
            </w:r>
            <w:r w:rsidR="007F6C59" w:rsidRPr="002A53DE">
              <w:rPr>
                <w:rFonts w:ascii="Arial" w:hAnsi="Arial" w:cs="Arial"/>
                <w:sz w:val="20"/>
                <w:szCs w:val="20"/>
              </w:rPr>
              <w:t xml:space="preserve">continued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8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complete.  BYU continued data analysis and worked on task 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9 – </w:t>
            </w:r>
            <w:r w:rsidR="0086591C" w:rsidRPr="002A53DE">
              <w:rPr>
                <w:rFonts w:ascii="Arial" w:hAnsi="Arial" w:cs="Arial"/>
                <w:sz w:val="20"/>
                <w:szCs w:val="20"/>
              </w:rPr>
              <w:t>80</w:t>
            </w:r>
            <w:r w:rsidR="007F6C59" w:rsidRPr="002A53DE">
              <w:rPr>
                <w:rFonts w:ascii="Arial" w:hAnsi="Arial" w:cs="Arial"/>
                <w:sz w:val="20"/>
                <w:szCs w:val="20"/>
              </w:rPr>
              <w:t>% complete.  BYU continued data analysis and worked on task report.</w:t>
            </w:r>
            <w:r w:rsidR="00A90BB1" w:rsidRPr="002A53DE">
              <w:rPr>
                <w:rFonts w:ascii="Arial" w:hAnsi="Arial" w:cs="Arial"/>
                <w:sz w:val="20"/>
                <w:szCs w:val="20"/>
              </w:rPr>
              <w:t xml:space="preserve"> Draft final report </w:t>
            </w:r>
            <w:r w:rsidR="006C002A" w:rsidRPr="002A53DE">
              <w:rPr>
                <w:rFonts w:ascii="Arial" w:hAnsi="Arial" w:cs="Arial"/>
                <w:sz w:val="20"/>
                <w:szCs w:val="20"/>
              </w:rPr>
              <w:t xml:space="preserve">on this task </w:t>
            </w:r>
            <w:r w:rsidR="000429C4" w:rsidRPr="002A53DE">
              <w:rPr>
                <w:rFonts w:ascii="Arial" w:hAnsi="Arial" w:cs="Arial"/>
                <w:sz w:val="20"/>
                <w:szCs w:val="20"/>
              </w:rPr>
              <w:t>was shared with the TAC for review.</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10 – </w:t>
            </w:r>
            <w:r w:rsidR="00372367" w:rsidRPr="002A53DE">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complete.  BYU continued data analysis and worked on task reports.</w:t>
            </w:r>
            <w:r w:rsidR="00372367" w:rsidRPr="002A53DE">
              <w:rPr>
                <w:rFonts w:ascii="Arial" w:hAnsi="Arial" w:cs="Arial"/>
                <w:sz w:val="20"/>
                <w:szCs w:val="20"/>
              </w:rPr>
              <w:t xml:space="preserve"> </w:t>
            </w:r>
            <w:r w:rsidR="00B732B1" w:rsidRPr="002A53DE">
              <w:rPr>
                <w:rFonts w:ascii="Arial" w:hAnsi="Arial" w:cs="Arial"/>
                <w:sz w:val="20"/>
                <w:szCs w:val="20"/>
              </w:rPr>
              <w:t xml:space="preserv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11 – </w:t>
            </w:r>
            <w:r w:rsidR="009B0753" w:rsidRPr="002A53DE">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complete.  BYU continued data analysis and worked on task reports.</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12 – </w:t>
            </w:r>
            <w:r w:rsidR="00372367" w:rsidRPr="002A53DE">
              <w:rPr>
                <w:rFonts w:ascii="Arial" w:hAnsi="Arial" w:cs="Arial"/>
                <w:sz w:val="20"/>
                <w:szCs w:val="20"/>
              </w:rPr>
              <w:t>60</w:t>
            </w:r>
            <w:r w:rsidR="00C9305C"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TAC Meetings – </w:t>
            </w:r>
            <w:r w:rsidR="005C2C48" w:rsidRPr="002A53DE">
              <w:rPr>
                <w:rFonts w:ascii="Arial" w:hAnsi="Arial" w:cs="Arial"/>
                <w:sz w:val="20"/>
                <w:szCs w:val="20"/>
              </w:rPr>
              <w:t xml:space="preserve">A web </w:t>
            </w:r>
            <w:r w:rsidR="00C76603" w:rsidRPr="002A53DE">
              <w:rPr>
                <w:rFonts w:ascii="Arial" w:hAnsi="Arial" w:cs="Arial"/>
                <w:sz w:val="20"/>
                <w:szCs w:val="20"/>
              </w:rPr>
              <w:t>conference TAC meeting was held on May 2</w:t>
            </w:r>
            <w:r w:rsidR="00766E6F" w:rsidRPr="002A53DE">
              <w:rPr>
                <w:rFonts w:ascii="Arial" w:hAnsi="Arial" w:cs="Arial"/>
                <w:sz w:val="20"/>
                <w:szCs w:val="20"/>
              </w:rPr>
              <w:t>7</w:t>
            </w:r>
            <w:r w:rsidR="00C76603" w:rsidRPr="002A53DE">
              <w:rPr>
                <w:rFonts w:ascii="Arial" w:hAnsi="Arial" w:cs="Arial"/>
                <w:sz w:val="20"/>
                <w:szCs w:val="20"/>
              </w:rPr>
              <w:t>.</w:t>
            </w:r>
            <w:r w:rsidR="00C76603" w:rsidRPr="002A53DE">
              <w:t xml:space="preserve">  </w:t>
            </w:r>
            <w:r w:rsidR="00766E6F" w:rsidRPr="002A53DE">
              <w:rPr>
                <w:rFonts w:ascii="Arial" w:hAnsi="Arial" w:cs="Arial"/>
                <w:sz w:val="20"/>
                <w:szCs w:val="20"/>
              </w:rPr>
              <w:t>Dr.</w:t>
            </w:r>
            <w:r w:rsidR="00C76603" w:rsidRPr="002A53DE">
              <w:rPr>
                <w:rFonts w:ascii="Arial" w:hAnsi="Arial" w:cs="Arial"/>
                <w:sz w:val="20"/>
                <w:szCs w:val="20"/>
              </w:rPr>
              <w:t xml:space="preserve"> Rollins provided </w:t>
            </w:r>
            <w:r w:rsidR="00656AC7" w:rsidRPr="002A53DE">
              <w:rPr>
                <w:rFonts w:ascii="Arial" w:hAnsi="Arial" w:cs="Arial"/>
                <w:sz w:val="20"/>
                <w:szCs w:val="20"/>
              </w:rPr>
              <w:t>an update on project tasks and findings</w:t>
            </w:r>
            <w:r w:rsidR="00C76603" w:rsidRPr="002A53DE">
              <w:rPr>
                <w:rFonts w:ascii="Arial" w:hAnsi="Arial" w:cs="Arial"/>
                <w:sz w:val="20"/>
                <w:szCs w:val="20"/>
              </w:rPr>
              <w:t xml:space="preserve">.  The </w:t>
            </w:r>
            <w:r w:rsidR="007E594D" w:rsidRPr="002A53DE">
              <w:rPr>
                <w:rFonts w:ascii="Arial" w:hAnsi="Arial" w:cs="Arial"/>
                <w:sz w:val="20"/>
                <w:szCs w:val="20"/>
              </w:rPr>
              <w:t xml:space="preserve">group also discussed next steps and the possibility of adding a </w:t>
            </w:r>
            <w:r w:rsidR="00923709" w:rsidRPr="002A53DE">
              <w:rPr>
                <w:rFonts w:ascii="Arial" w:hAnsi="Arial" w:cs="Arial"/>
                <w:sz w:val="20"/>
                <w:szCs w:val="20"/>
              </w:rPr>
              <w:t xml:space="preserve">new, related </w:t>
            </w:r>
            <w:r w:rsidR="007E594D" w:rsidRPr="002A53DE">
              <w:rPr>
                <w:rFonts w:ascii="Arial" w:hAnsi="Arial" w:cs="Arial"/>
                <w:sz w:val="20"/>
                <w:szCs w:val="20"/>
              </w:rPr>
              <w:t>field testing task to the project</w:t>
            </w:r>
            <w:r w:rsidR="00B04211" w:rsidRPr="002A53DE">
              <w:rPr>
                <w:rFonts w:ascii="Arial" w:hAnsi="Arial" w:cs="Arial"/>
                <w:sz w:val="20"/>
                <w:szCs w:val="20"/>
              </w:rPr>
              <w:t>, with primary interest from the TAC members from Caltrans</w:t>
            </w:r>
            <w:r w:rsidR="007E594D" w:rsidRPr="002A53DE">
              <w:rPr>
                <w:rFonts w:ascii="Arial" w:hAnsi="Arial" w:cs="Arial"/>
                <w:sz w:val="20"/>
                <w:szCs w:val="20"/>
              </w:rPr>
              <w:t>.</w:t>
            </w:r>
          </w:p>
          <w:p w:rsidR="00131B7B" w:rsidRDefault="00675B1F" w:rsidP="00297682">
            <w:pPr>
              <w:spacing w:after="0" w:line="240" w:lineRule="auto"/>
              <w:rPr>
                <w:rFonts w:ascii="Arial" w:hAnsi="Arial" w:cs="Arial"/>
                <w:sz w:val="20"/>
                <w:szCs w:val="20"/>
              </w:rPr>
            </w:pPr>
            <w:r w:rsidRPr="002A53DE">
              <w:rPr>
                <w:rFonts w:ascii="Arial" w:hAnsi="Arial" w:cs="Arial"/>
                <w:sz w:val="20"/>
                <w:szCs w:val="20"/>
              </w:rPr>
              <w:t xml:space="preserve">Contract – </w:t>
            </w:r>
            <w:r w:rsidR="00ED56C8" w:rsidRPr="002A53DE">
              <w:rPr>
                <w:rFonts w:ascii="Arial" w:hAnsi="Arial" w:cs="Arial"/>
                <w:sz w:val="20"/>
                <w:szCs w:val="20"/>
              </w:rPr>
              <w:t>No adjustments this quarter.</w:t>
            </w:r>
          </w:p>
          <w:p w:rsidR="00297682" w:rsidRPr="00360664" w:rsidRDefault="00297682" w:rsidP="00297682">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Task 5 –</w:t>
            </w:r>
            <w:r w:rsidR="00AB4DE6" w:rsidRPr="002A53DE">
              <w:rPr>
                <w:rFonts w:ascii="Arial" w:hAnsi="Arial" w:cs="Arial"/>
                <w:sz w:val="20"/>
                <w:szCs w:val="20"/>
              </w:rPr>
              <w:t xml:space="preserve"> </w:t>
            </w:r>
            <w:r w:rsidR="009A18FF" w:rsidRPr="002A53DE">
              <w:rPr>
                <w:rFonts w:ascii="Arial" w:hAnsi="Arial" w:cs="Arial"/>
                <w:sz w:val="20"/>
                <w:szCs w:val="20"/>
              </w:rPr>
              <w:t xml:space="preserve">Work will continue on </w:t>
            </w:r>
            <w:r w:rsidR="00DF0A64" w:rsidRPr="002A53DE">
              <w:rPr>
                <w:rFonts w:ascii="Arial" w:hAnsi="Arial" w:cs="Arial"/>
                <w:sz w:val="20"/>
                <w:szCs w:val="20"/>
              </w:rPr>
              <w:t>the task 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6 –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7 – </w:t>
            </w:r>
            <w:r w:rsidR="00DF0A64" w:rsidRPr="002A53DE">
              <w:rPr>
                <w:rFonts w:ascii="Arial" w:hAnsi="Arial" w:cs="Arial"/>
                <w:sz w:val="20"/>
                <w:szCs w:val="20"/>
              </w:rPr>
              <w:t xml:space="preserve">Complete the </w:t>
            </w:r>
            <w:r w:rsidR="0025072E" w:rsidRPr="002A53DE">
              <w:rPr>
                <w:rFonts w:ascii="Arial" w:hAnsi="Arial" w:cs="Arial"/>
                <w:sz w:val="20"/>
                <w:szCs w:val="20"/>
              </w:rPr>
              <w:t xml:space="preserve">full </w:t>
            </w:r>
            <w:r w:rsidR="00DF0A64" w:rsidRPr="002A53DE">
              <w:rPr>
                <w:rFonts w:ascii="Arial" w:hAnsi="Arial" w:cs="Arial"/>
                <w:sz w:val="20"/>
                <w:szCs w:val="20"/>
              </w:rPr>
              <w:t>task report</w:t>
            </w:r>
            <w:r w:rsidR="002C4182" w:rsidRPr="002A53DE">
              <w:rPr>
                <w:rFonts w:ascii="Arial" w:hAnsi="Arial" w:cs="Arial"/>
                <w:sz w:val="20"/>
                <w:szCs w:val="20"/>
              </w:rPr>
              <w:t xml:space="preserve"> (the revised Tasks 3 and 4 reports)</w:t>
            </w:r>
            <w:r w:rsidR="00DF0A64" w:rsidRPr="002A53DE">
              <w:rPr>
                <w:rFonts w:ascii="Arial" w:hAnsi="Arial" w:cs="Arial"/>
                <w:sz w:val="20"/>
                <w:szCs w:val="20"/>
              </w:rPr>
              <w: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8 – </w:t>
            </w:r>
            <w:r w:rsidR="0025072E" w:rsidRPr="002A53DE">
              <w:rPr>
                <w:rFonts w:ascii="Arial" w:hAnsi="Arial" w:cs="Arial"/>
                <w:sz w:val="20"/>
                <w:szCs w:val="20"/>
              </w:rPr>
              <w:t>Complete the full task 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10 – </w:t>
            </w:r>
            <w:r w:rsidR="005C185D" w:rsidRPr="002A53DE">
              <w:rPr>
                <w:rFonts w:ascii="Arial" w:hAnsi="Arial" w:cs="Arial"/>
                <w:sz w:val="20"/>
                <w:szCs w:val="20"/>
              </w:rPr>
              <w:t xml:space="preserve">Complete the </w:t>
            </w:r>
            <w:r w:rsidR="00993E66" w:rsidRPr="002A53DE">
              <w:rPr>
                <w:rFonts w:ascii="Arial" w:hAnsi="Arial" w:cs="Arial"/>
                <w:sz w:val="20"/>
                <w:szCs w:val="20"/>
              </w:rPr>
              <w:t xml:space="preserve">full </w:t>
            </w:r>
            <w:r w:rsidR="005C185D" w:rsidRPr="002A53DE">
              <w:rPr>
                <w:rFonts w:ascii="Arial" w:hAnsi="Arial" w:cs="Arial"/>
                <w:sz w:val="20"/>
                <w:szCs w:val="20"/>
              </w:rPr>
              <w:t>task 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11 – </w:t>
            </w:r>
            <w:r w:rsidR="005C185D" w:rsidRPr="002A53DE">
              <w:rPr>
                <w:rFonts w:ascii="Arial" w:hAnsi="Arial" w:cs="Arial"/>
                <w:sz w:val="20"/>
                <w:szCs w:val="20"/>
              </w:rPr>
              <w:t xml:space="preserve">Complete the </w:t>
            </w:r>
            <w:r w:rsidR="00993E66" w:rsidRPr="002A53DE">
              <w:rPr>
                <w:rFonts w:ascii="Arial" w:hAnsi="Arial" w:cs="Arial"/>
                <w:sz w:val="20"/>
                <w:szCs w:val="20"/>
              </w:rPr>
              <w:t xml:space="preserve">full </w:t>
            </w:r>
            <w:r w:rsidR="005C185D" w:rsidRPr="002A53DE">
              <w:rPr>
                <w:rFonts w:ascii="Arial" w:hAnsi="Arial" w:cs="Arial"/>
                <w:sz w:val="20"/>
                <w:szCs w:val="20"/>
              </w:rPr>
              <w:t>task report.</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Task 12 –</w:t>
            </w:r>
            <w:r w:rsidR="00372367" w:rsidRPr="002A53DE">
              <w:rPr>
                <w:rFonts w:ascii="Arial" w:hAnsi="Arial" w:cs="Arial"/>
                <w:sz w:val="20"/>
                <w:szCs w:val="20"/>
              </w:rPr>
              <w:t xml:space="preserve"> </w:t>
            </w:r>
            <w:r w:rsidR="001A7004" w:rsidRPr="002A53DE">
              <w:rPr>
                <w:rFonts w:ascii="Arial" w:hAnsi="Arial" w:cs="Arial"/>
                <w:sz w:val="20"/>
                <w:szCs w:val="20"/>
              </w:rPr>
              <w:t>None.</w:t>
            </w:r>
          </w:p>
          <w:p w:rsidR="00372367" w:rsidRPr="002A53DE" w:rsidRDefault="00372367" w:rsidP="00806D61">
            <w:pPr>
              <w:spacing w:after="0" w:line="240" w:lineRule="auto"/>
              <w:rPr>
                <w:rFonts w:ascii="Arial" w:hAnsi="Arial" w:cs="Arial"/>
                <w:sz w:val="20"/>
                <w:szCs w:val="20"/>
              </w:rPr>
            </w:pPr>
            <w:r w:rsidRPr="002A53DE">
              <w:rPr>
                <w:rFonts w:ascii="Arial" w:hAnsi="Arial" w:cs="Arial"/>
                <w:sz w:val="20"/>
                <w:szCs w:val="20"/>
              </w:rPr>
              <w:t xml:space="preserve">TAC Meetings – We will </w:t>
            </w:r>
            <w:r w:rsidR="0024336E" w:rsidRPr="002A53DE">
              <w:rPr>
                <w:rFonts w:ascii="Arial" w:hAnsi="Arial" w:cs="Arial"/>
                <w:sz w:val="20"/>
                <w:szCs w:val="20"/>
              </w:rPr>
              <w:t xml:space="preserve">hold a TAC web conference to discuss </w:t>
            </w:r>
            <w:r w:rsidR="0001547D" w:rsidRPr="002A53DE">
              <w:rPr>
                <w:rFonts w:ascii="Arial" w:hAnsi="Arial" w:cs="Arial"/>
                <w:sz w:val="20"/>
                <w:szCs w:val="20"/>
              </w:rPr>
              <w:t>additional results and completed reports</w:t>
            </w:r>
            <w:r w:rsidR="005C185D" w:rsidRPr="002A53DE">
              <w:rPr>
                <w:rFonts w:ascii="Arial" w:hAnsi="Arial" w:cs="Arial"/>
                <w:sz w:val="20"/>
                <w:szCs w:val="20"/>
              </w:rPr>
              <w:t>.</w:t>
            </w:r>
          </w:p>
          <w:p w:rsidR="001C6C19" w:rsidRDefault="00C93462" w:rsidP="002F2876">
            <w:pPr>
              <w:spacing w:after="0" w:line="240" w:lineRule="auto"/>
              <w:rPr>
                <w:rFonts w:ascii="Arial" w:hAnsi="Arial" w:cs="Arial"/>
                <w:sz w:val="20"/>
                <w:szCs w:val="20"/>
              </w:rPr>
            </w:pPr>
            <w:r w:rsidRPr="002A53DE">
              <w:rPr>
                <w:rFonts w:ascii="Arial" w:hAnsi="Arial" w:cs="Arial"/>
                <w:sz w:val="20"/>
                <w:szCs w:val="20"/>
              </w:rPr>
              <w:t>Contract –</w:t>
            </w:r>
            <w:r w:rsidR="00977592" w:rsidRPr="002A53DE">
              <w:rPr>
                <w:rFonts w:ascii="Arial" w:hAnsi="Arial" w:cs="Arial"/>
                <w:sz w:val="20"/>
                <w:szCs w:val="20"/>
              </w:rPr>
              <w:t xml:space="preserve"> Dr. Rollins and UDOT will work with interested TAC members on developing a work plan and identifying funding sources for a </w:t>
            </w:r>
            <w:r w:rsidR="00B04211" w:rsidRPr="002A53DE">
              <w:rPr>
                <w:rFonts w:ascii="Arial" w:hAnsi="Arial" w:cs="Arial"/>
                <w:sz w:val="20"/>
                <w:szCs w:val="20"/>
              </w:rPr>
              <w:t>new field testing task</w:t>
            </w:r>
            <w:r w:rsidR="00821CB7" w:rsidRPr="002A53DE">
              <w:rPr>
                <w:rFonts w:ascii="Arial" w:hAnsi="Arial" w:cs="Arial"/>
                <w:sz w:val="20"/>
                <w:szCs w:val="20"/>
              </w:rPr>
              <w:t xml:space="preserve">, involving passive force/skewed abutments using controlled low-strength material (CLSM) as backfill, </w:t>
            </w:r>
            <w:r w:rsidR="002F2876" w:rsidRPr="002A53DE">
              <w:rPr>
                <w:rFonts w:ascii="Arial" w:hAnsi="Arial" w:cs="Arial"/>
                <w:sz w:val="20"/>
                <w:szCs w:val="20"/>
              </w:rPr>
              <w:t>and potentially some baseline push-and-rotate tests on the test abutment/pile cap.</w:t>
            </w:r>
          </w:p>
          <w:p w:rsidR="002F2876" w:rsidRPr="00360664" w:rsidRDefault="002F2876" w:rsidP="002F287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6F3E43">
        <w:tc>
          <w:tcPr>
            <w:tcW w:w="10908" w:type="dxa"/>
          </w:tcPr>
          <w:p w:rsidR="000C209F" w:rsidRPr="003724D6" w:rsidRDefault="006F7CC5" w:rsidP="00360664">
            <w:pPr>
              <w:spacing w:after="0" w:line="240" w:lineRule="auto"/>
              <w:rPr>
                <w:rFonts w:ascii="Arial" w:hAnsi="Arial" w:cs="Arial"/>
                <w:b/>
                <w:sz w:val="20"/>
                <w:szCs w:val="20"/>
              </w:rPr>
            </w:pPr>
            <w:r w:rsidRPr="003724D6">
              <w:rPr>
                <w:highlight w:val="yellow"/>
              </w:rPr>
              <w:br w:type="page"/>
            </w:r>
          </w:p>
          <w:p w:rsidR="000C209F" w:rsidRPr="003724D6" w:rsidRDefault="000C209F" w:rsidP="00360664">
            <w:pPr>
              <w:spacing w:after="0" w:line="240" w:lineRule="auto"/>
              <w:rPr>
                <w:rFonts w:ascii="Arial" w:hAnsi="Arial" w:cs="Arial"/>
                <w:b/>
                <w:sz w:val="20"/>
                <w:szCs w:val="20"/>
              </w:rPr>
            </w:pPr>
            <w:r w:rsidRPr="003724D6">
              <w:rPr>
                <w:rFonts w:ascii="Arial" w:hAnsi="Arial" w:cs="Arial"/>
                <w:b/>
                <w:sz w:val="20"/>
                <w:szCs w:val="20"/>
              </w:rPr>
              <w:t>Significant Results:</w:t>
            </w:r>
          </w:p>
          <w:p w:rsidR="009368D1" w:rsidRDefault="009368D1" w:rsidP="00747E02">
            <w:pPr>
              <w:spacing w:after="0" w:line="240" w:lineRule="auto"/>
              <w:rPr>
                <w:rFonts w:ascii="Arial" w:hAnsi="Arial" w:cs="Arial"/>
                <w:sz w:val="20"/>
                <w:szCs w:val="20"/>
              </w:rPr>
            </w:pPr>
          </w:p>
          <w:p w:rsidR="0026373F" w:rsidRPr="00D91754" w:rsidRDefault="0026373F" w:rsidP="00747E02">
            <w:pPr>
              <w:spacing w:after="0" w:line="240" w:lineRule="auto"/>
              <w:rPr>
                <w:rFonts w:ascii="Arial" w:hAnsi="Arial" w:cs="Arial"/>
                <w:strike/>
                <w:sz w:val="20"/>
                <w:szCs w:val="20"/>
              </w:rPr>
            </w:pPr>
            <w:r>
              <w:rPr>
                <w:rFonts w:ascii="Arial" w:hAnsi="Arial" w:cs="Arial"/>
                <w:sz w:val="20"/>
                <w:szCs w:val="20"/>
              </w:rPr>
              <w:t xml:space="preserve">Work this quarter has focused on completion of the final report for tasks 10 and 11 which are being combined into one document because both involve gravel backfill.  This approach facilitates comparisons between both tests and comparison of analysis parameters.  A draft report is now completed and is currently under final review for submittal to the TAC members. Lateral passive force analyses were completed using the computer models PYCAP, developed by </w:t>
            </w:r>
            <w:proofErr w:type="spellStart"/>
            <w:r>
              <w:rPr>
                <w:rFonts w:ascii="Arial" w:hAnsi="Arial" w:cs="Arial"/>
                <w:sz w:val="20"/>
                <w:szCs w:val="20"/>
              </w:rPr>
              <w:t>Mokwa</w:t>
            </w:r>
            <w:proofErr w:type="spellEnd"/>
            <w:r>
              <w:rPr>
                <w:rFonts w:ascii="Arial" w:hAnsi="Arial" w:cs="Arial"/>
                <w:sz w:val="20"/>
                <w:szCs w:val="20"/>
              </w:rPr>
              <w:t xml:space="preserve"> and Duncan (2001) as well as ABUT</w:t>
            </w:r>
            <w:r w:rsidR="00BB4CC3">
              <w:rPr>
                <w:rFonts w:ascii="Arial" w:hAnsi="Arial" w:cs="Arial"/>
                <w:sz w:val="20"/>
                <w:szCs w:val="20"/>
              </w:rPr>
              <w:t>MENT</w:t>
            </w:r>
            <w:r>
              <w:rPr>
                <w:rFonts w:ascii="Arial" w:hAnsi="Arial" w:cs="Arial"/>
                <w:sz w:val="20"/>
                <w:szCs w:val="20"/>
              </w:rPr>
              <w:t xml:space="preserve">, developed by </w:t>
            </w:r>
            <w:proofErr w:type="spellStart"/>
            <w:r>
              <w:rPr>
                <w:rFonts w:ascii="Arial" w:hAnsi="Arial" w:cs="Arial"/>
                <w:sz w:val="20"/>
                <w:szCs w:val="20"/>
              </w:rPr>
              <w:t>Shamsabadi</w:t>
            </w:r>
            <w:proofErr w:type="spellEnd"/>
            <w:r>
              <w:rPr>
                <w:rFonts w:ascii="Arial" w:hAnsi="Arial" w:cs="Arial"/>
                <w:sz w:val="20"/>
                <w:szCs w:val="20"/>
              </w:rPr>
              <w:t xml:space="preserve"> et al (2007).</w:t>
            </w:r>
            <w:r w:rsidR="00BB4CC3">
              <w:rPr>
                <w:rFonts w:ascii="Arial" w:hAnsi="Arial" w:cs="Arial"/>
                <w:sz w:val="20"/>
                <w:szCs w:val="20"/>
              </w:rPr>
              <w:t xml:space="preserve"> Results from the PYCAP analyses have been presented previously.</w:t>
            </w:r>
            <w:r>
              <w:rPr>
                <w:rFonts w:ascii="Arial" w:hAnsi="Arial" w:cs="Arial"/>
                <w:sz w:val="20"/>
                <w:szCs w:val="20"/>
              </w:rPr>
              <w:t xml:space="preserve">    </w:t>
            </w:r>
          </w:p>
          <w:p w:rsidR="00CF714F" w:rsidRDefault="00CF714F" w:rsidP="00CF714F">
            <w:pPr>
              <w:spacing w:after="0" w:line="240" w:lineRule="auto"/>
              <w:rPr>
                <w:rFonts w:ascii="Arial" w:hAnsi="Arial" w:cs="Arial"/>
                <w:bCs/>
                <w:sz w:val="20"/>
                <w:szCs w:val="20"/>
              </w:rPr>
            </w:pPr>
          </w:p>
          <w:p w:rsidR="00BB4CC3" w:rsidRDefault="00BB4CC3" w:rsidP="00BB4CC3">
            <w:pPr>
              <w:spacing w:after="0" w:line="240" w:lineRule="auto"/>
              <w:rPr>
                <w:rFonts w:ascii="Arial" w:hAnsi="Arial" w:cs="Arial"/>
                <w:bCs/>
                <w:sz w:val="20"/>
                <w:szCs w:val="20"/>
              </w:rPr>
            </w:pPr>
            <w:r w:rsidRPr="00BB4CC3">
              <w:rPr>
                <w:rFonts w:ascii="Arial" w:hAnsi="Arial" w:cs="Arial"/>
                <w:bCs/>
                <w:sz w:val="20"/>
                <w:szCs w:val="20"/>
              </w:rPr>
              <w:t>Like PYCAP, ABUTMENT also models the passive force-deflection curve hyperbolically but is based more on forces than on moments. The method specified in the program was Log Spiral Forces Method Composite, and 3D geometry was selected. Failure planes were specified from the top down, and stress/strain was calculated with the modified hyperbolic method.</w:t>
            </w:r>
          </w:p>
          <w:p w:rsidR="00BB4CC3" w:rsidRPr="00BB4CC3" w:rsidRDefault="00BB4CC3" w:rsidP="00BB4CC3">
            <w:pPr>
              <w:spacing w:after="0" w:line="240" w:lineRule="auto"/>
              <w:rPr>
                <w:rFonts w:ascii="Arial" w:hAnsi="Arial" w:cs="Arial"/>
                <w:bCs/>
                <w:sz w:val="20"/>
                <w:szCs w:val="20"/>
              </w:rPr>
            </w:pPr>
            <w:r w:rsidRPr="00BB4CC3">
              <w:rPr>
                <w:rFonts w:ascii="Arial" w:hAnsi="Arial" w:cs="Arial"/>
                <w:bCs/>
                <w:sz w:val="20"/>
                <w:szCs w:val="20"/>
              </w:rPr>
              <w:t xml:space="preserve"> </w:t>
            </w:r>
          </w:p>
          <w:p w:rsidR="00BB4CC3" w:rsidRPr="00BB4CC3" w:rsidRDefault="00BB4CC3" w:rsidP="00BB4CC3">
            <w:pPr>
              <w:spacing w:after="0" w:line="240" w:lineRule="auto"/>
              <w:rPr>
                <w:rFonts w:ascii="Arial" w:hAnsi="Arial" w:cs="Arial"/>
                <w:bCs/>
                <w:sz w:val="20"/>
                <w:szCs w:val="20"/>
              </w:rPr>
            </w:pPr>
            <w:r w:rsidRPr="00BB4CC3">
              <w:rPr>
                <w:rFonts w:ascii="Arial" w:hAnsi="Arial" w:cs="Arial"/>
                <w:bCs/>
                <w:sz w:val="20"/>
                <w:szCs w:val="20"/>
              </w:rPr>
              <w:t xml:space="preserve">The results from ABUTMENT provided very good agreement with the gravel test data and with PYCAP results with very little adjustment of soil parameters and ABUTMENT default values. The </w:t>
            </w:r>
            <w:r>
              <w:rPr>
                <w:rFonts w:ascii="Arial" w:hAnsi="Arial" w:cs="Arial"/>
                <w:bCs/>
                <w:sz w:val="20"/>
                <w:szCs w:val="20"/>
              </w:rPr>
              <w:t>compute</w:t>
            </w:r>
            <w:r w:rsidR="00B95A0D">
              <w:rPr>
                <w:rFonts w:ascii="Arial" w:hAnsi="Arial" w:cs="Arial"/>
                <w:bCs/>
                <w:sz w:val="20"/>
                <w:szCs w:val="20"/>
              </w:rPr>
              <w:t>d</w:t>
            </w:r>
            <w:r>
              <w:rPr>
                <w:rFonts w:ascii="Arial" w:hAnsi="Arial" w:cs="Arial"/>
                <w:bCs/>
                <w:sz w:val="20"/>
                <w:szCs w:val="20"/>
              </w:rPr>
              <w:t xml:space="preserve"> </w:t>
            </w:r>
            <w:r w:rsidRPr="00BB4CC3">
              <w:rPr>
                <w:rFonts w:ascii="Arial" w:hAnsi="Arial" w:cs="Arial"/>
                <w:bCs/>
                <w:sz w:val="20"/>
                <w:szCs w:val="20"/>
              </w:rPr>
              <w:t>curve</w:t>
            </w:r>
            <w:r>
              <w:rPr>
                <w:rFonts w:ascii="Arial" w:hAnsi="Arial" w:cs="Arial"/>
                <w:bCs/>
                <w:sz w:val="20"/>
                <w:szCs w:val="20"/>
              </w:rPr>
              <w:t>s are compared with the measured curves</w:t>
            </w:r>
            <w:r w:rsidRPr="00BB4CC3">
              <w:rPr>
                <w:rFonts w:ascii="Arial" w:hAnsi="Arial" w:cs="Arial"/>
                <w:bCs/>
                <w:sz w:val="20"/>
                <w:szCs w:val="20"/>
              </w:rPr>
              <w:t xml:space="preserve"> in </w:t>
            </w:r>
            <w:r>
              <w:rPr>
                <w:rFonts w:ascii="Arial" w:hAnsi="Arial" w:cs="Arial"/>
                <w:bCs/>
                <w:sz w:val="20"/>
                <w:szCs w:val="20"/>
              </w:rPr>
              <w:t>Figure 1</w:t>
            </w:r>
            <w:r w:rsidR="00B95A0D">
              <w:rPr>
                <w:rFonts w:ascii="Arial" w:hAnsi="Arial" w:cs="Arial"/>
                <w:bCs/>
                <w:sz w:val="20"/>
                <w:szCs w:val="20"/>
              </w:rPr>
              <w:t>,</w:t>
            </w:r>
            <w:r w:rsidRPr="00BB4CC3">
              <w:rPr>
                <w:rFonts w:ascii="Arial" w:hAnsi="Arial" w:cs="Arial"/>
                <w:bCs/>
                <w:sz w:val="20"/>
                <w:szCs w:val="20"/>
              </w:rPr>
              <w:t xml:space="preserve"> and the inputs are listed in </w:t>
            </w:r>
            <w:r>
              <w:rPr>
                <w:rFonts w:ascii="Arial" w:hAnsi="Arial" w:cs="Arial"/>
                <w:bCs/>
                <w:sz w:val="20"/>
                <w:szCs w:val="20"/>
              </w:rPr>
              <w:t xml:space="preserve">Table 1. </w:t>
            </w:r>
            <w:r w:rsidRPr="00BB4CC3">
              <w:rPr>
                <w:rFonts w:ascii="Arial" w:hAnsi="Arial" w:cs="Arial"/>
                <w:bCs/>
                <w:sz w:val="20"/>
                <w:szCs w:val="20"/>
              </w:rPr>
              <w:t xml:space="preserve">The adjustment to the soil friction angle from 45.8° to 45.6° was very small and well within the variability allowed by using only two direct shear field test points. The wall interface friction angle ratio (δ/φ) was kept at 66%. Remaining soil parameters are equivalent to those input into PYCAP. </w:t>
            </w:r>
          </w:p>
          <w:p w:rsidR="00BB4CC3" w:rsidRDefault="00BB4CC3" w:rsidP="00BB4CC3">
            <w:pPr>
              <w:spacing w:after="0" w:line="240" w:lineRule="auto"/>
              <w:rPr>
                <w:rFonts w:ascii="Arial" w:hAnsi="Arial" w:cs="Arial"/>
                <w:bCs/>
                <w:sz w:val="20"/>
                <w:szCs w:val="20"/>
              </w:rPr>
            </w:pPr>
            <w:r w:rsidRPr="00BB4CC3">
              <w:rPr>
                <w:rFonts w:ascii="Arial" w:hAnsi="Arial" w:cs="Arial"/>
                <w:bCs/>
                <w:sz w:val="20"/>
                <w:szCs w:val="20"/>
              </w:rPr>
              <w:lastRenderedPageBreak/>
              <w:t>The parameter ε</w:t>
            </w:r>
            <w:r w:rsidRPr="00BB4CC3">
              <w:rPr>
                <w:rFonts w:ascii="Arial" w:hAnsi="Arial" w:cs="Arial"/>
                <w:bCs/>
                <w:sz w:val="20"/>
                <w:szCs w:val="20"/>
                <w:vertAlign w:val="subscript"/>
              </w:rPr>
              <w:t>50</w:t>
            </w:r>
            <w:r w:rsidRPr="00BB4CC3">
              <w:rPr>
                <w:rFonts w:ascii="Arial" w:hAnsi="Arial" w:cs="Arial"/>
                <w:bCs/>
                <w:sz w:val="20"/>
                <w:szCs w:val="20"/>
              </w:rPr>
              <w:t xml:space="preserve"> represents the strain at which 50% of the ultimate passive force is reached. </w:t>
            </w:r>
            <w:proofErr w:type="spellStart"/>
            <w:r w:rsidRPr="00BB4CC3">
              <w:rPr>
                <w:rFonts w:ascii="Arial" w:hAnsi="Arial" w:cs="Arial"/>
                <w:bCs/>
                <w:sz w:val="20"/>
                <w:szCs w:val="20"/>
              </w:rPr>
              <w:t>Shamsabadi</w:t>
            </w:r>
            <w:proofErr w:type="spellEnd"/>
            <w:r w:rsidRPr="00BB4CC3">
              <w:rPr>
                <w:rFonts w:ascii="Arial" w:hAnsi="Arial" w:cs="Arial"/>
                <w:bCs/>
                <w:sz w:val="20"/>
                <w:szCs w:val="20"/>
              </w:rPr>
              <w:t xml:space="preserve"> et al. (2007) recommends a range of 0.001 to 0.005 for gravels. The ε</w:t>
            </w:r>
            <w:r w:rsidRPr="00BB4CC3">
              <w:rPr>
                <w:rFonts w:ascii="Arial" w:hAnsi="Arial" w:cs="Arial"/>
                <w:bCs/>
                <w:sz w:val="20"/>
                <w:szCs w:val="20"/>
                <w:vertAlign w:val="subscript"/>
              </w:rPr>
              <w:t>50</w:t>
            </w:r>
            <w:r w:rsidRPr="00BB4CC3">
              <w:rPr>
                <w:rFonts w:ascii="Arial" w:hAnsi="Arial" w:cs="Arial"/>
                <w:bCs/>
                <w:sz w:val="20"/>
                <w:szCs w:val="20"/>
              </w:rPr>
              <w:t xml:space="preserve"> value that best fit the data was 0.0075, which </w:t>
            </w:r>
            <w:r>
              <w:rPr>
                <w:rFonts w:ascii="Arial" w:hAnsi="Arial" w:cs="Arial"/>
                <w:bCs/>
                <w:sz w:val="20"/>
                <w:szCs w:val="20"/>
              </w:rPr>
              <w:t xml:space="preserve">indicates </w:t>
            </w:r>
            <w:r w:rsidRPr="00BB4CC3">
              <w:rPr>
                <w:rFonts w:ascii="Arial" w:hAnsi="Arial" w:cs="Arial"/>
                <w:bCs/>
                <w:sz w:val="20"/>
                <w:szCs w:val="20"/>
              </w:rPr>
              <w:t xml:space="preserve">that the large displacements required to push this test without peaking were unusual, as previously discussed. The recommended range for the failure ratio is 0.94 to 0.98; 0.955 fits comfortably within that range. Adjusting the </w:t>
            </w:r>
            <w:proofErr w:type="spellStart"/>
            <w:r w:rsidRPr="00BB4CC3">
              <w:rPr>
                <w:rFonts w:ascii="Arial" w:hAnsi="Arial" w:cs="Arial"/>
                <w:bCs/>
                <w:sz w:val="20"/>
                <w:szCs w:val="20"/>
              </w:rPr>
              <w:t>Δ</w:t>
            </w:r>
            <w:r w:rsidRPr="00BB4CC3">
              <w:rPr>
                <w:rFonts w:ascii="Arial" w:hAnsi="Arial" w:cs="Arial"/>
                <w:bCs/>
                <w:sz w:val="20"/>
                <w:szCs w:val="20"/>
                <w:vertAlign w:val="subscript"/>
              </w:rPr>
              <w:t>max</w:t>
            </w:r>
            <w:proofErr w:type="spellEnd"/>
            <w:r w:rsidRPr="00BB4CC3">
              <w:rPr>
                <w:rFonts w:ascii="Arial" w:hAnsi="Arial" w:cs="Arial"/>
                <w:bCs/>
                <w:sz w:val="20"/>
                <w:szCs w:val="20"/>
              </w:rPr>
              <w:t>/H value in ABUTMENT with the ε</w:t>
            </w:r>
            <w:r w:rsidRPr="00BB4CC3">
              <w:rPr>
                <w:rFonts w:ascii="Arial" w:hAnsi="Arial" w:cs="Arial"/>
                <w:bCs/>
                <w:sz w:val="20"/>
                <w:szCs w:val="20"/>
                <w:vertAlign w:val="subscript"/>
              </w:rPr>
              <w:t>50</w:t>
            </w:r>
            <w:r w:rsidRPr="00BB4CC3">
              <w:rPr>
                <w:rFonts w:ascii="Arial" w:hAnsi="Arial" w:cs="Arial"/>
                <w:bCs/>
                <w:sz w:val="20"/>
                <w:szCs w:val="20"/>
              </w:rPr>
              <w:t xml:space="preserve"> value was more difficult than in PYCAP, thus the skew reduction was excluded from this case.</w:t>
            </w:r>
          </w:p>
          <w:p w:rsidR="009C73CE" w:rsidRDefault="009C73CE" w:rsidP="00BB4CC3">
            <w:pPr>
              <w:spacing w:after="0" w:line="240" w:lineRule="auto"/>
              <w:rPr>
                <w:rFonts w:ascii="Arial" w:hAnsi="Arial" w:cs="Arial"/>
                <w:bCs/>
                <w:sz w:val="20"/>
                <w:szCs w:val="20"/>
              </w:rPr>
            </w:pPr>
          </w:p>
          <w:p w:rsidR="009C73CE" w:rsidRPr="00BB4CC3" w:rsidRDefault="009C73CE" w:rsidP="00BB4CC3">
            <w:pPr>
              <w:spacing w:after="0" w:line="240" w:lineRule="auto"/>
              <w:rPr>
                <w:rFonts w:ascii="Arial" w:hAnsi="Arial" w:cs="Arial"/>
                <w:bCs/>
                <w:sz w:val="20"/>
                <w:szCs w:val="20"/>
              </w:rPr>
            </w:pPr>
          </w:p>
          <w:p w:rsidR="00BB4CC3" w:rsidRPr="00BB4CC3" w:rsidRDefault="00BB4CC3" w:rsidP="00BB4CC3">
            <w:pPr>
              <w:spacing w:after="0" w:line="240" w:lineRule="auto"/>
              <w:rPr>
                <w:rFonts w:ascii="Arial" w:hAnsi="Arial" w:cs="Arial"/>
                <w:bCs/>
                <w:sz w:val="20"/>
                <w:szCs w:val="20"/>
              </w:rPr>
            </w:pPr>
            <w:r w:rsidRPr="00BB4CC3">
              <w:rPr>
                <w:rFonts w:ascii="Arial" w:hAnsi="Arial" w:cs="Arial"/>
                <w:bCs/>
                <w:noProof/>
                <w:sz w:val="20"/>
                <w:szCs w:val="20"/>
              </w:rPr>
              <w:drawing>
                <wp:inline distT="0" distB="0" distL="0" distR="0" wp14:anchorId="5E38053C" wp14:editId="262DB05B">
                  <wp:extent cx="5806016" cy="3566160"/>
                  <wp:effectExtent l="0" t="0" r="4445" b="15240"/>
                  <wp:docPr id="1417" name="Chart 1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B4CC3" w:rsidRPr="00BB4CC3" w:rsidRDefault="00BB4CC3" w:rsidP="00BB4CC3">
            <w:pPr>
              <w:spacing w:after="0" w:line="240" w:lineRule="auto"/>
              <w:rPr>
                <w:rFonts w:ascii="Arial" w:hAnsi="Arial" w:cs="Arial"/>
                <w:bCs/>
                <w:sz w:val="20"/>
                <w:szCs w:val="20"/>
              </w:rPr>
            </w:pPr>
            <w:r>
              <w:rPr>
                <w:rFonts w:ascii="Arial" w:hAnsi="Arial" w:cs="Arial"/>
                <w:bCs/>
                <w:sz w:val="20"/>
                <w:szCs w:val="20"/>
              </w:rPr>
              <w:t>Figure 1</w:t>
            </w:r>
            <w:r w:rsidRPr="00BB4CC3">
              <w:rPr>
                <w:rFonts w:ascii="Arial" w:hAnsi="Arial" w:cs="Arial"/>
                <w:bCs/>
                <w:sz w:val="20"/>
                <w:szCs w:val="20"/>
              </w:rPr>
              <w:t xml:space="preserve">. ABUTMENT best fit curve with 0° skew 3.5 </w:t>
            </w:r>
            <w:proofErr w:type="spellStart"/>
            <w:r w:rsidRPr="00BB4CC3">
              <w:rPr>
                <w:rFonts w:ascii="Arial" w:hAnsi="Arial" w:cs="Arial"/>
                <w:bCs/>
                <w:sz w:val="20"/>
                <w:szCs w:val="20"/>
              </w:rPr>
              <w:t>ft</w:t>
            </w:r>
            <w:proofErr w:type="spellEnd"/>
            <w:r w:rsidRPr="00BB4CC3">
              <w:rPr>
                <w:rFonts w:ascii="Arial" w:hAnsi="Arial" w:cs="Arial"/>
                <w:bCs/>
                <w:sz w:val="20"/>
                <w:szCs w:val="20"/>
              </w:rPr>
              <w:t xml:space="preserve"> gravel test data.</w:t>
            </w:r>
          </w:p>
          <w:p w:rsidR="00BB4CC3" w:rsidRDefault="00BB4CC3" w:rsidP="00BB4CC3">
            <w:pPr>
              <w:spacing w:after="0" w:line="240" w:lineRule="auto"/>
              <w:rPr>
                <w:rFonts w:ascii="Arial" w:hAnsi="Arial" w:cs="Arial"/>
                <w:bCs/>
                <w:sz w:val="20"/>
                <w:szCs w:val="20"/>
              </w:rPr>
            </w:pPr>
            <w:bookmarkStart w:id="0" w:name="_Ref420087543"/>
          </w:p>
          <w:p w:rsidR="009C73CE" w:rsidRDefault="009C73CE" w:rsidP="00BB4CC3">
            <w:pPr>
              <w:spacing w:after="0" w:line="240" w:lineRule="auto"/>
              <w:rPr>
                <w:rFonts w:ascii="Arial" w:hAnsi="Arial" w:cs="Arial"/>
                <w:bCs/>
                <w:sz w:val="20"/>
                <w:szCs w:val="20"/>
              </w:rPr>
            </w:pPr>
          </w:p>
          <w:p w:rsidR="009C73CE" w:rsidRDefault="009C73CE" w:rsidP="00BB4CC3">
            <w:pPr>
              <w:spacing w:after="0" w:line="240" w:lineRule="auto"/>
              <w:rPr>
                <w:rFonts w:ascii="Arial" w:hAnsi="Arial" w:cs="Arial"/>
                <w:bCs/>
                <w:sz w:val="20"/>
                <w:szCs w:val="20"/>
              </w:rPr>
            </w:pPr>
          </w:p>
          <w:p w:rsidR="00BB4CC3" w:rsidRPr="00BB4CC3" w:rsidRDefault="00BB4CC3" w:rsidP="00BB4CC3">
            <w:pPr>
              <w:spacing w:after="0" w:line="240" w:lineRule="auto"/>
              <w:rPr>
                <w:rFonts w:ascii="Arial" w:hAnsi="Arial" w:cs="Arial"/>
                <w:bCs/>
                <w:sz w:val="20"/>
                <w:szCs w:val="20"/>
              </w:rPr>
            </w:pPr>
            <w:r w:rsidRPr="00BB4CC3">
              <w:rPr>
                <w:rFonts w:ascii="Arial" w:hAnsi="Arial" w:cs="Arial"/>
                <w:bCs/>
                <w:sz w:val="20"/>
                <w:szCs w:val="20"/>
              </w:rPr>
              <w:t xml:space="preserve">Table </w:t>
            </w:r>
            <w:bookmarkEnd w:id="0"/>
            <w:r>
              <w:rPr>
                <w:rFonts w:ascii="Arial" w:hAnsi="Arial" w:cs="Arial"/>
                <w:bCs/>
                <w:sz w:val="20"/>
                <w:szCs w:val="20"/>
              </w:rPr>
              <w:t>1:</w:t>
            </w:r>
            <w:r w:rsidRPr="00BB4CC3">
              <w:rPr>
                <w:rFonts w:ascii="Arial" w:hAnsi="Arial" w:cs="Arial"/>
                <w:bCs/>
                <w:sz w:val="20"/>
                <w:szCs w:val="20"/>
              </w:rPr>
              <w:t xml:space="preserve"> ABUTMENT Input Values for Gravel and GRS Tests</w:t>
            </w:r>
          </w:p>
          <w:tbl>
            <w:tblPr>
              <w:tblStyle w:val="TableGrid"/>
              <w:tblW w:w="72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90"/>
              <w:gridCol w:w="1874"/>
              <w:gridCol w:w="1412"/>
              <w:gridCol w:w="1413"/>
            </w:tblGrid>
            <w:tr w:rsidR="00BB4CC3" w:rsidRPr="00BB4CC3" w:rsidTr="001C7231">
              <w:trPr>
                <w:trHeight w:val="360"/>
                <w:jc w:val="center"/>
              </w:trPr>
              <w:tc>
                <w:tcPr>
                  <w:tcW w:w="2590" w:type="dxa"/>
                  <w:tcBorders>
                    <w:top w:val="single" w:sz="12" w:space="0" w:color="auto"/>
                    <w:bottom w:val="single" w:sz="4" w:space="0" w:color="auto"/>
                  </w:tcBorders>
                  <w:vAlign w:val="bottom"/>
                </w:tcPr>
                <w:p w:rsidR="00BB4CC3" w:rsidRPr="00BB4CC3" w:rsidRDefault="00BB4CC3" w:rsidP="00BB4CC3">
                  <w:pPr>
                    <w:spacing w:after="0" w:line="240" w:lineRule="auto"/>
                    <w:rPr>
                      <w:rFonts w:ascii="Arial" w:hAnsi="Arial" w:cs="Arial"/>
                      <w:bCs/>
                      <w:i/>
                    </w:rPr>
                  </w:pPr>
                  <w:r w:rsidRPr="00BB4CC3">
                    <w:rPr>
                      <w:rFonts w:ascii="Arial" w:hAnsi="Arial" w:cs="Arial"/>
                      <w:bCs/>
                      <w:i/>
                    </w:rPr>
                    <w:t>Soil Strength Parameter</w:t>
                  </w:r>
                </w:p>
              </w:tc>
              <w:tc>
                <w:tcPr>
                  <w:tcW w:w="1874" w:type="dxa"/>
                  <w:tcBorders>
                    <w:top w:val="single" w:sz="12" w:space="0" w:color="auto"/>
                    <w:bottom w:val="single" w:sz="4" w:space="0" w:color="auto"/>
                  </w:tcBorders>
                  <w:vAlign w:val="bottom"/>
                </w:tcPr>
                <w:p w:rsidR="00BB4CC3" w:rsidRPr="00BB4CC3" w:rsidRDefault="00BB4CC3" w:rsidP="00BB4CC3">
                  <w:pPr>
                    <w:spacing w:after="0" w:line="240" w:lineRule="auto"/>
                    <w:rPr>
                      <w:rFonts w:ascii="Arial" w:hAnsi="Arial" w:cs="Arial"/>
                      <w:bCs/>
                      <w:i/>
                    </w:rPr>
                  </w:pPr>
                  <w:r w:rsidRPr="00BB4CC3">
                    <w:rPr>
                      <w:rFonts w:ascii="Arial" w:hAnsi="Arial" w:cs="Arial"/>
                      <w:bCs/>
                      <w:i/>
                    </w:rPr>
                    <w:t>Units</w:t>
                  </w:r>
                </w:p>
              </w:tc>
              <w:tc>
                <w:tcPr>
                  <w:tcW w:w="1412" w:type="dxa"/>
                  <w:tcBorders>
                    <w:top w:val="single" w:sz="12" w:space="0" w:color="auto"/>
                    <w:bottom w:val="single" w:sz="4" w:space="0" w:color="auto"/>
                  </w:tcBorders>
                  <w:vAlign w:val="bottom"/>
                </w:tcPr>
                <w:p w:rsidR="00BB4CC3" w:rsidRPr="00BB4CC3" w:rsidRDefault="00BB4CC3" w:rsidP="00BB4CC3">
                  <w:pPr>
                    <w:spacing w:after="0" w:line="240" w:lineRule="auto"/>
                    <w:rPr>
                      <w:rFonts w:ascii="Arial" w:hAnsi="Arial" w:cs="Arial"/>
                      <w:bCs/>
                      <w:i/>
                    </w:rPr>
                  </w:pPr>
                  <w:r w:rsidRPr="00BB4CC3">
                    <w:rPr>
                      <w:rFonts w:ascii="Arial" w:hAnsi="Arial" w:cs="Arial"/>
                      <w:bCs/>
                      <w:i/>
                    </w:rPr>
                    <w:t xml:space="preserve">0° Gravel </w:t>
                  </w:r>
                </w:p>
                <w:p w:rsidR="00BB4CC3" w:rsidRPr="00BB4CC3" w:rsidRDefault="00BB4CC3" w:rsidP="00BB4CC3">
                  <w:pPr>
                    <w:spacing w:after="0" w:line="240" w:lineRule="auto"/>
                    <w:rPr>
                      <w:rFonts w:ascii="Arial" w:hAnsi="Arial" w:cs="Arial"/>
                      <w:bCs/>
                      <w:i/>
                    </w:rPr>
                  </w:pPr>
                  <w:r w:rsidRPr="00BB4CC3">
                    <w:rPr>
                      <w:rFonts w:ascii="Arial" w:hAnsi="Arial" w:cs="Arial"/>
                      <w:bCs/>
                      <w:i/>
                    </w:rPr>
                    <w:t>Inputs</w:t>
                  </w:r>
                </w:p>
              </w:tc>
              <w:tc>
                <w:tcPr>
                  <w:tcW w:w="1413" w:type="dxa"/>
                  <w:tcBorders>
                    <w:top w:val="single" w:sz="12" w:space="0" w:color="auto"/>
                    <w:bottom w:val="single" w:sz="4" w:space="0" w:color="auto"/>
                  </w:tcBorders>
                  <w:vAlign w:val="bottom"/>
                </w:tcPr>
                <w:p w:rsidR="00BB4CC3" w:rsidRPr="00BB4CC3" w:rsidRDefault="00BB4CC3" w:rsidP="00BB4CC3">
                  <w:pPr>
                    <w:spacing w:after="0" w:line="240" w:lineRule="auto"/>
                    <w:rPr>
                      <w:rFonts w:ascii="Arial" w:hAnsi="Arial" w:cs="Arial"/>
                      <w:bCs/>
                      <w:i/>
                    </w:rPr>
                  </w:pPr>
                  <w:r w:rsidRPr="00BB4CC3">
                    <w:rPr>
                      <w:rFonts w:ascii="Arial" w:hAnsi="Arial" w:cs="Arial"/>
                      <w:bCs/>
                      <w:i/>
                    </w:rPr>
                    <w:t xml:space="preserve">0° GRS </w:t>
                  </w:r>
                </w:p>
                <w:p w:rsidR="00BB4CC3" w:rsidRPr="00BB4CC3" w:rsidRDefault="00BB4CC3" w:rsidP="00BB4CC3">
                  <w:pPr>
                    <w:spacing w:after="0" w:line="240" w:lineRule="auto"/>
                    <w:rPr>
                      <w:rFonts w:ascii="Arial" w:hAnsi="Arial" w:cs="Arial"/>
                      <w:bCs/>
                      <w:i/>
                    </w:rPr>
                  </w:pPr>
                  <w:r w:rsidRPr="00BB4CC3">
                    <w:rPr>
                      <w:rFonts w:ascii="Arial" w:hAnsi="Arial" w:cs="Arial"/>
                      <w:bCs/>
                      <w:i/>
                    </w:rPr>
                    <w:t>Inputs</w:t>
                  </w:r>
                </w:p>
              </w:tc>
            </w:tr>
            <w:tr w:rsidR="00BB4CC3" w:rsidRPr="00BB4CC3" w:rsidTr="001C7231">
              <w:trPr>
                <w:trHeight w:val="356"/>
                <w:jc w:val="center"/>
              </w:trPr>
              <w:tc>
                <w:tcPr>
                  <w:tcW w:w="2590" w:type="dxa"/>
                  <w:tcBorders>
                    <w:top w:val="single" w:sz="4" w:space="0" w:color="auto"/>
                  </w:tcBorders>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Cap Width, b</w:t>
                  </w:r>
                </w:p>
              </w:tc>
              <w:tc>
                <w:tcPr>
                  <w:tcW w:w="1874" w:type="dxa"/>
                  <w:tcBorders>
                    <w:top w:val="single" w:sz="4" w:space="0" w:color="auto"/>
                  </w:tcBorders>
                  <w:vAlign w:val="center"/>
                </w:tcPr>
                <w:p w:rsidR="00BB4CC3" w:rsidRPr="00BB4CC3" w:rsidRDefault="00BB4CC3" w:rsidP="00BB4CC3">
                  <w:pPr>
                    <w:spacing w:after="0" w:line="240" w:lineRule="auto"/>
                    <w:rPr>
                      <w:rFonts w:ascii="Arial" w:hAnsi="Arial" w:cs="Arial"/>
                      <w:bCs/>
                    </w:rPr>
                  </w:pPr>
                  <w:proofErr w:type="spellStart"/>
                  <w:r w:rsidRPr="00BB4CC3">
                    <w:rPr>
                      <w:rFonts w:ascii="Arial" w:hAnsi="Arial" w:cs="Arial"/>
                      <w:bCs/>
                    </w:rPr>
                    <w:t>ft</w:t>
                  </w:r>
                  <w:proofErr w:type="spellEnd"/>
                  <w:r w:rsidRPr="00BB4CC3">
                    <w:rPr>
                      <w:rFonts w:ascii="Arial" w:hAnsi="Arial" w:cs="Arial"/>
                      <w:bCs/>
                    </w:rPr>
                    <w:t xml:space="preserve"> (m)</w:t>
                  </w:r>
                </w:p>
              </w:tc>
              <w:tc>
                <w:tcPr>
                  <w:tcW w:w="1412" w:type="dxa"/>
                  <w:tcBorders>
                    <w:top w:val="single" w:sz="4" w:space="0" w:color="auto"/>
                  </w:tcBorders>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11.0 (3.35)</w:t>
                  </w:r>
                </w:p>
              </w:tc>
              <w:tc>
                <w:tcPr>
                  <w:tcW w:w="1413" w:type="dxa"/>
                  <w:tcBorders>
                    <w:top w:val="single" w:sz="4" w:space="0" w:color="auto"/>
                  </w:tcBorders>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11.0 (3.35)</w:t>
                  </w:r>
                </w:p>
              </w:tc>
            </w:tr>
            <w:tr w:rsidR="00BB4CC3" w:rsidRPr="00BB4CC3" w:rsidTr="001C7231">
              <w:trPr>
                <w:trHeight w:val="356"/>
                <w:jc w:val="center"/>
              </w:trPr>
              <w:tc>
                <w:tcPr>
                  <w:tcW w:w="2590"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Cap Height, H</w:t>
                  </w:r>
                </w:p>
              </w:tc>
              <w:tc>
                <w:tcPr>
                  <w:tcW w:w="1874" w:type="dxa"/>
                  <w:vAlign w:val="center"/>
                </w:tcPr>
                <w:p w:rsidR="00BB4CC3" w:rsidRPr="00BB4CC3" w:rsidRDefault="00BB4CC3" w:rsidP="00BB4CC3">
                  <w:pPr>
                    <w:spacing w:after="0" w:line="240" w:lineRule="auto"/>
                    <w:rPr>
                      <w:rFonts w:ascii="Arial" w:hAnsi="Arial" w:cs="Arial"/>
                      <w:bCs/>
                    </w:rPr>
                  </w:pPr>
                  <w:proofErr w:type="spellStart"/>
                  <w:r w:rsidRPr="00BB4CC3">
                    <w:rPr>
                      <w:rFonts w:ascii="Arial" w:hAnsi="Arial" w:cs="Arial"/>
                      <w:bCs/>
                    </w:rPr>
                    <w:t>ft</w:t>
                  </w:r>
                  <w:proofErr w:type="spellEnd"/>
                  <w:r w:rsidRPr="00BB4CC3">
                    <w:rPr>
                      <w:rFonts w:ascii="Arial" w:hAnsi="Arial" w:cs="Arial"/>
                      <w:bCs/>
                    </w:rPr>
                    <w:t xml:space="preserve"> (m)</w:t>
                  </w:r>
                </w:p>
              </w:tc>
              <w:tc>
                <w:tcPr>
                  <w:tcW w:w="1412"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3.5 (1.07)</w:t>
                  </w:r>
                </w:p>
              </w:tc>
              <w:tc>
                <w:tcPr>
                  <w:tcW w:w="1413"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3.5 (1.07)</w:t>
                  </w:r>
                </w:p>
              </w:tc>
            </w:tr>
            <w:tr w:rsidR="00BB4CC3" w:rsidRPr="00BB4CC3" w:rsidTr="001C7231">
              <w:trPr>
                <w:trHeight w:val="356"/>
                <w:jc w:val="center"/>
              </w:trPr>
              <w:tc>
                <w:tcPr>
                  <w:tcW w:w="2590"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Soil Friction Angle, ϕ</w:t>
                  </w:r>
                </w:p>
              </w:tc>
              <w:tc>
                <w:tcPr>
                  <w:tcW w:w="1874" w:type="dxa"/>
                  <w:vAlign w:val="center"/>
                </w:tcPr>
                <w:p w:rsidR="00BB4CC3" w:rsidRPr="00BB4CC3" w:rsidRDefault="00BB4CC3" w:rsidP="00BB4CC3">
                  <w:pPr>
                    <w:spacing w:after="0" w:line="240" w:lineRule="auto"/>
                    <w:rPr>
                      <w:rFonts w:ascii="Arial" w:hAnsi="Arial" w:cs="Arial"/>
                      <w:bCs/>
                    </w:rPr>
                  </w:pPr>
                  <w:proofErr w:type="spellStart"/>
                  <w:r w:rsidRPr="00BB4CC3">
                    <w:rPr>
                      <w:rFonts w:ascii="Arial" w:hAnsi="Arial" w:cs="Arial"/>
                      <w:bCs/>
                    </w:rPr>
                    <w:t>deg</w:t>
                  </w:r>
                  <w:proofErr w:type="spellEnd"/>
                </w:p>
              </w:tc>
              <w:tc>
                <w:tcPr>
                  <w:tcW w:w="1412"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45.6</w:t>
                  </w:r>
                </w:p>
              </w:tc>
              <w:tc>
                <w:tcPr>
                  <w:tcW w:w="1413"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45.8</w:t>
                  </w:r>
                </w:p>
              </w:tc>
            </w:tr>
            <w:tr w:rsidR="00BB4CC3" w:rsidRPr="00BB4CC3" w:rsidTr="001C7231">
              <w:trPr>
                <w:trHeight w:val="356"/>
                <w:jc w:val="center"/>
              </w:trPr>
              <w:tc>
                <w:tcPr>
                  <w:tcW w:w="2590"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Wall Friction Angle, δ</w:t>
                  </w:r>
                </w:p>
              </w:tc>
              <w:tc>
                <w:tcPr>
                  <w:tcW w:w="1874" w:type="dxa"/>
                  <w:vAlign w:val="center"/>
                </w:tcPr>
                <w:p w:rsidR="00BB4CC3" w:rsidRPr="00BB4CC3" w:rsidRDefault="00BB4CC3" w:rsidP="00BB4CC3">
                  <w:pPr>
                    <w:spacing w:after="0" w:line="240" w:lineRule="auto"/>
                    <w:rPr>
                      <w:rFonts w:ascii="Arial" w:hAnsi="Arial" w:cs="Arial"/>
                      <w:bCs/>
                    </w:rPr>
                  </w:pPr>
                  <w:proofErr w:type="spellStart"/>
                  <w:r w:rsidRPr="00BB4CC3">
                    <w:rPr>
                      <w:rFonts w:ascii="Arial" w:hAnsi="Arial" w:cs="Arial"/>
                      <w:bCs/>
                    </w:rPr>
                    <w:t>deg</w:t>
                  </w:r>
                  <w:proofErr w:type="spellEnd"/>
                </w:p>
              </w:tc>
              <w:tc>
                <w:tcPr>
                  <w:tcW w:w="1412"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30.1</w:t>
                  </w:r>
                </w:p>
              </w:tc>
              <w:tc>
                <w:tcPr>
                  <w:tcW w:w="1413"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25.8</w:t>
                  </w:r>
                </w:p>
              </w:tc>
            </w:tr>
            <w:tr w:rsidR="00BB4CC3" w:rsidRPr="00BB4CC3" w:rsidTr="001C7231">
              <w:trPr>
                <w:trHeight w:val="356"/>
                <w:jc w:val="center"/>
              </w:trPr>
              <w:tc>
                <w:tcPr>
                  <w:tcW w:w="2590"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Cohesion, c</w:t>
                  </w:r>
                </w:p>
              </w:tc>
              <w:tc>
                <w:tcPr>
                  <w:tcW w:w="1874" w:type="dxa"/>
                  <w:vAlign w:val="center"/>
                </w:tcPr>
                <w:p w:rsidR="00BB4CC3" w:rsidRPr="00BB4CC3" w:rsidRDefault="00BB4CC3" w:rsidP="00BB4CC3">
                  <w:pPr>
                    <w:spacing w:after="0" w:line="240" w:lineRule="auto"/>
                    <w:rPr>
                      <w:rFonts w:ascii="Arial" w:hAnsi="Arial" w:cs="Arial"/>
                      <w:bCs/>
                    </w:rPr>
                  </w:pPr>
                  <w:proofErr w:type="spellStart"/>
                  <w:r w:rsidRPr="00BB4CC3">
                    <w:rPr>
                      <w:rFonts w:ascii="Arial" w:hAnsi="Arial" w:cs="Arial"/>
                      <w:bCs/>
                    </w:rPr>
                    <w:t>ksf</w:t>
                  </w:r>
                  <w:proofErr w:type="spellEnd"/>
                  <w:r w:rsidRPr="00BB4CC3">
                    <w:rPr>
                      <w:rFonts w:ascii="Arial" w:hAnsi="Arial" w:cs="Arial"/>
                      <w:bCs/>
                    </w:rPr>
                    <w:t xml:space="preserve"> (</w:t>
                  </w:r>
                  <w:proofErr w:type="spellStart"/>
                  <w:r w:rsidRPr="00BB4CC3">
                    <w:rPr>
                      <w:rFonts w:ascii="Arial" w:hAnsi="Arial" w:cs="Arial"/>
                      <w:bCs/>
                    </w:rPr>
                    <w:t>MPa</w:t>
                  </w:r>
                  <w:proofErr w:type="spellEnd"/>
                  <w:r w:rsidRPr="00BB4CC3">
                    <w:rPr>
                      <w:rFonts w:ascii="Arial" w:hAnsi="Arial" w:cs="Arial"/>
                      <w:bCs/>
                    </w:rPr>
                    <w:t>)</w:t>
                  </w:r>
                </w:p>
              </w:tc>
              <w:tc>
                <w:tcPr>
                  <w:tcW w:w="1412"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w:t>
                  </w:r>
                </w:p>
              </w:tc>
              <w:tc>
                <w:tcPr>
                  <w:tcW w:w="1413"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w:t>
                  </w:r>
                </w:p>
              </w:tc>
            </w:tr>
            <w:tr w:rsidR="00BB4CC3" w:rsidRPr="00BB4CC3" w:rsidTr="001C7231">
              <w:trPr>
                <w:trHeight w:val="80"/>
                <w:jc w:val="center"/>
              </w:trPr>
              <w:tc>
                <w:tcPr>
                  <w:tcW w:w="2590"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Abutment Adhesion, C</w:t>
                  </w:r>
                  <w:r w:rsidRPr="00BB4CC3">
                    <w:rPr>
                      <w:rFonts w:ascii="Arial" w:hAnsi="Arial" w:cs="Arial"/>
                      <w:bCs/>
                      <w:vertAlign w:val="subscript"/>
                    </w:rPr>
                    <w:t>a</w:t>
                  </w:r>
                </w:p>
              </w:tc>
              <w:tc>
                <w:tcPr>
                  <w:tcW w:w="1874" w:type="dxa"/>
                  <w:vAlign w:val="center"/>
                </w:tcPr>
                <w:p w:rsidR="00BB4CC3" w:rsidRPr="00BB4CC3" w:rsidRDefault="00BB4CC3" w:rsidP="00BB4CC3">
                  <w:pPr>
                    <w:spacing w:after="0" w:line="240" w:lineRule="auto"/>
                    <w:rPr>
                      <w:rFonts w:ascii="Arial" w:hAnsi="Arial" w:cs="Arial"/>
                      <w:bCs/>
                    </w:rPr>
                  </w:pPr>
                  <w:proofErr w:type="spellStart"/>
                  <w:r w:rsidRPr="00BB4CC3">
                    <w:rPr>
                      <w:rFonts w:ascii="Arial" w:hAnsi="Arial" w:cs="Arial"/>
                      <w:bCs/>
                    </w:rPr>
                    <w:t>ksf</w:t>
                  </w:r>
                  <w:proofErr w:type="spellEnd"/>
                  <w:r w:rsidRPr="00BB4CC3">
                    <w:rPr>
                      <w:rFonts w:ascii="Arial" w:hAnsi="Arial" w:cs="Arial"/>
                      <w:bCs/>
                    </w:rPr>
                    <w:t xml:space="preserve"> (</w:t>
                  </w:r>
                  <w:proofErr w:type="spellStart"/>
                  <w:r w:rsidRPr="00BB4CC3">
                    <w:rPr>
                      <w:rFonts w:ascii="Arial" w:hAnsi="Arial" w:cs="Arial"/>
                      <w:bCs/>
                    </w:rPr>
                    <w:t>MPa</w:t>
                  </w:r>
                  <w:proofErr w:type="spellEnd"/>
                  <w:r w:rsidRPr="00BB4CC3">
                    <w:rPr>
                      <w:rFonts w:ascii="Arial" w:hAnsi="Arial" w:cs="Arial"/>
                      <w:bCs/>
                    </w:rPr>
                    <w:t>)</w:t>
                  </w:r>
                </w:p>
              </w:tc>
              <w:tc>
                <w:tcPr>
                  <w:tcW w:w="1412"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w:t>
                  </w:r>
                </w:p>
              </w:tc>
              <w:tc>
                <w:tcPr>
                  <w:tcW w:w="1413"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w:t>
                  </w:r>
                </w:p>
              </w:tc>
            </w:tr>
            <w:tr w:rsidR="00BB4CC3" w:rsidRPr="00BB4CC3" w:rsidTr="001C7231">
              <w:trPr>
                <w:trHeight w:val="810"/>
                <w:jc w:val="center"/>
              </w:trPr>
              <w:tc>
                <w:tcPr>
                  <w:tcW w:w="2590"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Soil Density, ɣ</w:t>
                  </w:r>
                </w:p>
              </w:tc>
              <w:tc>
                <w:tcPr>
                  <w:tcW w:w="1874" w:type="dxa"/>
                  <w:vAlign w:val="center"/>
                </w:tcPr>
                <w:p w:rsidR="00BB4CC3" w:rsidRPr="00BB4CC3" w:rsidRDefault="00BB4CC3" w:rsidP="00BB4CC3">
                  <w:pPr>
                    <w:spacing w:after="0" w:line="240" w:lineRule="auto"/>
                    <w:rPr>
                      <w:rFonts w:ascii="Arial" w:hAnsi="Arial" w:cs="Arial"/>
                      <w:bCs/>
                    </w:rPr>
                  </w:pPr>
                  <w:proofErr w:type="spellStart"/>
                  <w:r w:rsidRPr="00BB4CC3">
                    <w:rPr>
                      <w:rFonts w:ascii="Arial" w:hAnsi="Arial" w:cs="Arial"/>
                      <w:bCs/>
                    </w:rPr>
                    <w:t>kcf</w:t>
                  </w:r>
                  <w:proofErr w:type="spellEnd"/>
                  <w:r w:rsidRPr="00BB4CC3">
                    <w:rPr>
                      <w:rFonts w:ascii="Arial" w:hAnsi="Arial" w:cs="Arial"/>
                      <w:bCs/>
                    </w:rPr>
                    <w:t xml:space="preserve"> (</w:t>
                  </w:r>
                  <w:proofErr w:type="spellStart"/>
                  <w:r w:rsidRPr="00BB4CC3">
                    <w:rPr>
                      <w:rFonts w:ascii="Arial" w:hAnsi="Arial" w:cs="Arial"/>
                      <w:bCs/>
                    </w:rPr>
                    <w:t>kN</w:t>
                  </w:r>
                  <w:proofErr w:type="spellEnd"/>
                  <w:r w:rsidRPr="00BB4CC3">
                    <w:rPr>
                      <w:rFonts w:ascii="Arial" w:hAnsi="Arial" w:cs="Arial"/>
                      <w:bCs/>
                    </w:rPr>
                    <w:t>/m^3)</w:t>
                  </w:r>
                </w:p>
              </w:tc>
              <w:tc>
                <w:tcPr>
                  <w:tcW w:w="1412"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0.1449 (0.01825)</w:t>
                  </w:r>
                </w:p>
              </w:tc>
              <w:tc>
                <w:tcPr>
                  <w:tcW w:w="1413"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0.1449 (0.01825)</w:t>
                  </w:r>
                </w:p>
              </w:tc>
            </w:tr>
            <w:tr w:rsidR="00BB4CC3" w:rsidRPr="00BB4CC3" w:rsidTr="001C7231">
              <w:trPr>
                <w:trHeight w:val="356"/>
                <w:jc w:val="center"/>
              </w:trPr>
              <w:tc>
                <w:tcPr>
                  <w:tcW w:w="2590"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ε</w:t>
                  </w:r>
                  <w:r w:rsidRPr="00BB4CC3">
                    <w:rPr>
                      <w:rFonts w:ascii="Arial" w:hAnsi="Arial" w:cs="Arial"/>
                      <w:bCs/>
                      <w:vertAlign w:val="subscript"/>
                    </w:rPr>
                    <w:t>50</w:t>
                  </w:r>
                </w:p>
              </w:tc>
              <w:tc>
                <w:tcPr>
                  <w:tcW w:w="1874"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w:t>
                  </w:r>
                </w:p>
              </w:tc>
              <w:tc>
                <w:tcPr>
                  <w:tcW w:w="1412"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0.0075</w:t>
                  </w:r>
                </w:p>
              </w:tc>
              <w:tc>
                <w:tcPr>
                  <w:tcW w:w="1413"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0.010</w:t>
                  </w:r>
                </w:p>
              </w:tc>
            </w:tr>
            <w:tr w:rsidR="00BB4CC3" w:rsidRPr="00BB4CC3" w:rsidTr="001C7231">
              <w:trPr>
                <w:trHeight w:val="356"/>
                <w:jc w:val="center"/>
              </w:trPr>
              <w:tc>
                <w:tcPr>
                  <w:tcW w:w="2590"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Poisson’s Ratio, ν</w:t>
                  </w:r>
                </w:p>
              </w:tc>
              <w:tc>
                <w:tcPr>
                  <w:tcW w:w="1874"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w:t>
                  </w:r>
                </w:p>
              </w:tc>
              <w:tc>
                <w:tcPr>
                  <w:tcW w:w="1412"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0.22</w:t>
                  </w:r>
                </w:p>
              </w:tc>
              <w:tc>
                <w:tcPr>
                  <w:tcW w:w="1413"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0.22</w:t>
                  </w:r>
                </w:p>
              </w:tc>
            </w:tr>
            <w:tr w:rsidR="00BB4CC3" w:rsidRPr="00BB4CC3" w:rsidTr="001C7231">
              <w:trPr>
                <w:trHeight w:val="356"/>
                <w:jc w:val="center"/>
              </w:trPr>
              <w:tc>
                <w:tcPr>
                  <w:tcW w:w="2590"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 xml:space="preserve">Failure Ratio, </w:t>
                  </w:r>
                  <w:proofErr w:type="spellStart"/>
                  <w:r w:rsidRPr="00BB4CC3">
                    <w:rPr>
                      <w:rFonts w:ascii="Arial" w:hAnsi="Arial" w:cs="Arial"/>
                      <w:bCs/>
                    </w:rPr>
                    <w:t>R</w:t>
                  </w:r>
                  <w:r w:rsidRPr="00BB4CC3">
                    <w:rPr>
                      <w:rFonts w:ascii="Arial" w:hAnsi="Arial" w:cs="Arial"/>
                      <w:bCs/>
                      <w:vertAlign w:val="subscript"/>
                    </w:rPr>
                    <w:t>f</w:t>
                  </w:r>
                  <w:proofErr w:type="spellEnd"/>
                </w:p>
              </w:tc>
              <w:tc>
                <w:tcPr>
                  <w:tcW w:w="1874"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w:t>
                  </w:r>
                </w:p>
              </w:tc>
              <w:tc>
                <w:tcPr>
                  <w:tcW w:w="1412"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0.955</w:t>
                  </w:r>
                </w:p>
              </w:tc>
              <w:tc>
                <w:tcPr>
                  <w:tcW w:w="1413" w:type="dxa"/>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0.965</w:t>
                  </w:r>
                </w:p>
              </w:tc>
            </w:tr>
            <w:tr w:rsidR="00BB4CC3" w:rsidRPr="00BB4CC3" w:rsidTr="001C7231">
              <w:trPr>
                <w:trHeight w:val="356"/>
                <w:jc w:val="center"/>
              </w:trPr>
              <w:tc>
                <w:tcPr>
                  <w:tcW w:w="2590" w:type="dxa"/>
                  <w:tcBorders>
                    <w:bottom w:val="single" w:sz="12" w:space="0" w:color="auto"/>
                  </w:tcBorders>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Surcharge, q</w:t>
                  </w:r>
                </w:p>
              </w:tc>
              <w:tc>
                <w:tcPr>
                  <w:tcW w:w="1874" w:type="dxa"/>
                  <w:tcBorders>
                    <w:bottom w:val="single" w:sz="12" w:space="0" w:color="auto"/>
                  </w:tcBorders>
                  <w:vAlign w:val="center"/>
                </w:tcPr>
                <w:p w:rsidR="00BB4CC3" w:rsidRPr="00BB4CC3" w:rsidRDefault="00BB4CC3" w:rsidP="00BB4CC3">
                  <w:pPr>
                    <w:spacing w:after="0" w:line="240" w:lineRule="auto"/>
                    <w:rPr>
                      <w:rFonts w:ascii="Arial" w:hAnsi="Arial" w:cs="Arial"/>
                      <w:bCs/>
                    </w:rPr>
                  </w:pPr>
                  <w:proofErr w:type="spellStart"/>
                  <w:r w:rsidRPr="00BB4CC3">
                    <w:rPr>
                      <w:rFonts w:ascii="Arial" w:hAnsi="Arial" w:cs="Arial"/>
                      <w:bCs/>
                    </w:rPr>
                    <w:t>ksf</w:t>
                  </w:r>
                  <w:proofErr w:type="spellEnd"/>
                  <w:r w:rsidRPr="00BB4CC3">
                    <w:rPr>
                      <w:rFonts w:ascii="Arial" w:hAnsi="Arial" w:cs="Arial"/>
                      <w:bCs/>
                    </w:rPr>
                    <w:t xml:space="preserve"> (</w:t>
                  </w:r>
                  <w:proofErr w:type="spellStart"/>
                  <w:r w:rsidRPr="00BB4CC3">
                    <w:rPr>
                      <w:rFonts w:ascii="Arial" w:hAnsi="Arial" w:cs="Arial"/>
                      <w:bCs/>
                    </w:rPr>
                    <w:t>MPa</w:t>
                  </w:r>
                  <w:proofErr w:type="spellEnd"/>
                  <w:r w:rsidRPr="00BB4CC3">
                    <w:rPr>
                      <w:rFonts w:ascii="Arial" w:hAnsi="Arial" w:cs="Arial"/>
                      <w:bCs/>
                    </w:rPr>
                    <w:t>)</w:t>
                  </w:r>
                </w:p>
              </w:tc>
              <w:tc>
                <w:tcPr>
                  <w:tcW w:w="1412" w:type="dxa"/>
                  <w:tcBorders>
                    <w:bottom w:val="single" w:sz="12" w:space="0" w:color="auto"/>
                  </w:tcBorders>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w:t>
                  </w:r>
                </w:p>
              </w:tc>
              <w:tc>
                <w:tcPr>
                  <w:tcW w:w="1413" w:type="dxa"/>
                  <w:tcBorders>
                    <w:bottom w:val="single" w:sz="12" w:space="0" w:color="auto"/>
                  </w:tcBorders>
                  <w:vAlign w:val="center"/>
                </w:tcPr>
                <w:p w:rsidR="00BB4CC3" w:rsidRPr="00BB4CC3" w:rsidRDefault="00BB4CC3" w:rsidP="00BB4CC3">
                  <w:pPr>
                    <w:spacing w:after="0" w:line="240" w:lineRule="auto"/>
                    <w:rPr>
                      <w:rFonts w:ascii="Arial" w:hAnsi="Arial" w:cs="Arial"/>
                      <w:bCs/>
                    </w:rPr>
                  </w:pPr>
                  <w:r w:rsidRPr="00BB4CC3">
                    <w:rPr>
                      <w:rFonts w:ascii="Arial" w:hAnsi="Arial" w:cs="Arial"/>
                      <w:bCs/>
                    </w:rPr>
                    <w:t>0</w:t>
                  </w:r>
                </w:p>
              </w:tc>
            </w:tr>
          </w:tbl>
          <w:p w:rsidR="00BB4CC3" w:rsidRPr="00BB4CC3" w:rsidRDefault="00BB4CC3" w:rsidP="00BB4CC3">
            <w:pPr>
              <w:spacing w:after="0" w:line="240" w:lineRule="auto"/>
              <w:rPr>
                <w:rFonts w:ascii="Arial" w:hAnsi="Arial" w:cs="Arial"/>
                <w:b/>
                <w:bCs/>
                <w:sz w:val="20"/>
                <w:szCs w:val="20"/>
              </w:rPr>
            </w:pPr>
          </w:p>
          <w:p w:rsidR="00BB4CC3" w:rsidRDefault="00BB4CC3" w:rsidP="00BB4CC3">
            <w:pPr>
              <w:spacing w:after="0" w:line="240" w:lineRule="auto"/>
              <w:rPr>
                <w:rFonts w:ascii="Arial" w:hAnsi="Arial" w:cs="Arial"/>
                <w:bCs/>
                <w:sz w:val="20"/>
                <w:szCs w:val="20"/>
              </w:rPr>
            </w:pPr>
            <w:r w:rsidRPr="00BB4CC3">
              <w:rPr>
                <w:rFonts w:ascii="Arial" w:hAnsi="Arial" w:cs="Arial"/>
                <w:bCs/>
                <w:sz w:val="20"/>
                <w:szCs w:val="20"/>
              </w:rPr>
              <w:lastRenderedPageBreak/>
              <w:t xml:space="preserve">The ABUTMENT analysis inputs for the GRS tests are also found in </w:t>
            </w:r>
            <w:r>
              <w:rPr>
                <w:rFonts w:ascii="Arial" w:hAnsi="Arial" w:cs="Arial"/>
                <w:bCs/>
                <w:sz w:val="20"/>
                <w:szCs w:val="20"/>
              </w:rPr>
              <w:t xml:space="preserve">Table </w:t>
            </w:r>
            <w:r w:rsidR="009C73CE">
              <w:rPr>
                <w:rFonts w:ascii="Arial" w:hAnsi="Arial" w:cs="Arial"/>
                <w:bCs/>
                <w:sz w:val="20"/>
                <w:szCs w:val="20"/>
              </w:rPr>
              <w:t>1</w:t>
            </w:r>
            <w:r>
              <w:rPr>
                <w:rFonts w:ascii="Arial" w:hAnsi="Arial" w:cs="Arial"/>
                <w:bCs/>
                <w:sz w:val="20"/>
                <w:szCs w:val="20"/>
              </w:rPr>
              <w:t xml:space="preserve">. </w:t>
            </w:r>
            <w:r w:rsidRPr="00BB4CC3">
              <w:rPr>
                <w:rFonts w:ascii="Arial" w:hAnsi="Arial" w:cs="Arial"/>
                <w:bCs/>
                <w:sz w:val="20"/>
                <w:szCs w:val="20"/>
              </w:rPr>
              <w:t xml:space="preserve"> The ABUTMENT analysis for GRS used the same soil and wall friction angles used in the PYCAP analysis of 45.8° and 25.8°, respectively. It also used a higher ε</w:t>
            </w:r>
            <w:r w:rsidRPr="00BB4CC3">
              <w:rPr>
                <w:rFonts w:ascii="Arial" w:hAnsi="Arial" w:cs="Arial"/>
                <w:bCs/>
                <w:sz w:val="20"/>
                <w:szCs w:val="20"/>
                <w:vertAlign w:val="subscript"/>
              </w:rPr>
              <w:t>50</w:t>
            </w:r>
            <w:r w:rsidRPr="00BB4CC3">
              <w:rPr>
                <w:rFonts w:ascii="Arial" w:hAnsi="Arial" w:cs="Arial"/>
                <w:bCs/>
                <w:sz w:val="20"/>
                <w:szCs w:val="20"/>
              </w:rPr>
              <w:t xml:space="preserve"> horizontal strain value (0.010) and higher failure ratio (</w:t>
            </w:r>
            <w:proofErr w:type="spellStart"/>
            <w:r w:rsidRPr="00BB4CC3">
              <w:rPr>
                <w:rFonts w:ascii="Arial" w:hAnsi="Arial" w:cs="Arial"/>
                <w:bCs/>
                <w:sz w:val="20"/>
                <w:szCs w:val="20"/>
              </w:rPr>
              <w:t>R</w:t>
            </w:r>
            <w:r w:rsidRPr="00BB4CC3">
              <w:rPr>
                <w:rFonts w:ascii="Arial" w:hAnsi="Arial" w:cs="Arial"/>
                <w:bCs/>
                <w:sz w:val="20"/>
                <w:szCs w:val="20"/>
                <w:vertAlign w:val="subscript"/>
              </w:rPr>
              <w:t>f</w:t>
            </w:r>
            <w:proofErr w:type="spellEnd"/>
            <w:r w:rsidRPr="00BB4CC3">
              <w:rPr>
                <w:rFonts w:ascii="Arial" w:hAnsi="Arial" w:cs="Arial"/>
                <w:bCs/>
                <w:sz w:val="20"/>
                <w:szCs w:val="20"/>
              </w:rPr>
              <w:t xml:space="preserve">=0.965) than the gravel analysis </w:t>
            </w:r>
            <w:r w:rsidR="009C73CE">
              <w:rPr>
                <w:rFonts w:ascii="Arial" w:hAnsi="Arial" w:cs="Arial"/>
                <w:bCs/>
                <w:sz w:val="20"/>
                <w:szCs w:val="20"/>
              </w:rPr>
              <w:t>in</w:t>
            </w:r>
            <w:r w:rsidRPr="00BB4CC3">
              <w:rPr>
                <w:rFonts w:ascii="Arial" w:hAnsi="Arial" w:cs="Arial"/>
                <w:bCs/>
                <w:sz w:val="20"/>
                <w:szCs w:val="20"/>
              </w:rPr>
              <w:t xml:space="preserve"> an effort to fit the shallower slope of the curve. Still, the shallow slope of the curve was difficult to match in ABUTMENT, as seen </w:t>
            </w:r>
            <w:r w:rsidR="00001E3C">
              <w:rPr>
                <w:rFonts w:ascii="Arial" w:hAnsi="Arial" w:cs="Arial"/>
                <w:bCs/>
                <w:sz w:val="20"/>
                <w:szCs w:val="20"/>
              </w:rPr>
              <w:t xml:space="preserve">in </w:t>
            </w:r>
            <w:r>
              <w:rPr>
                <w:rFonts w:ascii="Arial" w:hAnsi="Arial" w:cs="Arial"/>
                <w:bCs/>
                <w:sz w:val="20"/>
                <w:szCs w:val="20"/>
              </w:rPr>
              <w:t>Figure 2</w:t>
            </w:r>
            <w:r w:rsidRPr="00BB4CC3">
              <w:rPr>
                <w:rFonts w:ascii="Arial" w:hAnsi="Arial" w:cs="Arial"/>
                <w:bCs/>
                <w:sz w:val="20"/>
                <w:szCs w:val="20"/>
              </w:rPr>
              <w:t xml:space="preserve">. This analysis confirms the likelihood that the reduced passive resistance in the GRS tests was due to both lower wall friction and greater displacement required to develop full passive resistance. The </w:t>
            </w:r>
            <w:proofErr w:type="spellStart"/>
            <w:r w:rsidRPr="00BB4CC3">
              <w:rPr>
                <w:rFonts w:ascii="Arial" w:hAnsi="Arial" w:cs="Arial"/>
                <w:bCs/>
                <w:sz w:val="20"/>
                <w:szCs w:val="20"/>
              </w:rPr>
              <w:t>R</w:t>
            </w:r>
            <w:r w:rsidRPr="00BB4CC3">
              <w:rPr>
                <w:rFonts w:ascii="Arial" w:hAnsi="Arial" w:cs="Arial"/>
                <w:bCs/>
                <w:sz w:val="20"/>
                <w:szCs w:val="20"/>
                <w:vertAlign w:val="subscript"/>
              </w:rPr>
              <w:t>skew</w:t>
            </w:r>
            <w:proofErr w:type="spellEnd"/>
            <w:r w:rsidRPr="00BB4CC3">
              <w:rPr>
                <w:rFonts w:ascii="Arial" w:hAnsi="Arial" w:cs="Arial"/>
                <w:bCs/>
                <w:sz w:val="20"/>
                <w:szCs w:val="20"/>
              </w:rPr>
              <w:t xml:space="preserve"> value of 0.63 was used with the ABUTMENT data to reduce it for a 30° skew analysis, which also had nearly as good agreement as PYCAP.</w:t>
            </w:r>
          </w:p>
          <w:p w:rsidR="009C73CE" w:rsidRDefault="009C73CE" w:rsidP="00BB4CC3">
            <w:pPr>
              <w:spacing w:after="0" w:line="240" w:lineRule="auto"/>
              <w:rPr>
                <w:rFonts w:ascii="Arial" w:hAnsi="Arial" w:cs="Arial"/>
                <w:bCs/>
                <w:sz w:val="20"/>
                <w:szCs w:val="20"/>
              </w:rPr>
            </w:pPr>
            <w:bookmarkStart w:id="1" w:name="_GoBack"/>
            <w:bookmarkEnd w:id="1"/>
          </w:p>
          <w:p w:rsidR="00BB4CC3" w:rsidRPr="00BB4CC3" w:rsidRDefault="00BB4CC3" w:rsidP="00BB4CC3">
            <w:pPr>
              <w:spacing w:after="0" w:line="240" w:lineRule="auto"/>
              <w:rPr>
                <w:rFonts w:ascii="Arial" w:hAnsi="Arial" w:cs="Arial"/>
                <w:bCs/>
                <w:sz w:val="20"/>
                <w:szCs w:val="20"/>
              </w:rPr>
            </w:pPr>
          </w:p>
          <w:p w:rsidR="00BB4CC3" w:rsidRPr="00BB4CC3" w:rsidRDefault="00BB4CC3" w:rsidP="00BB4CC3">
            <w:pPr>
              <w:spacing w:after="0" w:line="240" w:lineRule="auto"/>
              <w:rPr>
                <w:rFonts w:ascii="Arial" w:hAnsi="Arial" w:cs="Arial"/>
                <w:bCs/>
                <w:sz w:val="20"/>
                <w:szCs w:val="20"/>
              </w:rPr>
            </w:pPr>
            <w:r w:rsidRPr="00BB4CC3">
              <w:rPr>
                <w:rFonts w:ascii="Arial" w:hAnsi="Arial" w:cs="Arial"/>
                <w:bCs/>
                <w:noProof/>
                <w:sz w:val="20"/>
                <w:szCs w:val="20"/>
              </w:rPr>
              <w:drawing>
                <wp:inline distT="0" distB="0" distL="0" distR="0" wp14:anchorId="41D35991" wp14:editId="641FE697">
                  <wp:extent cx="5935133" cy="3566160"/>
                  <wp:effectExtent l="0" t="0" r="8890" b="15240"/>
                  <wp:docPr id="1433" name="Chart 14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B4CC3" w:rsidRPr="00BB4CC3" w:rsidRDefault="00BB4CC3" w:rsidP="00BB4CC3">
            <w:pPr>
              <w:spacing w:after="0" w:line="240" w:lineRule="auto"/>
              <w:rPr>
                <w:rFonts w:ascii="Arial" w:hAnsi="Arial" w:cs="Arial"/>
                <w:bCs/>
                <w:sz w:val="20"/>
                <w:szCs w:val="20"/>
              </w:rPr>
            </w:pPr>
            <w:r>
              <w:rPr>
                <w:rFonts w:ascii="Arial" w:hAnsi="Arial" w:cs="Arial"/>
                <w:bCs/>
                <w:sz w:val="20"/>
                <w:szCs w:val="20"/>
              </w:rPr>
              <w:t>Figure 2</w:t>
            </w:r>
            <w:r w:rsidRPr="00BB4CC3">
              <w:rPr>
                <w:rFonts w:ascii="Arial" w:hAnsi="Arial" w:cs="Arial"/>
                <w:bCs/>
                <w:sz w:val="20"/>
                <w:szCs w:val="20"/>
              </w:rPr>
              <w:t>.</w:t>
            </w:r>
            <w:r>
              <w:rPr>
                <w:rFonts w:ascii="Arial" w:hAnsi="Arial" w:cs="Arial"/>
                <w:bCs/>
                <w:sz w:val="20"/>
                <w:szCs w:val="20"/>
              </w:rPr>
              <w:t xml:space="preserve"> </w:t>
            </w:r>
            <w:r w:rsidRPr="00BB4CC3">
              <w:rPr>
                <w:rFonts w:ascii="Arial" w:hAnsi="Arial" w:cs="Arial"/>
                <w:bCs/>
                <w:sz w:val="20"/>
                <w:szCs w:val="20"/>
              </w:rPr>
              <w:t xml:space="preserve"> ABUTMENT analysis for GRS tests using PYCAP inputs and ε</w:t>
            </w:r>
            <w:r w:rsidRPr="00BB4CC3">
              <w:rPr>
                <w:rFonts w:ascii="Arial" w:hAnsi="Arial" w:cs="Arial"/>
                <w:bCs/>
                <w:sz w:val="20"/>
                <w:szCs w:val="20"/>
                <w:vertAlign w:val="subscript"/>
              </w:rPr>
              <w:t>50</w:t>
            </w:r>
            <w:r w:rsidRPr="00BB4CC3">
              <w:rPr>
                <w:rFonts w:ascii="Arial" w:hAnsi="Arial" w:cs="Arial"/>
                <w:bCs/>
                <w:sz w:val="20"/>
                <w:szCs w:val="20"/>
              </w:rPr>
              <w:t>=0.010.</w:t>
            </w:r>
          </w:p>
          <w:p w:rsidR="00BB4CC3" w:rsidRPr="00BB4CC3" w:rsidRDefault="00BB4CC3" w:rsidP="00BB4CC3">
            <w:pPr>
              <w:spacing w:after="0" w:line="240" w:lineRule="auto"/>
              <w:rPr>
                <w:rFonts w:ascii="Arial" w:hAnsi="Arial" w:cs="Arial"/>
                <w:bCs/>
                <w:sz w:val="20"/>
                <w:szCs w:val="20"/>
              </w:rPr>
            </w:pPr>
          </w:p>
          <w:p w:rsidR="008311FD" w:rsidRPr="00E44000" w:rsidRDefault="008311FD" w:rsidP="008D66F5">
            <w:pPr>
              <w:spacing w:after="0" w:line="240" w:lineRule="auto"/>
              <w:rPr>
                <w:rFonts w:ascii="Arial" w:hAnsi="Arial" w:cs="Arial"/>
                <w:sz w:val="20"/>
                <w:szCs w:val="20"/>
                <w:highlight w:val="yellow"/>
              </w:rPr>
            </w:pPr>
          </w:p>
        </w:tc>
      </w:tr>
      <w:tr w:rsidR="000C209F" w:rsidRPr="00360664" w:rsidTr="006F3E4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72768C">
            <w:pPr>
              <w:keepNext/>
              <w:keepLines/>
              <w:spacing w:after="0" w:line="240" w:lineRule="auto"/>
              <w:rPr>
                <w:rFonts w:ascii="Arial" w:hAnsi="Arial" w:cs="Arial"/>
                <w:sz w:val="20"/>
                <w:szCs w:val="20"/>
              </w:rPr>
            </w:pPr>
          </w:p>
          <w:p w:rsidR="000C209F" w:rsidRPr="00360664" w:rsidRDefault="00483E07" w:rsidP="00360664">
            <w:pPr>
              <w:spacing w:after="0" w:line="240" w:lineRule="auto"/>
              <w:rPr>
                <w:rFonts w:ascii="Arial" w:hAnsi="Arial" w:cs="Arial"/>
                <w:sz w:val="20"/>
                <w:szCs w:val="20"/>
              </w:rPr>
            </w:pPr>
            <w:r>
              <w:rPr>
                <w:rFonts w:ascii="Arial" w:hAnsi="Arial" w:cs="Arial"/>
                <w:sz w:val="20"/>
                <w:szCs w:val="20"/>
              </w:rPr>
              <w:t xml:space="preserve">Some of the analysis in the newer tasks has taken longer than originally planned.  </w:t>
            </w:r>
            <w:r w:rsidR="008C7DA5">
              <w:rPr>
                <w:rFonts w:ascii="Arial" w:hAnsi="Arial" w:cs="Arial"/>
                <w:sz w:val="20"/>
                <w:szCs w:val="20"/>
              </w:rPr>
              <w:t xml:space="preserve">When the newer field testing tasks were added to the contract, the contract end date was not extended.  </w:t>
            </w:r>
            <w:r w:rsidR="006A360E">
              <w:rPr>
                <w:rFonts w:ascii="Arial" w:hAnsi="Arial" w:cs="Arial"/>
                <w:sz w:val="20"/>
                <w:szCs w:val="20"/>
              </w:rPr>
              <w:t>T</w:t>
            </w:r>
            <w:r w:rsidR="008C7DA5">
              <w:rPr>
                <w:rFonts w:ascii="Arial" w:hAnsi="Arial" w:cs="Arial"/>
                <w:sz w:val="20"/>
                <w:szCs w:val="20"/>
              </w:rPr>
              <w:t xml:space="preserve">he contract </w:t>
            </w:r>
            <w:r w:rsidR="00F51473">
              <w:rPr>
                <w:rFonts w:ascii="Arial" w:hAnsi="Arial" w:cs="Arial"/>
                <w:sz w:val="20"/>
                <w:szCs w:val="20"/>
              </w:rPr>
              <w:t>was</w:t>
            </w:r>
            <w:r w:rsidR="008C7DA5">
              <w:rPr>
                <w:rFonts w:ascii="Arial" w:hAnsi="Arial" w:cs="Arial"/>
                <w:sz w:val="20"/>
                <w:szCs w:val="20"/>
              </w:rPr>
              <w:t xml:space="preserve"> </w:t>
            </w:r>
            <w:r w:rsidR="006A360E">
              <w:rPr>
                <w:rFonts w:ascii="Arial" w:hAnsi="Arial" w:cs="Arial"/>
                <w:sz w:val="20"/>
                <w:szCs w:val="20"/>
              </w:rPr>
              <w:t xml:space="preserve">subsequently </w:t>
            </w:r>
            <w:r w:rsidR="008C7DA5">
              <w:rPr>
                <w:rFonts w:ascii="Arial" w:hAnsi="Arial" w:cs="Arial"/>
                <w:sz w:val="20"/>
                <w:szCs w:val="20"/>
              </w:rPr>
              <w:t xml:space="preserve">amended to reflect a revised schedule to complete all tasks and deliverables by </w:t>
            </w:r>
            <w:r w:rsidR="00F51473">
              <w:rPr>
                <w:rFonts w:ascii="Arial" w:hAnsi="Arial" w:cs="Arial"/>
                <w:sz w:val="20"/>
                <w:szCs w:val="20"/>
              </w:rPr>
              <w:t xml:space="preserve">the end of </w:t>
            </w:r>
            <w:r w:rsidR="008C7DA5">
              <w:rPr>
                <w:rFonts w:ascii="Arial" w:hAnsi="Arial" w:cs="Arial"/>
                <w:sz w:val="20"/>
                <w:szCs w:val="20"/>
              </w:rPr>
              <w:t>2015.</w:t>
            </w:r>
            <w:r w:rsidR="0013751D">
              <w:rPr>
                <w:rFonts w:ascii="Arial" w:hAnsi="Arial" w:cs="Arial"/>
                <w:sz w:val="20"/>
                <w:szCs w:val="20"/>
              </w:rPr>
              <w:t xml:space="preserve">  </w:t>
            </w:r>
            <w:r w:rsidR="00E33F69">
              <w:rPr>
                <w:rFonts w:ascii="Arial" w:hAnsi="Arial" w:cs="Arial"/>
                <w:sz w:val="20"/>
                <w:szCs w:val="20"/>
              </w:rPr>
              <w:t xml:space="preserve">Once the work plan for additional field </w:t>
            </w:r>
            <w:r w:rsidR="00E33F69" w:rsidRPr="00904B25">
              <w:rPr>
                <w:rFonts w:ascii="Arial" w:hAnsi="Arial" w:cs="Arial"/>
                <w:sz w:val="20"/>
                <w:szCs w:val="20"/>
              </w:rPr>
              <w:t xml:space="preserve">testing with </w:t>
            </w:r>
            <w:r w:rsidR="0013751D" w:rsidRPr="00904B25">
              <w:rPr>
                <w:rFonts w:ascii="Arial" w:hAnsi="Arial" w:cs="Arial"/>
                <w:sz w:val="20"/>
                <w:szCs w:val="20"/>
              </w:rPr>
              <w:t>CLSM</w:t>
            </w:r>
            <w:r w:rsidR="00E33F69" w:rsidRPr="00904B25">
              <w:rPr>
                <w:rFonts w:ascii="Arial" w:hAnsi="Arial" w:cs="Arial"/>
                <w:sz w:val="20"/>
                <w:szCs w:val="20"/>
              </w:rPr>
              <w:t xml:space="preserve"> backfill and</w:t>
            </w:r>
            <w:r w:rsidR="00E33F69">
              <w:rPr>
                <w:rFonts w:ascii="Arial" w:hAnsi="Arial" w:cs="Arial"/>
                <w:sz w:val="20"/>
                <w:szCs w:val="20"/>
              </w:rPr>
              <w:t xml:space="preserve"> push-and-rotate tests is prepared, this will be incorporated into a new contract amendment which will also extend the contract end date through at least 2016.</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36066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2013</w:t>
            </w:r>
            <w:r w:rsidR="008203C5">
              <w:rPr>
                <w:rFonts w:ascii="Arial" w:hAnsi="Arial" w:cs="Arial"/>
                <w:sz w:val="20"/>
                <w:szCs w:val="20"/>
              </w:rPr>
              <w:t xml:space="preserve"> and June 2014,</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 </w:t>
            </w:r>
            <w:r w:rsidR="008203C5">
              <w:rPr>
                <w:rFonts w:ascii="Arial" w:hAnsi="Arial" w:cs="Arial"/>
                <w:sz w:val="20"/>
                <w:szCs w:val="20"/>
              </w:rPr>
              <w:t xml:space="preserve">and Ohio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DB8" w:rsidRDefault="00813DB8" w:rsidP="00106C83">
      <w:pPr>
        <w:spacing w:after="0" w:line="240" w:lineRule="auto"/>
      </w:pPr>
      <w:r>
        <w:separator/>
      </w:r>
    </w:p>
  </w:endnote>
  <w:endnote w:type="continuationSeparator" w:id="0">
    <w:p w:rsidR="00813DB8" w:rsidRDefault="00813DB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25" w:rsidRDefault="007C6925" w:rsidP="00E371D1">
    <w:pPr>
      <w:pStyle w:val="Footer"/>
      <w:ind w:left="-810"/>
    </w:pPr>
    <w:r>
      <w:t>TPF Program Standard Quarterly Reporting Format – 7/2011</w:t>
    </w:r>
  </w:p>
  <w:p w:rsidR="007C6925" w:rsidRDefault="00F56DED">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DB8" w:rsidRDefault="00813DB8" w:rsidP="00106C83">
      <w:pPr>
        <w:spacing w:after="0" w:line="240" w:lineRule="auto"/>
      </w:pPr>
      <w:r>
        <w:separator/>
      </w:r>
    </w:p>
  </w:footnote>
  <w:footnote w:type="continuationSeparator" w:id="0">
    <w:p w:rsidR="00813DB8" w:rsidRDefault="00813DB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1316D"/>
    <w:rsid w:val="0001547D"/>
    <w:rsid w:val="00015A81"/>
    <w:rsid w:val="00015F7C"/>
    <w:rsid w:val="00016AE5"/>
    <w:rsid w:val="00017414"/>
    <w:rsid w:val="0002238F"/>
    <w:rsid w:val="00022515"/>
    <w:rsid w:val="00022666"/>
    <w:rsid w:val="00023E36"/>
    <w:rsid w:val="00024D45"/>
    <w:rsid w:val="000251EE"/>
    <w:rsid w:val="00030362"/>
    <w:rsid w:val="00030C41"/>
    <w:rsid w:val="000320A3"/>
    <w:rsid w:val="000337A8"/>
    <w:rsid w:val="00037FBC"/>
    <w:rsid w:val="000429C4"/>
    <w:rsid w:val="00045E95"/>
    <w:rsid w:val="00046B7B"/>
    <w:rsid w:val="00046DCA"/>
    <w:rsid w:val="000475AF"/>
    <w:rsid w:val="00051A77"/>
    <w:rsid w:val="00060908"/>
    <w:rsid w:val="00061268"/>
    <w:rsid w:val="000653BA"/>
    <w:rsid w:val="00073187"/>
    <w:rsid w:val="000736BB"/>
    <w:rsid w:val="00085BB4"/>
    <w:rsid w:val="000868D6"/>
    <w:rsid w:val="00087DC0"/>
    <w:rsid w:val="00090579"/>
    <w:rsid w:val="000A0D23"/>
    <w:rsid w:val="000A3874"/>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D03B0"/>
    <w:rsid w:val="000D2852"/>
    <w:rsid w:val="000D3324"/>
    <w:rsid w:val="000D5564"/>
    <w:rsid w:val="000E1032"/>
    <w:rsid w:val="000E112D"/>
    <w:rsid w:val="000E47ED"/>
    <w:rsid w:val="000E507B"/>
    <w:rsid w:val="000E6A63"/>
    <w:rsid w:val="000F2BDF"/>
    <w:rsid w:val="000F752B"/>
    <w:rsid w:val="00103479"/>
    <w:rsid w:val="00106C83"/>
    <w:rsid w:val="00107256"/>
    <w:rsid w:val="00110DAA"/>
    <w:rsid w:val="00114475"/>
    <w:rsid w:val="001147C8"/>
    <w:rsid w:val="00114EB1"/>
    <w:rsid w:val="00122DE0"/>
    <w:rsid w:val="00124111"/>
    <w:rsid w:val="00126579"/>
    <w:rsid w:val="00127F2F"/>
    <w:rsid w:val="001315D7"/>
    <w:rsid w:val="00131B7B"/>
    <w:rsid w:val="00132943"/>
    <w:rsid w:val="001345EA"/>
    <w:rsid w:val="00135591"/>
    <w:rsid w:val="0013751D"/>
    <w:rsid w:val="00137917"/>
    <w:rsid w:val="00137B82"/>
    <w:rsid w:val="001426BA"/>
    <w:rsid w:val="001448E0"/>
    <w:rsid w:val="001547D0"/>
    <w:rsid w:val="00161153"/>
    <w:rsid w:val="00165AF3"/>
    <w:rsid w:val="00165F1E"/>
    <w:rsid w:val="001660E1"/>
    <w:rsid w:val="00166282"/>
    <w:rsid w:val="0016783F"/>
    <w:rsid w:val="00167E2B"/>
    <w:rsid w:val="00171866"/>
    <w:rsid w:val="001722F4"/>
    <w:rsid w:val="001724AD"/>
    <w:rsid w:val="00173930"/>
    <w:rsid w:val="0017440A"/>
    <w:rsid w:val="00174483"/>
    <w:rsid w:val="001747D1"/>
    <w:rsid w:val="00181F5D"/>
    <w:rsid w:val="0018433C"/>
    <w:rsid w:val="0018504C"/>
    <w:rsid w:val="00187F3A"/>
    <w:rsid w:val="00190459"/>
    <w:rsid w:val="00191F1F"/>
    <w:rsid w:val="00196638"/>
    <w:rsid w:val="001A1AE4"/>
    <w:rsid w:val="001A1FEC"/>
    <w:rsid w:val="001A2E6F"/>
    <w:rsid w:val="001A7004"/>
    <w:rsid w:val="001B0079"/>
    <w:rsid w:val="001B267C"/>
    <w:rsid w:val="001B4D47"/>
    <w:rsid w:val="001C0A2C"/>
    <w:rsid w:val="001C119A"/>
    <w:rsid w:val="001C1E3F"/>
    <w:rsid w:val="001C2F1F"/>
    <w:rsid w:val="001C36D8"/>
    <w:rsid w:val="001C41A6"/>
    <w:rsid w:val="001C453E"/>
    <w:rsid w:val="001C6C19"/>
    <w:rsid w:val="001D252A"/>
    <w:rsid w:val="001D2FB4"/>
    <w:rsid w:val="001D41FE"/>
    <w:rsid w:val="001D7BDB"/>
    <w:rsid w:val="001D7CE2"/>
    <w:rsid w:val="001E3773"/>
    <w:rsid w:val="001F1101"/>
    <w:rsid w:val="001F1653"/>
    <w:rsid w:val="001F2C0D"/>
    <w:rsid w:val="001F62CD"/>
    <w:rsid w:val="00200D49"/>
    <w:rsid w:val="00203758"/>
    <w:rsid w:val="0020449D"/>
    <w:rsid w:val="0020693E"/>
    <w:rsid w:val="002118B8"/>
    <w:rsid w:val="00214283"/>
    <w:rsid w:val="0021446D"/>
    <w:rsid w:val="00216317"/>
    <w:rsid w:val="00217327"/>
    <w:rsid w:val="002179C7"/>
    <w:rsid w:val="0022251F"/>
    <w:rsid w:val="002275F9"/>
    <w:rsid w:val="002301AE"/>
    <w:rsid w:val="002312BB"/>
    <w:rsid w:val="0024007F"/>
    <w:rsid w:val="002414F7"/>
    <w:rsid w:val="00242BF1"/>
    <w:rsid w:val="002430E2"/>
    <w:rsid w:val="0024336E"/>
    <w:rsid w:val="002442E9"/>
    <w:rsid w:val="00244A9E"/>
    <w:rsid w:val="00245D5B"/>
    <w:rsid w:val="00246B51"/>
    <w:rsid w:val="0025072E"/>
    <w:rsid w:val="00251CA0"/>
    <w:rsid w:val="00252E5E"/>
    <w:rsid w:val="0026373F"/>
    <w:rsid w:val="002651F7"/>
    <w:rsid w:val="00273AF9"/>
    <w:rsid w:val="00281317"/>
    <w:rsid w:val="00281DF8"/>
    <w:rsid w:val="00284500"/>
    <w:rsid w:val="002853AE"/>
    <w:rsid w:val="00291F1C"/>
    <w:rsid w:val="00293FD8"/>
    <w:rsid w:val="00297682"/>
    <w:rsid w:val="002A53DE"/>
    <w:rsid w:val="002A79C8"/>
    <w:rsid w:val="002B3883"/>
    <w:rsid w:val="002B7515"/>
    <w:rsid w:val="002C2C0A"/>
    <w:rsid w:val="002C4182"/>
    <w:rsid w:val="002C6FA1"/>
    <w:rsid w:val="002D0A92"/>
    <w:rsid w:val="002D353E"/>
    <w:rsid w:val="002D7EAE"/>
    <w:rsid w:val="002E08AB"/>
    <w:rsid w:val="002E1C50"/>
    <w:rsid w:val="002E39B2"/>
    <w:rsid w:val="002F2876"/>
    <w:rsid w:val="002F297C"/>
    <w:rsid w:val="002F46CD"/>
    <w:rsid w:val="002F63DA"/>
    <w:rsid w:val="002F6883"/>
    <w:rsid w:val="00303371"/>
    <w:rsid w:val="00303BFD"/>
    <w:rsid w:val="003056AB"/>
    <w:rsid w:val="00305F9D"/>
    <w:rsid w:val="00307613"/>
    <w:rsid w:val="00315979"/>
    <w:rsid w:val="00315A9D"/>
    <w:rsid w:val="00315C13"/>
    <w:rsid w:val="00315FF1"/>
    <w:rsid w:val="00317414"/>
    <w:rsid w:val="003348F7"/>
    <w:rsid w:val="00334C86"/>
    <w:rsid w:val="00334F67"/>
    <w:rsid w:val="003372CD"/>
    <w:rsid w:val="003403BE"/>
    <w:rsid w:val="00342603"/>
    <w:rsid w:val="00343A4D"/>
    <w:rsid w:val="003527B6"/>
    <w:rsid w:val="00360229"/>
    <w:rsid w:val="0036042E"/>
    <w:rsid w:val="00360664"/>
    <w:rsid w:val="00362F45"/>
    <w:rsid w:val="00364E1C"/>
    <w:rsid w:val="00372367"/>
    <w:rsid w:val="003724D6"/>
    <w:rsid w:val="00375725"/>
    <w:rsid w:val="003778DA"/>
    <w:rsid w:val="00377A0F"/>
    <w:rsid w:val="00377C30"/>
    <w:rsid w:val="00382110"/>
    <w:rsid w:val="00382D1A"/>
    <w:rsid w:val="0038529F"/>
    <w:rsid w:val="0038583B"/>
    <w:rsid w:val="00385D96"/>
    <w:rsid w:val="00386FBE"/>
    <w:rsid w:val="0038705A"/>
    <w:rsid w:val="003902CA"/>
    <w:rsid w:val="00393727"/>
    <w:rsid w:val="00394290"/>
    <w:rsid w:val="00397176"/>
    <w:rsid w:val="003976F0"/>
    <w:rsid w:val="0039780C"/>
    <w:rsid w:val="003B5F9F"/>
    <w:rsid w:val="003B6E2E"/>
    <w:rsid w:val="003D152A"/>
    <w:rsid w:val="003D335D"/>
    <w:rsid w:val="003E0A8C"/>
    <w:rsid w:val="003E0EEF"/>
    <w:rsid w:val="003E263F"/>
    <w:rsid w:val="003E54CB"/>
    <w:rsid w:val="003E66E1"/>
    <w:rsid w:val="003F0E68"/>
    <w:rsid w:val="003F1F0F"/>
    <w:rsid w:val="003F5E66"/>
    <w:rsid w:val="00400A07"/>
    <w:rsid w:val="00405620"/>
    <w:rsid w:val="00406C1D"/>
    <w:rsid w:val="0041082D"/>
    <w:rsid w:val="00411015"/>
    <w:rsid w:val="004110FE"/>
    <w:rsid w:val="004144E6"/>
    <w:rsid w:val="00414F4D"/>
    <w:rsid w:val="004156B2"/>
    <w:rsid w:val="00420CDC"/>
    <w:rsid w:val="0042185E"/>
    <w:rsid w:val="004223BE"/>
    <w:rsid w:val="00422952"/>
    <w:rsid w:val="004260F0"/>
    <w:rsid w:val="0042620F"/>
    <w:rsid w:val="00427963"/>
    <w:rsid w:val="004311BD"/>
    <w:rsid w:val="00431830"/>
    <w:rsid w:val="00433963"/>
    <w:rsid w:val="0043487E"/>
    <w:rsid w:val="00437734"/>
    <w:rsid w:val="004407E7"/>
    <w:rsid w:val="00441A77"/>
    <w:rsid w:val="0045218A"/>
    <w:rsid w:val="00452909"/>
    <w:rsid w:val="004566BF"/>
    <w:rsid w:val="00460A15"/>
    <w:rsid w:val="004700F8"/>
    <w:rsid w:val="0048010A"/>
    <w:rsid w:val="004805D8"/>
    <w:rsid w:val="00481D31"/>
    <w:rsid w:val="00482FE6"/>
    <w:rsid w:val="00483E07"/>
    <w:rsid w:val="00484B48"/>
    <w:rsid w:val="0048565F"/>
    <w:rsid w:val="004863B7"/>
    <w:rsid w:val="0048775B"/>
    <w:rsid w:val="00487D43"/>
    <w:rsid w:val="004913CE"/>
    <w:rsid w:val="0049616D"/>
    <w:rsid w:val="004A17C6"/>
    <w:rsid w:val="004A2DA8"/>
    <w:rsid w:val="004A49F9"/>
    <w:rsid w:val="004A5367"/>
    <w:rsid w:val="004A6232"/>
    <w:rsid w:val="004B6993"/>
    <w:rsid w:val="004B7761"/>
    <w:rsid w:val="004C15E4"/>
    <w:rsid w:val="004C1FC3"/>
    <w:rsid w:val="004C23E7"/>
    <w:rsid w:val="004C4698"/>
    <w:rsid w:val="004D06CA"/>
    <w:rsid w:val="004D35DA"/>
    <w:rsid w:val="004D4DEB"/>
    <w:rsid w:val="004D5EEE"/>
    <w:rsid w:val="004D6151"/>
    <w:rsid w:val="004E1277"/>
    <w:rsid w:val="004E14DC"/>
    <w:rsid w:val="004E4A6C"/>
    <w:rsid w:val="004F119F"/>
    <w:rsid w:val="004F36A3"/>
    <w:rsid w:val="00500CEF"/>
    <w:rsid w:val="005030A0"/>
    <w:rsid w:val="00504823"/>
    <w:rsid w:val="00505A98"/>
    <w:rsid w:val="0050691C"/>
    <w:rsid w:val="005121CC"/>
    <w:rsid w:val="00512C79"/>
    <w:rsid w:val="005141A4"/>
    <w:rsid w:val="00522E20"/>
    <w:rsid w:val="005273BD"/>
    <w:rsid w:val="00527B58"/>
    <w:rsid w:val="00530C0A"/>
    <w:rsid w:val="005319EF"/>
    <w:rsid w:val="00531F21"/>
    <w:rsid w:val="005341AD"/>
    <w:rsid w:val="00534396"/>
    <w:rsid w:val="00535598"/>
    <w:rsid w:val="00535AE5"/>
    <w:rsid w:val="00536006"/>
    <w:rsid w:val="005430A7"/>
    <w:rsid w:val="0054355F"/>
    <w:rsid w:val="00547EE3"/>
    <w:rsid w:val="0055178A"/>
    <w:rsid w:val="005519BF"/>
    <w:rsid w:val="00551D8A"/>
    <w:rsid w:val="00553822"/>
    <w:rsid w:val="00563561"/>
    <w:rsid w:val="00565E97"/>
    <w:rsid w:val="00571CB0"/>
    <w:rsid w:val="0057277E"/>
    <w:rsid w:val="005735A2"/>
    <w:rsid w:val="00574EA0"/>
    <w:rsid w:val="00576C18"/>
    <w:rsid w:val="00580CB8"/>
    <w:rsid w:val="00581B36"/>
    <w:rsid w:val="00583641"/>
    <w:rsid w:val="00583E8E"/>
    <w:rsid w:val="00584B61"/>
    <w:rsid w:val="0058654C"/>
    <w:rsid w:val="00587266"/>
    <w:rsid w:val="005877DF"/>
    <w:rsid w:val="00587D33"/>
    <w:rsid w:val="00592398"/>
    <w:rsid w:val="00593EF7"/>
    <w:rsid w:val="005943CF"/>
    <w:rsid w:val="0059590C"/>
    <w:rsid w:val="00595C7E"/>
    <w:rsid w:val="00596F0D"/>
    <w:rsid w:val="005B2DAE"/>
    <w:rsid w:val="005B44E1"/>
    <w:rsid w:val="005B4511"/>
    <w:rsid w:val="005B614A"/>
    <w:rsid w:val="005C0696"/>
    <w:rsid w:val="005C185D"/>
    <w:rsid w:val="005C2C48"/>
    <w:rsid w:val="005C75FE"/>
    <w:rsid w:val="005D1AB2"/>
    <w:rsid w:val="005D3419"/>
    <w:rsid w:val="005D4394"/>
    <w:rsid w:val="005D476C"/>
    <w:rsid w:val="005E2580"/>
    <w:rsid w:val="005F5EC0"/>
    <w:rsid w:val="005F6495"/>
    <w:rsid w:val="0060013E"/>
    <w:rsid w:val="00601EBD"/>
    <w:rsid w:val="00602A2F"/>
    <w:rsid w:val="0060331B"/>
    <w:rsid w:val="00605647"/>
    <w:rsid w:val="00606612"/>
    <w:rsid w:val="00606E76"/>
    <w:rsid w:val="006134D1"/>
    <w:rsid w:val="0061577E"/>
    <w:rsid w:val="0062488A"/>
    <w:rsid w:val="006249E4"/>
    <w:rsid w:val="00624D30"/>
    <w:rsid w:val="00625A2B"/>
    <w:rsid w:val="00630B81"/>
    <w:rsid w:val="006355A1"/>
    <w:rsid w:val="00640822"/>
    <w:rsid w:val="00640FDE"/>
    <w:rsid w:val="00641D08"/>
    <w:rsid w:val="0064246A"/>
    <w:rsid w:val="0065050F"/>
    <w:rsid w:val="00655E8E"/>
    <w:rsid w:val="00656AC7"/>
    <w:rsid w:val="00660C0B"/>
    <w:rsid w:val="006614C0"/>
    <w:rsid w:val="006642D0"/>
    <w:rsid w:val="00666BB9"/>
    <w:rsid w:val="006679DD"/>
    <w:rsid w:val="00672AEF"/>
    <w:rsid w:val="00673FC2"/>
    <w:rsid w:val="00674C11"/>
    <w:rsid w:val="00674D20"/>
    <w:rsid w:val="00675B1F"/>
    <w:rsid w:val="00676882"/>
    <w:rsid w:val="00676D34"/>
    <w:rsid w:val="006802BA"/>
    <w:rsid w:val="0068163F"/>
    <w:rsid w:val="00681CE7"/>
    <w:rsid w:val="00682C5E"/>
    <w:rsid w:val="00692BCA"/>
    <w:rsid w:val="006952EB"/>
    <w:rsid w:val="006971D2"/>
    <w:rsid w:val="00697B20"/>
    <w:rsid w:val="006A2A2C"/>
    <w:rsid w:val="006A360E"/>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50DB"/>
    <w:rsid w:val="006D08E2"/>
    <w:rsid w:val="006D191C"/>
    <w:rsid w:val="006D2760"/>
    <w:rsid w:val="006D357E"/>
    <w:rsid w:val="006E0647"/>
    <w:rsid w:val="006E3372"/>
    <w:rsid w:val="006F152A"/>
    <w:rsid w:val="006F3E43"/>
    <w:rsid w:val="006F4DE7"/>
    <w:rsid w:val="006F58BE"/>
    <w:rsid w:val="006F7CC5"/>
    <w:rsid w:val="00703AB4"/>
    <w:rsid w:val="007133CD"/>
    <w:rsid w:val="00713E2D"/>
    <w:rsid w:val="0072354D"/>
    <w:rsid w:val="0072424F"/>
    <w:rsid w:val="00724945"/>
    <w:rsid w:val="0072768C"/>
    <w:rsid w:val="00730635"/>
    <w:rsid w:val="00730E85"/>
    <w:rsid w:val="00733208"/>
    <w:rsid w:val="00736410"/>
    <w:rsid w:val="007430D1"/>
    <w:rsid w:val="00743C01"/>
    <w:rsid w:val="00744C51"/>
    <w:rsid w:val="00745A83"/>
    <w:rsid w:val="00746895"/>
    <w:rsid w:val="00747E02"/>
    <w:rsid w:val="007559FE"/>
    <w:rsid w:val="007567ED"/>
    <w:rsid w:val="00763DDA"/>
    <w:rsid w:val="00766E6F"/>
    <w:rsid w:val="0077253C"/>
    <w:rsid w:val="00774833"/>
    <w:rsid w:val="00775E66"/>
    <w:rsid w:val="00776729"/>
    <w:rsid w:val="007828F8"/>
    <w:rsid w:val="00785C2A"/>
    <w:rsid w:val="007869DE"/>
    <w:rsid w:val="00787B64"/>
    <w:rsid w:val="007903BD"/>
    <w:rsid w:val="00790C4A"/>
    <w:rsid w:val="00790F13"/>
    <w:rsid w:val="00792500"/>
    <w:rsid w:val="00794ED1"/>
    <w:rsid w:val="00795CC0"/>
    <w:rsid w:val="00796965"/>
    <w:rsid w:val="007A4135"/>
    <w:rsid w:val="007A705B"/>
    <w:rsid w:val="007A7559"/>
    <w:rsid w:val="007A79DB"/>
    <w:rsid w:val="007A7B03"/>
    <w:rsid w:val="007B1F97"/>
    <w:rsid w:val="007B1FD0"/>
    <w:rsid w:val="007B2343"/>
    <w:rsid w:val="007B29B8"/>
    <w:rsid w:val="007B6AEF"/>
    <w:rsid w:val="007B774C"/>
    <w:rsid w:val="007C1029"/>
    <w:rsid w:val="007C314B"/>
    <w:rsid w:val="007C480F"/>
    <w:rsid w:val="007C5520"/>
    <w:rsid w:val="007C6078"/>
    <w:rsid w:val="007C6925"/>
    <w:rsid w:val="007C6CEF"/>
    <w:rsid w:val="007C7425"/>
    <w:rsid w:val="007D05C3"/>
    <w:rsid w:val="007D288F"/>
    <w:rsid w:val="007D2C72"/>
    <w:rsid w:val="007D37C0"/>
    <w:rsid w:val="007D3CE4"/>
    <w:rsid w:val="007D7D86"/>
    <w:rsid w:val="007D7E9B"/>
    <w:rsid w:val="007E04C8"/>
    <w:rsid w:val="007E1260"/>
    <w:rsid w:val="007E17EF"/>
    <w:rsid w:val="007E2511"/>
    <w:rsid w:val="007E594D"/>
    <w:rsid w:val="007E5BD2"/>
    <w:rsid w:val="007F37C3"/>
    <w:rsid w:val="007F6C59"/>
    <w:rsid w:val="0080103C"/>
    <w:rsid w:val="0080555A"/>
    <w:rsid w:val="00806D61"/>
    <w:rsid w:val="008136CE"/>
    <w:rsid w:val="00813DB8"/>
    <w:rsid w:val="008170FC"/>
    <w:rsid w:val="008202B0"/>
    <w:rsid w:val="008203C5"/>
    <w:rsid w:val="00821CB7"/>
    <w:rsid w:val="008236C9"/>
    <w:rsid w:val="00823DB2"/>
    <w:rsid w:val="00826FE4"/>
    <w:rsid w:val="008311FD"/>
    <w:rsid w:val="00834D0A"/>
    <w:rsid w:val="00835184"/>
    <w:rsid w:val="00835920"/>
    <w:rsid w:val="00847103"/>
    <w:rsid w:val="00851B2E"/>
    <w:rsid w:val="00852132"/>
    <w:rsid w:val="00852F13"/>
    <w:rsid w:val="00853D45"/>
    <w:rsid w:val="008545AB"/>
    <w:rsid w:val="008564EE"/>
    <w:rsid w:val="00857904"/>
    <w:rsid w:val="008634E6"/>
    <w:rsid w:val="0086591C"/>
    <w:rsid w:val="00866277"/>
    <w:rsid w:val="0086683E"/>
    <w:rsid w:val="00866A9A"/>
    <w:rsid w:val="00867529"/>
    <w:rsid w:val="00867B87"/>
    <w:rsid w:val="008724BF"/>
    <w:rsid w:val="00872F18"/>
    <w:rsid w:val="00874EF7"/>
    <w:rsid w:val="00875CDB"/>
    <w:rsid w:val="00883F30"/>
    <w:rsid w:val="008867E9"/>
    <w:rsid w:val="00887DA4"/>
    <w:rsid w:val="008904D3"/>
    <w:rsid w:val="008934D0"/>
    <w:rsid w:val="00893B22"/>
    <w:rsid w:val="008940BA"/>
    <w:rsid w:val="00894481"/>
    <w:rsid w:val="00896997"/>
    <w:rsid w:val="008975EE"/>
    <w:rsid w:val="008A03A0"/>
    <w:rsid w:val="008A1D14"/>
    <w:rsid w:val="008A31CA"/>
    <w:rsid w:val="008A657D"/>
    <w:rsid w:val="008A6AC0"/>
    <w:rsid w:val="008B0CE8"/>
    <w:rsid w:val="008B4FDA"/>
    <w:rsid w:val="008B5E5F"/>
    <w:rsid w:val="008C0D9C"/>
    <w:rsid w:val="008C0DA6"/>
    <w:rsid w:val="008C3D1A"/>
    <w:rsid w:val="008C4370"/>
    <w:rsid w:val="008C448C"/>
    <w:rsid w:val="008C7CC3"/>
    <w:rsid w:val="008C7DA5"/>
    <w:rsid w:val="008D66F5"/>
    <w:rsid w:val="008E3505"/>
    <w:rsid w:val="008E5998"/>
    <w:rsid w:val="008E7426"/>
    <w:rsid w:val="008E75C5"/>
    <w:rsid w:val="008E7663"/>
    <w:rsid w:val="008E7B21"/>
    <w:rsid w:val="008E7C40"/>
    <w:rsid w:val="008F050A"/>
    <w:rsid w:val="008F5A12"/>
    <w:rsid w:val="008F5A84"/>
    <w:rsid w:val="008F74D8"/>
    <w:rsid w:val="009014A5"/>
    <w:rsid w:val="00901969"/>
    <w:rsid w:val="00904B25"/>
    <w:rsid w:val="00907893"/>
    <w:rsid w:val="009171E4"/>
    <w:rsid w:val="00917E9D"/>
    <w:rsid w:val="00921B19"/>
    <w:rsid w:val="009225DF"/>
    <w:rsid w:val="00923709"/>
    <w:rsid w:val="00926AB3"/>
    <w:rsid w:val="00931ED8"/>
    <w:rsid w:val="009320BC"/>
    <w:rsid w:val="009334CB"/>
    <w:rsid w:val="00935CFF"/>
    <w:rsid w:val="009368D1"/>
    <w:rsid w:val="00937830"/>
    <w:rsid w:val="00937FFC"/>
    <w:rsid w:val="0094433D"/>
    <w:rsid w:val="00944E06"/>
    <w:rsid w:val="009454DC"/>
    <w:rsid w:val="00946E50"/>
    <w:rsid w:val="00952A60"/>
    <w:rsid w:val="00954648"/>
    <w:rsid w:val="00954C97"/>
    <w:rsid w:val="00957A2D"/>
    <w:rsid w:val="0096002B"/>
    <w:rsid w:val="009660E6"/>
    <w:rsid w:val="00971043"/>
    <w:rsid w:val="00972DCF"/>
    <w:rsid w:val="00974227"/>
    <w:rsid w:val="00975E97"/>
    <w:rsid w:val="0097623A"/>
    <w:rsid w:val="00976B8A"/>
    <w:rsid w:val="0097728A"/>
    <w:rsid w:val="00977592"/>
    <w:rsid w:val="009828F4"/>
    <w:rsid w:val="00982B5C"/>
    <w:rsid w:val="009840FF"/>
    <w:rsid w:val="00993E66"/>
    <w:rsid w:val="009946EE"/>
    <w:rsid w:val="00995C1F"/>
    <w:rsid w:val="009A18FF"/>
    <w:rsid w:val="009A638C"/>
    <w:rsid w:val="009B0753"/>
    <w:rsid w:val="009B2A2C"/>
    <w:rsid w:val="009B2DD0"/>
    <w:rsid w:val="009B3157"/>
    <w:rsid w:val="009B699B"/>
    <w:rsid w:val="009B740C"/>
    <w:rsid w:val="009B7B23"/>
    <w:rsid w:val="009C3C41"/>
    <w:rsid w:val="009C427D"/>
    <w:rsid w:val="009C73CE"/>
    <w:rsid w:val="009D0BA2"/>
    <w:rsid w:val="009E1E5F"/>
    <w:rsid w:val="009E4397"/>
    <w:rsid w:val="009E4633"/>
    <w:rsid w:val="009E55C1"/>
    <w:rsid w:val="009E60F8"/>
    <w:rsid w:val="009E6BAF"/>
    <w:rsid w:val="00A017A3"/>
    <w:rsid w:val="00A05976"/>
    <w:rsid w:val="00A13EC3"/>
    <w:rsid w:val="00A31559"/>
    <w:rsid w:val="00A316B1"/>
    <w:rsid w:val="00A340AE"/>
    <w:rsid w:val="00A35F14"/>
    <w:rsid w:val="00A36A0C"/>
    <w:rsid w:val="00A4249D"/>
    <w:rsid w:val="00A43875"/>
    <w:rsid w:val="00A43A72"/>
    <w:rsid w:val="00A44012"/>
    <w:rsid w:val="00A440CF"/>
    <w:rsid w:val="00A4604A"/>
    <w:rsid w:val="00A473E8"/>
    <w:rsid w:val="00A47947"/>
    <w:rsid w:val="00A508DD"/>
    <w:rsid w:val="00A511D4"/>
    <w:rsid w:val="00A544C0"/>
    <w:rsid w:val="00A5795F"/>
    <w:rsid w:val="00A63677"/>
    <w:rsid w:val="00A66E40"/>
    <w:rsid w:val="00A66FF3"/>
    <w:rsid w:val="00A7436A"/>
    <w:rsid w:val="00A747E2"/>
    <w:rsid w:val="00A77356"/>
    <w:rsid w:val="00A802ED"/>
    <w:rsid w:val="00A81084"/>
    <w:rsid w:val="00A82D6C"/>
    <w:rsid w:val="00A83E48"/>
    <w:rsid w:val="00A909F3"/>
    <w:rsid w:val="00A90B53"/>
    <w:rsid w:val="00A90BB1"/>
    <w:rsid w:val="00A9127A"/>
    <w:rsid w:val="00A91998"/>
    <w:rsid w:val="00A92162"/>
    <w:rsid w:val="00A94F33"/>
    <w:rsid w:val="00A96094"/>
    <w:rsid w:val="00AA0BDC"/>
    <w:rsid w:val="00AA28BA"/>
    <w:rsid w:val="00AA4852"/>
    <w:rsid w:val="00AA5354"/>
    <w:rsid w:val="00AB0016"/>
    <w:rsid w:val="00AB01FC"/>
    <w:rsid w:val="00AB34B7"/>
    <w:rsid w:val="00AB4DE6"/>
    <w:rsid w:val="00AB5160"/>
    <w:rsid w:val="00AC0EBE"/>
    <w:rsid w:val="00AC15A2"/>
    <w:rsid w:val="00AC1D89"/>
    <w:rsid w:val="00AC4BDD"/>
    <w:rsid w:val="00AC659A"/>
    <w:rsid w:val="00AD1EF8"/>
    <w:rsid w:val="00AD3935"/>
    <w:rsid w:val="00AD3952"/>
    <w:rsid w:val="00AD3DBA"/>
    <w:rsid w:val="00AD4BB4"/>
    <w:rsid w:val="00AE46B0"/>
    <w:rsid w:val="00AF4274"/>
    <w:rsid w:val="00AF6B93"/>
    <w:rsid w:val="00B00FEE"/>
    <w:rsid w:val="00B01C66"/>
    <w:rsid w:val="00B04211"/>
    <w:rsid w:val="00B05A7A"/>
    <w:rsid w:val="00B15104"/>
    <w:rsid w:val="00B15416"/>
    <w:rsid w:val="00B21516"/>
    <w:rsid w:val="00B2185C"/>
    <w:rsid w:val="00B21CFD"/>
    <w:rsid w:val="00B24D2D"/>
    <w:rsid w:val="00B25DF4"/>
    <w:rsid w:val="00B30F4C"/>
    <w:rsid w:val="00B31567"/>
    <w:rsid w:val="00B322A6"/>
    <w:rsid w:val="00B329C8"/>
    <w:rsid w:val="00B34AA2"/>
    <w:rsid w:val="00B37634"/>
    <w:rsid w:val="00B40E5D"/>
    <w:rsid w:val="00B412BA"/>
    <w:rsid w:val="00B44C2D"/>
    <w:rsid w:val="00B44DCE"/>
    <w:rsid w:val="00B47259"/>
    <w:rsid w:val="00B5200A"/>
    <w:rsid w:val="00B52061"/>
    <w:rsid w:val="00B53C27"/>
    <w:rsid w:val="00B553B2"/>
    <w:rsid w:val="00B56ED8"/>
    <w:rsid w:val="00B61E5C"/>
    <w:rsid w:val="00B61EC4"/>
    <w:rsid w:val="00B6325D"/>
    <w:rsid w:val="00B64F08"/>
    <w:rsid w:val="00B65E0D"/>
    <w:rsid w:val="00B66A21"/>
    <w:rsid w:val="00B732B1"/>
    <w:rsid w:val="00B73DC0"/>
    <w:rsid w:val="00B859ED"/>
    <w:rsid w:val="00B8710A"/>
    <w:rsid w:val="00B90E1D"/>
    <w:rsid w:val="00B94EDA"/>
    <w:rsid w:val="00B95320"/>
    <w:rsid w:val="00B955C2"/>
    <w:rsid w:val="00B95A0D"/>
    <w:rsid w:val="00BA0F27"/>
    <w:rsid w:val="00BA3C12"/>
    <w:rsid w:val="00BA4A0F"/>
    <w:rsid w:val="00BA5F9D"/>
    <w:rsid w:val="00BA6748"/>
    <w:rsid w:val="00BB0411"/>
    <w:rsid w:val="00BB4CC3"/>
    <w:rsid w:val="00BB50A2"/>
    <w:rsid w:val="00BC1654"/>
    <w:rsid w:val="00BC62D4"/>
    <w:rsid w:val="00BC7C1D"/>
    <w:rsid w:val="00BD1068"/>
    <w:rsid w:val="00BD178D"/>
    <w:rsid w:val="00BD17EC"/>
    <w:rsid w:val="00BD26AD"/>
    <w:rsid w:val="00BD2A88"/>
    <w:rsid w:val="00BD5EC7"/>
    <w:rsid w:val="00BD6FE0"/>
    <w:rsid w:val="00BE05A5"/>
    <w:rsid w:val="00BE2AC0"/>
    <w:rsid w:val="00BF5FD7"/>
    <w:rsid w:val="00BF6E2C"/>
    <w:rsid w:val="00BF6F98"/>
    <w:rsid w:val="00C028D7"/>
    <w:rsid w:val="00C02D95"/>
    <w:rsid w:val="00C02ECD"/>
    <w:rsid w:val="00C121EB"/>
    <w:rsid w:val="00C13753"/>
    <w:rsid w:val="00C151B0"/>
    <w:rsid w:val="00C157EA"/>
    <w:rsid w:val="00C15DB6"/>
    <w:rsid w:val="00C16017"/>
    <w:rsid w:val="00C165A8"/>
    <w:rsid w:val="00C21017"/>
    <w:rsid w:val="00C24C30"/>
    <w:rsid w:val="00C278D5"/>
    <w:rsid w:val="00C27F65"/>
    <w:rsid w:val="00C30C5F"/>
    <w:rsid w:val="00C32C06"/>
    <w:rsid w:val="00C34D09"/>
    <w:rsid w:val="00C36682"/>
    <w:rsid w:val="00C37B0F"/>
    <w:rsid w:val="00C42324"/>
    <w:rsid w:val="00C431AE"/>
    <w:rsid w:val="00C46374"/>
    <w:rsid w:val="00C478EA"/>
    <w:rsid w:val="00C47F3C"/>
    <w:rsid w:val="00C516D4"/>
    <w:rsid w:val="00C564C9"/>
    <w:rsid w:val="00C6510D"/>
    <w:rsid w:val="00C71194"/>
    <w:rsid w:val="00C72115"/>
    <w:rsid w:val="00C72811"/>
    <w:rsid w:val="00C76603"/>
    <w:rsid w:val="00C818EE"/>
    <w:rsid w:val="00C81D00"/>
    <w:rsid w:val="00C82C8C"/>
    <w:rsid w:val="00C82ED6"/>
    <w:rsid w:val="00C83845"/>
    <w:rsid w:val="00C87783"/>
    <w:rsid w:val="00C912D3"/>
    <w:rsid w:val="00C9305C"/>
    <w:rsid w:val="00C93462"/>
    <w:rsid w:val="00CA17E4"/>
    <w:rsid w:val="00CB05BD"/>
    <w:rsid w:val="00CB116B"/>
    <w:rsid w:val="00CB5A0B"/>
    <w:rsid w:val="00CB67EA"/>
    <w:rsid w:val="00CC52E9"/>
    <w:rsid w:val="00CC696B"/>
    <w:rsid w:val="00CE0CBF"/>
    <w:rsid w:val="00CE177F"/>
    <w:rsid w:val="00CE27F9"/>
    <w:rsid w:val="00CE2EA8"/>
    <w:rsid w:val="00CE3B3D"/>
    <w:rsid w:val="00CE6E70"/>
    <w:rsid w:val="00CF17C4"/>
    <w:rsid w:val="00CF1F0B"/>
    <w:rsid w:val="00CF46D1"/>
    <w:rsid w:val="00CF5048"/>
    <w:rsid w:val="00CF6701"/>
    <w:rsid w:val="00CF714F"/>
    <w:rsid w:val="00D00B48"/>
    <w:rsid w:val="00D0139B"/>
    <w:rsid w:val="00D02A52"/>
    <w:rsid w:val="00D056BA"/>
    <w:rsid w:val="00D06294"/>
    <w:rsid w:val="00D0706A"/>
    <w:rsid w:val="00D132A8"/>
    <w:rsid w:val="00D13EA6"/>
    <w:rsid w:val="00D2016A"/>
    <w:rsid w:val="00D21307"/>
    <w:rsid w:val="00D2368C"/>
    <w:rsid w:val="00D25918"/>
    <w:rsid w:val="00D2670A"/>
    <w:rsid w:val="00D31EA3"/>
    <w:rsid w:val="00D43BD0"/>
    <w:rsid w:val="00D44AD7"/>
    <w:rsid w:val="00D465F3"/>
    <w:rsid w:val="00D613A8"/>
    <w:rsid w:val="00D618DB"/>
    <w:rsid w:val="00D66136"/>
    <w:rsid w:val="00D70182"/>
    <w:rsid w:val="00D70E9D"/>
    <w:rsid w:val="00D70FF0"/>
    <w:rsid w:val="00D7231A"/>
    <w:rsid w:val="00D73388"/>
    <w:rsid w:val="00D748D4"/>
    <w:rsid w:val="00D74CFF"/>
    <w:rsid w:val="00D75A49"/>
    <w:rsid w:val="00D778AC"/>
    <w:rsid w:val="00D77EDD"/>
    <w:rsid w:val="00D854DF"/>
    <w:rsid w:val="00D86931"/>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C08E0"/>
    <w:rsid w:val="00DC11C6"/>
    <w:rsid w:val="00DC484B"/>
    <w:rsid w:val="00DC6E86"/>
    <w:rsid w:val="00DC7143"/>
    <w:rsid w:val="00DC73C6"/>
    <w:rsid w:val="00DD27D3"/>
    <w:rsid w:val="00DD3131"/>
    <w:rsid w:val="00DD68BB"/>
    <w:rsid w:val="00DD68DB"/>
    <w:rsid w:val="00DD7190"/>
    <w:rsid w:val="00DD73F6"/>
    <w:rsid w:val="00DD7989"/>
    <w:rsid w:val="00DE164C"/>
    <w:rsid w:val="00DE2E58"/>
    <w:rsid w:val="00DE50BB"/>
    <w:rsid w:val="00DF0A64"/>
    <w:rsid w:val="00DF1BBC"/>
    <w:rsid w:val="00DF29E1"/>
    <w:rsid w:val="00DF2D69"/>
    <w:rsid w:val="00DF417A"/>
    <w:rsid w:val="00DF4CB8"/>
    <w:rsid w:val="00E04F28"/>
    <w:rsid w:val="00E0742A"/>
    <w:rsid w:val="00E10DDE"/>
    <w:rsid w:val="00E11DF6"/>
    <w:rsid w:val="00E14D7B"/>
    <w:rsid w:val="00E17737"/>
    <w:rsid w:val="00E2080A"/>
    <w:rsid w:val="00E24B19"/>
    <w:rsid w:val="00E2742E"/>
    <w:rsid w:val="00E3095B"/>
    <w:rsid w:val="00E311CA"/>
    <w:rsid w:val="00E33F69"/>
    <w:rsid w:val="00E35E0F"/>
    <w:rsid w:val="00E36F6B"/>
    <w:rsid w:val="00E371D1"/>
    <w:rsid w:val="00E44000"/>
    <w:rsid w:val="00E474E4"/>
    <w:rsid w:val="00E4772C"/>
    <w:rsid w:val="00E53738"/>
    <w:rsid w:val="00E57A9E"/>
    <w:rsid w:val="00E57FCE"/>
    <w:rsid w:val="00E60CF9"/>
    <w:rsid w:val="00E61D26"/>
    <w:rsid w:val="00E6586F"/>
    <w:rsid w:val="00E6793C"/>
    <w:rsid w:val="00E82370"/>
    <w:rsid w:val="00E90AA3"/>
    <w:rsid w:val="00E91568"/>
    <w:rsid w:val="00E92CC3"/>
    <w:rsid w:val="00E93241"/>
    <w:rsid w:val="00E940DC"/>
    <w:rsid w:val="00E96720"/>
    <w:rsid w:val="00EA066E"/>
    <w:rsid w:val="00EA1521"/>
    <w:rsid w:val="00EA1E67"/>
    <w:rsid w:val="00EA6697"/>
    <w:rsid w:val="00EA685B"/>
    <w:rsid w:val="00EA736A"/>
    <w:rsid w:val="00EB1FF4"/>
    <w:rsid w:val="00EB2814"/>
    <w:rsid w:val="00EB2939"/>
    <w:rsid w:val="00EB3919"/>
    <w:rsid w:val="00EB3A0C"/>
    <w:rsid w:val="00EC0C9D"/>
    <w:rsid w:val="00EC127B"/>
    <w:rsid w:val="00EC1B50"/>
    <w:rsid w:val="00EC2F36"/>
    <w:rsid w:val="00EC46C1"/>
    <w:rsid w:val="00EC506A"/>
    <w:rsid w:val="00ED56C8"/>
    <w:rsid w:val="00ED5F67"/>
    <w:rsid w:val="00ED70D8"/>
    <w:rsid w:val="00EE52E5"/>
    <w:rsid w:val="00EE72C8"/>
    <w:rsid w:val="00EF0113"/>
    <w:rsid w:val="00EF08AE"/>
    <w:rsid w:val="00EF2647"/>
    <w:rsid w:val="00EF369A"/>
    <w:rsid w:val="00EF5790"/>
    <w:rsid w:val="00EF628E"/>
    <w:rsid w:val="00F00102"/>
    <w:rsid w:val="00F006CC"/>
    <w:rsid w:val="00F02EE5"/>
    <w:rsid w:val="00F03485"/>
    <w:rsid w:val="00F040DB"/>
    <w:rsid w:val="00F05169"/>
    <w:rsid w:val="00F0602A"/>
    <w:rsid w:val="00F060A8"/>
    <w:rsid w:val="00F15D22"/>
    <w:rsid w:val="00F15F19"/>
    <w:rsid w:val="00F17B3D"/>
    <w:rsid w:val="00F22A99"/>
    <w:rsid w:val="00F273DC"/>
    <w:rsid w:val="00F31388"/>
    <w:rsid w:val="00F35DA2"/>
    <w:rsid w:val="00F40A56"/>
    <w:rsid w:val="00F43DAC"/>
    <w:rsid w:val="00F46A2A"/>
    <w:rsid w:val="00F51473"/>
    <w:rsid w:val="00F51CE5"/>
    <w:rsid w:val="00F52CF5"/>
    <w:rsid w:val="00F53596"/>
    <w:rsid w:val="00F53D1A"/>
    <w:rsid w:val="00F56754"/>
    <w:rsid w:val="00F56DED"/>
    <w:rsid w:val="00F63A32"/>
    <w:rsid w:val="00F66839"/>
    <w:rsid w:val="00F67B08"/>
    <w:rsid w:val="00F7183A"/>
    <w:rsid w:val="00F71A29"/>
    <w:rsid w:val="00F73C6F"/>
    <w:rsid w:val="00F80473"/>
    <w:rsid w:val="00F96D38"/>
    <w:rsid w:val="00F977B4"/>
    <w:rsid w:val="00FA47AB"/>
    <w:rsid w:val="00FA4FC5"/>
    <w:rsid w:val="00FA60A5"/>
    <w:rsid w:val="00FB3FC0"/>
    <w:rsid w:val="00FC4EA9"/>
    <w:rsid w:val="00FC5851"/>
    <w:rsid w:val="00FC7BF7"/>
    <w:rsid w:val="00FD3F3F"/>
    <w:rsid w:val="00FD42AC"/>
    <w:rsid w:val="00FD72BB"/>
    <w:rsid w:val="00FD7A44"/>
    <w:rsid w:val="00FE1AD2"/>
    <w:rsid w:val="00FE1AE3"/>
    <w:rsid w:val="00FE1C35"/>
    <w:rsid w:val="00FE4167"/>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2014%20Thesis\Abutment\ABUTMEN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2014%20Thesis\Abutment\ABUT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47116225856386E-2"/>
          <c:y val="0.12113786257487046"/>
          <c:w val="0.80749512080220742"/>
          <c:h val="0.75914681337909684"/>
        </c:manualLayout>
      </c:layout>
      <c:scatterChart>
        <c:scatterStyle val="smoothMarker"/>
        <c:varyColors val="0"/>
        <c:ser>
          <c:idx val="1"/>
          <c:order val="1"/>
          <c:spPr>
            <a:ln w="12700">
              <a:solidFill>
                <a:schemeClr val="tx1"/>
              </a:solidFill>
            </a:ln>
          </c:spPr>
          <c:marker>
            <c:symbol val="none"/>
          </c:marker>
          <c:xVal>
            <c:numRef>
              <c:f>[1]Summary!$P$6:$P$7</c:f>
              <c:numCache>
                <c:formatCode>General</c:formatCode>
                <c:ptCount val="2"/>
                <c:pt idx="0">
                  <c:v>0.42000000000000004</c:v>
                </c:pt>
                <c:pt idx="1">
                  <c:v>0.42000000000000004</c:v>
                </c:pt>
              </c:numCache>
            </c:numRef>
          </c:xVal>
          <c:yVal>
            <c:numRef>
              <c:f>[1]Summary!$O$6:$O$7</c:f>
              <c:numCache>
                <c:formatCode>General</c:formatCode>
                <c:ptCount val="2"/>
                <c:pt idx="0">
                  <c:v>620</c:v>
                </c:pt>
                <c:pt idx="1">
                  <c:v>700</c:v>
                </c:pt>
              </c:numCache>
            </c:numRef>
          </c:yVal>
          <c:smooth val="1"/>
        </c:ser>
        <c:ser>
          <c:idx val="3"/>
          <c:order val="2"/>
          <c:spPr>
            <a:ln w="12700">
              <a:solidFill>
                <a:schemeClr val="tx1"/>
              </a:solidFill>
            </a:ln>
          </c:spPr>
          <c:marker>
            <c:symbol val="none"/>
          </c:marker>
          <c:xVal>
            <c:numRef>
              <c:f>[1]Summary!$Q$6:$Q$7</c:f>
              <c:numCache>
                <c:formatCode>General</c:formatCode>
                <c:ptCount val="2"/>
                <c:pt idx="0">
                  <c:v>0.84000000000000008</c:v>
                </c:pt>
                <c:pt idx="1">
                  <c:v>0.84000000000000008</c:v>
                </c:pt>
              </c:numCache>
            </c:numRef>
          </c:xVal>
          <c:yVal>
            <c:numRef>
              <c:f>[1]Summary!$O$6:$O$7</c:f>
              <c:numCache>
                <c:formatCode>General</c:formatCode>
                <c:ptCount val="2"/>
                <c:pt idx="0">
                  <c:v>620</c:v>
                </c:pt>
                <c:pt idx="1">
                  <c:v>700</c:v>
                </c:pt>
              </c:numCache>
            </c:numRef>
          </c:yVal>
          <c:smooth val="1"/>
        </c:ser>
        <c:ser>
          <c:idx val="4"/>
          <c:order val="3"/>
          <c:spPr>
            <a:ln w="12700">
              <a:solidFill>
                <a:schemeClr val="tx1"/>
              </a:solidFill>
            </a:ln>
          </c:spPr>
          <c:marker>
            <c:symbol val="none"/>
          </c:marker>
          <c:xVal>
            <c:numRef>
              <c:f>[1]Summary!$R$6:$R$7</c:f>
              <c:numCache>
                <c:formatCode>General</c:formatCode>
                <c:ptCount val="2"/>
                <c:pt idx="0">
                  <c:v>1.26</c:v>
                </c:pt>
                <c:pt idx="1">
                  <c:v>1.26</c:v>
                </c:pt>
              </c:numCache>
            </c:numRef>
          </c:xVal>
          <c:yVal>
            <c:numRef>
              <c:f>[1]Summary!$O$6:$O$7</c:f>
              <c:numCache>
                <c:formatCode>General</c:formatCode>
                <c:ptCount val="2"/>
                <c:pt idx="0">
                  <c:v>620</c:v>
                </c:pt>
                <c:pt idx="1">
                  <c:v>700</c:v>
                </c:pt>
              </c:numCache>
            </c:numRef>
          </c:yVal>
          <c:smooth val="1"/>
        </c:ser>
        <c:ser>
          <c:idx val="5"/>
          <c:order val="4"/>
          <c:spPr>
            <a:ln w="12700">
              <a:solidFill>
                <a:schemeClr val="tx1"/>
              </a:solidFill>
            </a:ln>
          </c:spPr>
          <c:marker>
            <c:symbol val="none"/>
          </c:marker>
          <c:xVal>
            <c:numRef>
              <c:f>[1]Summary!$S$6:$S$7</c:f>
              <c:numCache>
                <c:formatCode>General</c:formatCode>
                <c:ptCount val="2"/>
                <c:pt idx="0">
                  <c:v>1.6800000000000002</c:v>
                </c:pt>
                <c:pt idx="1">
                  <c:v>1.6800000000000002</c:v>
                </c:pt>
              </c:numCache>
            </c:numRef>
          </c:xVal>
          <c:yVal>
            <c:numRef>
              <c:f>[1]Summary!$O$6:$O$7</c:f>
              <c:numCache>
                <c:formatCode>General</c:formatCode>
                <c:ptCount val="2"/>
                <c:pt idx="0">
                  <c:v>620</c:v>
                </c:pt>
                <c:pt idx="1">
                  <c:v>700</c:v>
                </c:pt>
              </c:numCache>
            </c:numRef>
          </c:yVal>
          <c:smooth val="1"/>
        </c:ser>
        <c:ser>
          <c:idx val="6"/>
          <c:order val="5"/>
          <c:spPr>
            <a:ln w="12700">
              <a:solidFill>
                <a:schemeClr val="tx1"/>
              </a:solidFill>
            </a:ln>
          </c:spPr>
          <c:marker>
            <c:symbol val="none"/>
          </c:marker>
          <c:xVal>
            <c:numRef>
              <c:f>[1]Summary!$T$6:$T$7</c:f>
              <c:numCache>
                <c:formatCode>General</c:formatCode>
                <c:ptCount val="2"/>
                <c:pt idx="0">
                  <c:v>2.1</c:v>
                </c:pt>
                <c:pt idx="1">
                  <c:v>2.1</c:v>
                </c:pt>
              </c:numCache>
            </c:numRef>
          </c:xVal>
          <c:yVal>
            <c:numRef>
              <c:f>[1]Summary!$O$6:$O$7</c:f>
              <c:numCache>
                <c:formatCode>General</c:formatCode>
                <c:ptCount val="2"/>
                <c:pt idx="0">
                  <c:v>620</c:v>
                </c:pt>
                <c:pt idx="1">
                  <c:v>700</c:v>
                </c:pt>
              </c:numCache>
            </c:numRef>
          </c:yVal>
          <c:smooth val="1"/>
        </c:ser>
        <c:ser>
          <c:idx val="8"/>
          <c:order val="6"/>
          <c:tx>
            <c:v>0° Gravel 3.5 ft</c:v>
          </c:tx>
          <c:spPr>
            <a:ln w="28575">
              <a:solidFill>
                <a:schemeClr val="accent1"/>
              </a:solidFill>
            </a:ln>
          </c:spPr>
          <c:marker>
            <c:symbol val="diamond"/>
            <c:size val="6"/>
            <c:spPr>
              <a:solidFill>
                <a:schemeClr val="accent1"/>
              </a:solidFill>
              <a:ln>
                <a:solidFill>
                  <a:schemeClr val="accent1"/>
                </a:solidFill>
              </a:ln>
            </c:spPr>
          </c:marker>
          <c:xVal>
            <c:numRef>
              <c:f>[4]PYCAP!$A$61:$A$73</c:f>
              <c:numCache>
                <c:formatCode>0.00</c:formatCode>
                <c:ptCount val="13"/>
                <c:pt idx="0">
                  <c:v>0</c:v>
                </c:pt>
                <c:pt idx="1">
                  <c:v>0.18266967843749704</c:v>
                </c:pt>
                <c:pt idx="2">
                  <c:v>0.47952392843749703</c:v>
                </c:pt>
                <c:pt idx="3">
                  <c:v>0.7354239284374966</c:v>
                </c:pt>
                <c:pt idx="4">
                  <c:v>1.0016541784374966</c:v>
                </c:pt>
                <c:pt idx="5">
                  <c:v>1.2555229284374967</c:v>
                </c:pt>
                <c:pt idx="6">
                  <c:v>1.4748666784374964</c:v>
                </c:pt>
                <c:pt idx="7">
                  <c:v>1.7133331784374968</c:v>
                </c:pt>
                <c:pt idx="8">
                  <c:v>1.982764428437497</c:v>
                </c:pt>
                <c:pt idx="9">
                  <c:v>2.2518646784374967</c:v>
                </c:pt>
                <c:pt idx="10">
                  <c:v>2.4977849284374964</c:v>
                </c:pt>
                <c:pt idx="11">
                  <c:v>2.753515678437497</c:v>
                </c:pt>
                <c:pt idx="12">
                  <c:v>2.9970591784374969</c:v>
                </c:pt>
              </c:numCache>
            </c:numRef>
          </c:xVal>
          <c:yVal>
            <c:numRef>
              <c:f>[4]PYCAP!$B$61:$B$73</c:f>
              <c:numCache>
                <c:formatCode>0</c:formatCode>
                <c:ptCount val="13"/>
                <c:pt idx="0">
                  <c:v>0</c:v>
                </c:pt>
                <c:pt idx="1">
                  <c:v>91.940251096965014</c:v>
                </c:pt>
                <c:pt idx="2">
                  <c:v>153.03155611764379</c:v>
                </c:pt>
                <c:pt idx="3">
                  <c:v>189.18340880460786</c:v>
                </c:pt>
                <c:pt idx="4">
                  <c:v>223.34906094276838</c:v>
                </c:pt>
                <c:pt idx="5">
                  <c:v>250.75314701045116</c:v>
                </c:pt>
                <c:pt idx="6">
                  <c:v>269.02173726749152</c:v>
                </c:pt>
                <c:pt idx="7">
                  <c:v>289.45451148557316</c:v>
                </c:pt>
                <c:pt idx="8">
                  <c:v>305.20165069005139</c:v>
                </c:pt>
                <c:pt idx="9">
                  <c:v>317.28616134229708</c:v>
                </c:pt>
                <c:pt idx="10">
                  <c:v>326.9412836377499</c:v>
                </c:pt>
                <c:pt idx="11">
                  <c:v>339.4998882629672</c:v>
                </c:pt>
                <c:pt idx="12">
                  <c:v>349.70800377581685</c:v>
                </c:pt>
              </c:numCache>
            </c:numRef>
          </c:yVal>
          <c:smooth val="1"/>
        </c:ser>
        <c:ser>
          <c:idx val="2"/>
          <c:order val="7"/>
          <c:tx>
            <c:v>30° Gravel (Scaled to 3.5 ft)</c:v>
          </c:tx>
          <c:spPr>
            <a:ln w="28575">
              <a:solidFill>
                <a:schemeClr val="accent1"/>
              </a:solidFill>
            </a:ln>
          </c:spPr>
          <c:marker>
            <c:symbol val="square"/>
            <c:size val="6"/>
            <c:spPr>
              <a:solidFill>
                <a:schemeClr val="accent1"/>
              </a:solidFill>
              <a:ln>
                <a:solidFill>
                  <a:schemeClr val="accent1"/>
                </a:solidFill>
              </a:ln>
            </c:spPr>
          </c:marker>
          <c:xVal>
            <c:numRef>
              <c:f>[4]PYCAP!$G$61:$G$71</c:f>
              <c:numCache>
                <c:formatCode>0.00</c:formatCode>
                <c:ptCount val="11"/>
                <c:pt idx="0">
                  <c:v>0</c:v>
                </c:pt>
                <c:pt idx="1">
                  <c:v>0.13064004545454627</c:v>
                </c:pt>
                <c:pt idx="2">
                  <c:v>0.3359220454545459</c:v>
                </c:pt>
                <c:pt idx="3">
                  <c:v>0.45439434090909164</c:v>
                </c:pt>
                <c:pt idx="4">
                  <c:v>0.58977704545454623</c:v>
                </c:pt>
                <c:pt idx="5">
                  <c:v>0.78633434090909082</c:v>
                </c:pt>
                <c:pt idx="6">
                  <c:v>0.97028654545454485</c:v>
                </c:pt>
                <c:pt idx="7">
                  <c:v>1.1442279545454546</c:v>
                </c:pt>
                <c:pt idx="8">
                  <c:v>1.2815440909090905</c:v>
                </c:pt>
                <c:pt idx="9">
                  <c:v>1.4160630909090908</c:v>
                </c:pt>
                <c:pt idx="10">
                  <c:v>1.5435865454545459</c:v>
                </c:pt>
              </c:numCache>
            </c:numRef>
          </c:xVal>
          <c:yVal>
            <c:numRef>
              <c:f>[4]PYCAP!$H$61:$H$71</c:f>
              <c:numCache>
                <c:formatCode>0</c:formatCode>
                <c:ptCount val="11"/>
                <c:pt idx="0">
                  <c:v>0</c:v>
                </c:pt>
                <c:pt idx="1">
                  <c:v>41.803000864282325</c:v>
                </c:pt>
                <c:pt idx="2">
                  <c:v>72.239505960143262</c:v>
                </c:pt>
                <c:pt idx="3">
                  <c:v>84.621091474316259</c:v>
                </c:pt>
                <c:pt idx="4">
                  <c:v>114.77508980444242</c:v>
                </c:pt>
                <c:pt idx="5">
                  <c:v>145.11196832341415</c:v>
                </c:pt>
                <c:pt idx="6">
                  <c:v>165.77499989158372</c:v>
                </c:pt>
                <c:pt idx="7">
                  <c:v>179.20567127388111</c:v>
                </c:pt>
                <c:pt idx="8">
                  <c:v>188.4244947365699</c:v>
                </c:pt>
                <c:pt idx="9">
                  <c:v>196.48235054296256</c:v>
                </c:pt>
                <c:pt idx="10">
                  <c:v>201.10945396532955</c:v>
                </c:pt>
              </c:numCache>
            </c:numRef>
          </c:yVal>
          <c:smooth val="1"/>
        </c:ser>
        <c:ser>
          <c:idx val="14"/>
          <c:order val="8"/>
          <c:tx>
            <c:v>PYCAP</c:v>
          </c:tx>
          <c:spPr>
            <a:ln w="28575">
              <a:solidFill>
                <a:srgbClr val="FF0000"/>
              </a:solidFill>
            </a:ln>
          </c:spPr>
          <c:marker>
            <c:symbol val="none"/>
          </c:marker>
          <c:xVal>
            <c:numRef>
              <c:f>[4]PYCAP!$D$61:$D$146</c:f>
              <c:numCache>
                <c:formatCode>0.00</c:formatCode>
                <c:ptCount val="86"/>
                <c:pt idx="0">
                  <c:v>0</c:v>
                </c:pt>
                <c:pt idx="1">
                  <c:v>0.01</c:v>
                </c:pt>
                <c:pt idx="2">
                  <c:v>0.03</c:v>
                </c:pt>
                <c:pt idx="3">
                  <c:v>0.05</c:v>
                </c:pt>
                <c:pt idx="4">
                  <c:v>0.1</c:v>
                </c:pt>
                <c:pt idx="5">
                  <c:v>0.15000000000000002</c:v>
                </c:pt>
                <c:pt idx="6">
                  <c:v>0.2</c:v>
                </c:pt>
                <c:pt idx="7">
                  <c:v>0.25</c:v>
                </c:pt>
                <c:pt idx="8">
                  <c:v>0.3</c:v>
                </c:pt>
                <c:pt idx="9">
                  <c:v>0.35</c:v>
                </c:pt>
                <c:pt idx="10">
                  <c:v>0.39999999999999997</c:v>
                </c:pt>
                <c:pt idx="11">
                  <c:v>0.44999999999999996</c:v>
                </c:pt>
                <c:pt idx="12">
                  <c:v>0.49999999999999994</c:v>
                </c:pt>
                <c:pt idx="13">
                  <c:v>0.54999999999999993</c:v>
                </c:pt>
                <c:pt idx="14">
                  <c:v>0.6</c:v>
                </c:pt>
                <c:pt idx="15">
                  <c:v>0.65</c:v>
                </c:pt>
                <c:pt idx="16">
                  <c:v>0.70000000000000007</c:v>
                </c:pt>
                <c:pt idx="17">
                  <c:v>0.75000000000000011</c:v>
                </c:pt>
                <c:pt idx="18">
                  <c:v>0.80000000000000016</c:v>
                </c:pt>
                <c:pt idx="19">
                  <c:v>0.8500000000000002</c:v>
                </c:pt>
                <c:pt idx="20">
                  <c:v>0.90000000000000024</c:v>
                </c:pt>
                <c:pt idx="21">
                  <c:v>0.95000000000000029</c:v>
                </c:pt>
                <c:pt idx="22">
                  <c:v>1.0000000000000002</c:v>
                </c:pt>
                <c:pt idx="23">
                  <c:v>1.0500000000000003</c:v>
                </c:pt>
                <c:pt idx="24">
                  <c:v>1.1000000000000003</c:v>
                </c:pt>
                <c:pt idx="25">
                  <c:v>1.1500000000000004</c:v>
                </c:pt>
                <c:pt idx="26">
                  <c:v>1.2000000000000004</c:v>
                </c:pt>
                <c:pt idx="27">
                  <c:v>1.2500000000000004</c:v>
                </c:pt>
                <c:pt idx="28">
                  <c:v>1.3000000000000005</c:v>
                </c:pt>
                <c:pt idx="29">
                  <c:v>1.3500000000000005</c:v>
                </c:pt>
                <c:pt idx="30">
                  <c:v>1.4000000000000006</c:v>
                </c:pt>
                <c:pt idx="31">
                  <c:v>1.4500000000000006</c:v>
                </c:pt>
                <c:pt idx="32">
                  <c:v>1.5000000000000007</c:v>
                </c:pt>
                <c:pt idx="33">
                  <c:v>1.5500000000000007</c:v>
                </c:pt>
                <c:pt idx="34">
                  <c:v>1.6000000000000008</c:v>
                </c:pt>
                <c:pt idx="35">
                  <c:v>1.6500000000000008</c:v>
                </c:pt>
                <c:pt idx="36">
                  <c:v>1.7000000000000008</c:v>
                </c:pt>
                <c:pt idx="37">
                  <c:v>1.7500000000000009</c:v>
                </c:pt>
                <c:pt idx="38">
                  <c:v>1.8000000000000009</c:v>
                </c:pt>
                <c:pt idx="39">
                  <c:v>1.850000000000001</c:v>
                </c:pt>
                <c:pt idx="40">
                  <c:v>1.900000000000001</c:v>
                </c:pt>
                <c:pt idx="41">
                  <c:v>1.9500000000000011</c:v>
                </c:pt>
                <c:pt idx="42">
                  <c:v>2.0000000000000009</c:v>
                </c:pt>
                <c:pt idx="43">
                  <c:v>2.0500000000000007</c:v>
                </c:pt>
                <c:pt idx="44">
                  <c:v>2.1000000000000005</c:v>
                </c:pt>
                <c:pt idx="45">
                  <c:v>2.1500000000000004</c:v>
                </c:pt>
                <c:pt idx="46">
                  <c:v>2.2000000000000002</c:v>
                </c:pt>
                <c:pt idx="47">
                  <c:v>2.25</c:v>
                </c:pt>
                <c:pt idx="48">
                  <c:v>2.2999999999999998</c:v>
                </c:pt>
                <c:pt idx="49">
                  <c:v>2.3499999999999996</c:v>
                </c:pt>
                <c:pt idx="50">
                  <c:v>2.3999999999999995</c:v>
                </c:pt>
                <c:pt idx="51">
                  <c:v>2.4499999999999993</c:v>
                </c:pt>
                <c:pt idx="52">
                  <c:v>2.4999999999999991</c:v>
                </c:pt>
                <c:pt idx="53">
                  <c:v>2.5499999999999989</c:v>
                </c:pt>
                <c:pt idx="54">
                  <c:v>2.5999999999999988</c:v>
                </c:pt>
                <c:pt idx="55">
                  <c:v>2.6499999999999986</c:v>
                </c:pt>
                <c:pt idx="56">
                  <c:v>2.6999999999999984</c:v>
                </c:pt>
                <c:pt idx="57">
                  <c:v>2.7499999999999982</c:v>
                </c:pt>
                <c:pt idx="58">
                  <c:v>2.799999999999998</c:v>
                </c:pt>
                <c:pt idx="59">
                  <c:v>2.8499999999999979</c:v>
                </c:pt>
                <c:pt idx="60">
                  <c:v>2.8999999999999977</c:v>
                </c:pt>
                <c:pt idx="61">
                  <c:v>2.9499999999999975</c:v>
                </c:pt>
                <c:pt idx="62">
                  <c:v>2.9999999999999973</c:v>
                </c:pt>
                <c:pt idx="63">
                  <c:v>3.0499999999999972</c:v>
                </c:pt>
                <c:pt idx="64">
                  <c:v>3.099999999999997</c:v>
                </c:pt>
                <c:pt idx="65">
                  <c:v>3.1499999999999968</c:v>
                </c:pt>
                <c:pt idx="66">
                  <c:v>3.1999999999999966</c:v>
                </c:pt>
                <c:pt idx="67">
                  <c:v>3.2499999999999964</c:v>
                </c:pt>
                <c:pt idx="68">
                  <c:v>3.2999999999999963</c:v>
                </c:pt>
                <c:pt idx="69">
                  <c:v>3.3499999999999961</c:v>
                </c:pt>
                <c:pt idx="70">
                  <c:v>3.3999999999999959</c:v>
                </c:pt>
                <c:pt idx="71">
                  <c:v>3.4499999999999957</c:v>
                </c:pt>
                <c:pt idx="72">
                  <c:v>3.4999999999999956</c:v>
                </c:pt>
                <c:pt idx="73">
                  <c:v>3.5499999999999954</c:v>
                </c:pt>
                <c:pt idx="74">
                  <c:v>3.5999999999999952</c:v>
                </c:pt>
                <c:pt idx="75">
                  <c:v>3.649999999999995</c:v>
                </c:pt>
                <c:pt idx="76">
                  <c:v>3.6999999999999948</c:v>
                </c:pt>
                <c:pt idx="77">
                  <c:v>3.7499999999999947</c:v>
                </c:pt>
                <c:pt idx="78">
                  <c:v>3.7999999999999945</c:v>
                </c:pt>
                <c:pt idx="79">
                  <c:v>3.8499999999999943</c:v>
                </c:pt>
                <c:pt idx="80">
                  <c:v>3.8999999999999941</c:v>
                </c:pt>
                <c:pt idx="81">
                  <c:v>3.949999999999994</c:v>
                </c:pt>
                <c:pt idx="82">
                  <c:v>3.9999999999999938</c:v>
                </c:pt>
                <c:pt idx="83">
                  <c:v>4.0499999999999936</c:v>
                </c:pt>
                <c:pt idx="84">
                  <c:v>4.0999999999999934</c:v>
                </c:pt>
                <c:pt idx="85">
                  <c:v>4.1499999999999932</c:v>
                </c:pt>
              </c:numCache>
            </c:numRef>
          </c:xVal>
          <c:yVal>
            <c:numRef>
              <c:f>[4]PYCAP!$E$61:$E$146</c:f>
              <c:numCache>
                <c:formatCode>0</c:formatCode>
                <c:ptCount val="86"/>
                <c:pt idx="0">
                  <c:v>0</c:v>
                </c:pt>
                <c:pt idx="1">
                  <c:v>4.2934432615265097</c:v>
                </c:pt>
                <c:pt idx="2">
                  <c:v>12.657217828398309</c:v>
                </c:pt>
                <c:pt idx="3">
                  <c:v>20.73617285829781</c:v>
                </c:pt>
                <c:pt idx="4">
                  <c:v>39.779053485849602</c:v>
                </c:pt>
                <c:pt idx="5">
                  <c:v>57.327914177590735</c:v>
                </c:pt>
                <c:pt idx="6">
                  <c:v>73.551939464216261</c:v>
                </c:pt>
                <c:pt idx="7">
                  <c:v>88.595698179334036</c:v>
                </c:pt>
                <c:pt idx="8">
                  <c:v>102.58346319456791</c:v>
                </c:pt>
                <c:pt idx="9">
                  <c:v>115.62265233023386</c:v>
                </c:pt>
                <c:pt idx="10">
                  <c:v>127.8065921910086</c:v>
                </c:pt>
                <c:pt idx="11">
                  <c:v>139.21675542526972</c:v>
                </c:pt>
                <c:pt idx="12">
                  <c:v>149.92458485199262</c:v>
                </c:pt>
                <c:pt idx="13">
                  <c:v>159.99299080165292</c:v>
                </c:pt>
                <c:pt idx="14">
                  <c:v>169.47758799065369</c:v>
                </c:pt>
                <c:pt idx="15">
                  <c:v>178.42772330024169</c:v>
                </c:pt>
                <c:pt idx="16">
                  <c:v>186.88733456906252</c:v>
                </c:pt>
                <c:pt idx="17">
                  <c:v>194.89567195008991</c:v>
                </c:pt>
                <c:pt idx="18">
                  <c:v>202.48790682532982</c:v>
                </c:pt>
                <c:pt idx="19">
                  <c:v>209.69564820873663</c:v>
                </c:pt>
                <c:pt idx="20">
                  <c:v>216.54738263013783</c:v>
                </c:pt>
                <c:pt idx="21">
                  <c:v>223.06885040943143</c:v>
                </c:pt>
                <c:pt idx="22">
                  <c:v>229.28336879989041</c:v>
                </c:pt>
                <c:pt idx="23">
                  <c:v>235.21211055191898</c:v>
                </c:pt>
                <c:pt idx="24">
                  <c:v>240.87434491101354</c:v>
                </c:pt>
                <c:pt idx="25">
                  <c:v>246.28764683027956</c:v>
                </c:pt>
                <c:pt idx="26">
                  <c:v>251.46807918321969</c:v>
                </c:pt>
                <c:pt idx="27">
                  <c:v>256.43035195635917</c:v>
                </c:pt>
                <c:pt idx="28">
                  <c:v>261.18796174474511</c:v>
                </c:pt>
                <c:pt idx="29">
                  <c:v>265.75331433621369</c:v>
                </c:pt>
                <c:pt idx="30">
                  <c:v>270.13783272892243</c:v>
                </c:pt>
                <c:pt idx="31">
                  <c:v>274.35205256239351</c:v>
                </c:pt>
                <c:pt idx="32">
                  <c:v>278.4057066405191</c:v>
                </c:pt>
                <c:pt idx="33">
                  <c:v>282.30779997395723</c:v>
                </c:pt>
                <c:pt idx="34">
                  <c:v>286.06667655978748</c:v>
                </c:pt>
                <c:pt idx="35">
                  <c:v>289.69007894072183</c:v>
                </c:pt>
                <c:pt idx="36">
                  <c:v>293.18520143856307</c:v>
                </c:pt>
                <c:pt idx="37">
                  <c:v>296.55873783210774</c:v>
                </c:pt>
                <c:pt idx="38">
                  <c:v>299.81692414435054</c:v>
                </c:pt>
                <c:pt idx="39">
                  <c:v>302.9655771144424</c:v>
                </c:pt>
                <c:pt idx="40">
                  <c:v>306.01012885375201</c:v>
                </c:pt>
                <c:pt idx="41">
                  <c:v>308.95565812041519</c:v>
                </c:pt>
                <c:pt idx="42">
                  <c:v>311.80691859115063</c:v>
                </c:pt>
                <c:pt idx="43">
                  <c:v>314.56836446139181</c:v>
                </c:pt>
                <c:pt idx="44">
                  <c:v>317.24417366372046</c:v>
                </c:pt>
                <c:pt idx="45">
                  <c:v>319.83826895916621</c:v>
                </c:pt>
                <c:pt idx="46">
                  <c:v>322.3543371253059</c:v>
                </c:pt>
                <c:pt idx="47">
                  <c:v>324.79584643855617</c:v>
                </c:pt>
                <c:pt idx="48">
                  <c:v>327.16606262499369</c:v>
                </c:pt>
                <c:pt idx="49">
                  <c:v>329.46806343397139</c:v>
                </c:pt>
                <c:pt idx="50">
                  <c:v>331.70475197128741</c:v>
                </c:pt>
                <c:pt idx="51">
                  <c:v>333.8788689133649</c:v>
                </c:pt>
                <c:pt idx="52">
                  <c:v>335.9930037104923</c:v>
                </c:pt>
                <c:pt idx="53">
                  <c:v>336.82241561023005</c:v>
                </c:pt>
                <c:pt idx="54">
                  <c:v>336.82241561023005</c:v>
                </c:pt>
                <c:pt idx="55">
                  <c:v>336.82241561023005</c:v>
                </c:pt>
                <c:pt idx="56">
                  <c:v>336.82241561023005</c:v>
                </c:pt>
                <c:pt idx="57">
                  <c:v>336.82241561023005</c:v>
                </c:pt>
                <c:pt idx="58">
                  <c:v>336.82241561023005</c:v>
                </c:pt>
                <c:pt idx="59">
                  <c:v>336.82241561023005</c:v>
                </c:pt>
                <c:pt idx="60">
                  <c:v>336.82241561023005</c:v>
                </c:pt>
                <c:pt idx="61">
                  <c:v>336.82241561023005</c:v>
                </c:pt>
                <c:pt idx="62">
                  <c:v>336.82241561023005</c:v>
                </c:pt>
                <c:pt idx="63">
                  <c:v>336.82241561023005</c:v>
                </c:pt>
                <c:pt idx="64">
                  <c:v>336.82241561023005</c:v>
                </c:pt>
                <c:pt idx="65">
                  <c:v>336.82241561023005</c:v>
                </c:pt>
                <c:pt idx="66">
                  <c:v>336.82241561023005</c:v>
                </c:pt>
                <c:pt idx="67">
                  <c:v>336.82241561023005</c:v>
                </c:pt>
                <c:pt idx="68">
                  <c:v>336.82241561023005</c:v>
                </c:pt>
                <c:pt idx="69">
                  <c:v>336.82241561023005</c:v>
                </c:pt>
                <c:pt idx="70">
                  <c:v>336.82241561023005</c:v>
                </c:pt>
                <c:pt idx="71">
                  <c:v>336.82241561023005</c:v>
                </c:pt>
                <c:pt idx="72">
                  <c:v>336.82241561023005</c:v>
                </c:pt>
                <c:pt idx="73">
                  <c:v>336.82241561023005</c:v>
                </c:pt>
                <c:pt idx="74">
                  <c:v>336.82241561023005</c:v>
                </c:pt>
                <c:pt idx="75">
                  <c:v>336.82241561023005</c:v>
                </c:pt>
                <c:pt idx="76">
                  <c:v>336.82241561023005</c:v>
                </c:pt>
                <c:pt idx="77">
                  <c:v>336.82241561023005</c:v>
                </c:pt>
                <c:pt idx="78">
                  <c:v>336.82241561023005</c:v>
                </c:pt>
                <c:pt idx="79">
                  <c:v>336.82241561023005</c:v>
                </c:pt>
                <c:pt idx="80">
                  <c:v>336.82241561023005</c:v>
                </c:pt>
                <c:pt idx="81">
                  <c:v>336.82241561023005</c:v>
                </c:pt>
                <c:pt idx="82">
                  <c:v>336.82241561023005</c:v>
                </c:pt>
                <c:pt idx="83">
                  <c:v>336.82241561023005</c:v>
                </c:pt>
                <c:pt idx="84">
                  <c:v>336.82241561023005</c:v>
                </c:pt>
                <c:pt idx="85">
                  <c:v>336.82241561023005</c:v>
                </c:pt>
              </c:numCache>
            </c:numRef>
          </c:yVal>
          <c:smooth val="1"/>
        </c:ser>
        <c:ser>
          <c:idx val="7"/>
          <c:order val="9"/>
          <c:tx>
            <c:v>PYCAP</c:v>
          </c:tx>
          <c:spPr>
            <a:ln w="28575">
              <a:solidFill>
                <a:srgbClr val="FF0000"/>
              </a:solidFill>
            </a:ln>
          </c:spPr>
          <c:marker>
            <c:symbol val="none"/>
          </c:marker>
          <c:xVal>
            <c:numRef>
              <c:f>[4]PYCAP!$J$61:$J$146</c:f>
              <c:numCache>
                <c:formatCode>0.00</c:formatCode>
                <c:ptCount val="86"/>
                <c:pt idx="0">
                  <c:v>0</c:v>
                </c:pt>
                <c:pt idx="1">
                  <c:v>0.01</c:v>
                </c:pt>
                <c:pt idx="2">
                  <c:v>0.03</c:v>
                </c:pt>
                <c:pt idx="3">
                  <c:v>0.05</c:v>
                </c:pt>
                <c:pt idx="4">
                  <c:v>0.1</c:v>
                </c:pt>
                <c:pt idx="5">
                  <c:v>0.15000000000000002</c:v>
                </c:pt>
                <c:pt idx="6">
                  <c:v>0.2</c:v>
                </c:pt>
                <c:pt idx="7">
                  <c:v>0.25</c:v>
                </c:pt>
                <c:pt idx="8">
                  <c:v>0.3</c:v>
                </c:pt>
                <c:pt idx="9">
                  <c:v>0.35</c:v>
                </c:pt>
                <c:pt idx="10">
                  <c:v>0.39999999999999997</c:v>
                </c:pt>
                <c:pt idx="11">
                  <c:v>0.44999999999999996</c:v>
                </c:pt>
                <c:pt idx="12">
                  <c:v>0.49999999999999994</c:v>
                </c:pt>
                <c:pt idx="13">
                  <c:v>0.54999999999999993</c:v>
                </c:pt>
                <c:pt idx="14">
                  <c:v>0.6</c:v>
                </c:pt>
                <c:pt idx="15">
                  <c:v>0.65</c:v>
                </c:pt>
                <c:pt idx="16">
                  <c:v>0.70000000000000007</c:v>
                </c:pt>
                <c:pt idx="17">
                  <c:v>0.75000000000000011</c:v>
                </c:pt>
                <c:pt idx="18">
                  <c:v>0.80000000000000016</c:v>
                </c:pt>
                <c:pt idx="19">
                  <c:v>0.8500000000000002</c:v>
                </c:pt>
                <c:pt idx="20">
                  <c:v>0.90000000000000024</c:v>
                </c:pt>
                <c:pt idx="21">
                  <c:v>0.95000000000000029</c:v>
                </c:pt>
                <c:pt idx="22">
                  <c:v>1.0000000000000002</c:v>
                </c:pt>
                <c:pt idx="23">
                  <c:v>1.0500000000000003</c:v>
                </c:pt>
                <c:pt idx="24">
                  <c:v>1.1000000000000003</c:v>
                </c:pt>
                <c:pt idx="25">
                  <c:v>1.1500000000000004</c:v>
                </c:pt>
                <c:pt idx="26">
                  <c:v>1.2000000000000004</c:v>
                </c:pt>
                <c:pt idx="27">
                  <c:v>1.2500000000000004</c:v>
                </c:pt>
                <c:pt idx="28">
                  <c:v>1.3000000000000005</c:v>
                </c:pt>
                <c:pt idx="29">
                  <c:v>1.3500000000000005</c:v>
                </c:pt>
                <c:pt idx="30">
                  <c:v>1.4000000000000006</c:v>
                </c:pt>
                <c:pt idx="31">
                  <c:v>1.4500000000000006</c:v>
                </c:pt>
                <c:pt idx="32">
                  <c:v>1.5000000000000007</c:v>
                </c:pt>
                <c:pt idx="33">
                  <c:v>1.5500000000000007</c:v>
                </c:pt>
                <c:pt idx="34">
                  <c:v>1.6000000000000008</c:v>
                </c:pt>
                <c:pt idx="35">
                  <c:v>1.6500000000000008</c:v>
                </c:pt>
                <c:pt idx="36">
                  <c:v>1.7000000000000008</c:v>
                </c:pt>
                <c:pt idx="37">
                  <c:v>1.7500000000000009</c:v>
                </c:pt>
                <c:pt idx="38">
                  <c:v>1.8000000000000009</c:v>
                </c:pt>
                <c:pt idx="39">
                  <c:v>1.850000000000001</c:v>
                </c:pt>
                <c:pt idx="40">
                  <c:v>1.900000000000001</c:v>
                </c:pt>
                <c:pt idx="41">
                  <c:v>1.9500000000000011</c:v>
                </c:pt>
                <c:pt idx="42">
                  <c:v>2.0000000000000009</c:v>
                </c:pt>
                <c:pt idx="43">
                  <c:v>2.0500000000000007</c:v>
                </c:pt>
                <c:pt idx="44">
                  <c:v>2.1000000000000005</c:v>
                </c:pt>
                <c:pt idx="45">
                  <c:v>2.1500000000000004</c:v>
                </c:pt>
                <c:pt idx="46">
                  <c:v>2.2000000000000002</c:v>
                </c:pt>
                <c:pt idx="47">
                  <c:v>2.25</c:v>
                </c:pt>
                <c:pt idx="48">
                  <c:v>2.2999999999999998</c:v>
                </c:pt>
                <c:pt idx="49">
                  <c:v>2.3499999999999996</c:v>
                </c:pt>
                <c:pt idx="50">
                  <c:v>2.3999999999999995</c:v>
                </c:pt>
                <c:pt idx="51">
                  <c:v>2.4499999999999993</c:v>
                </c:pt>
                <c:pt idx="52">
                  <c:v>2.4999999999999991</c:v>
                </c:pt>
                <c:pt idx="53">
                  <c:v>2.5499999999999989</c:v>
                </c:pt>
                <c:pt idx="54">
                  <c:v>2.5999999999999988</c:v>
                </c:pt>
                <c:pt idx="55">
                  <c:v>2.6499999999999986</c:v>
                </c:pt>
                <c:pt idx="56">
                  <c:v>2.6999999999999984</c:v>
                </c:pt>
                <c:pt idx="57">
                  <c:v>2.7499999999999982</c:v>
                </c:pt>
                <c:pt idx="58">
                  <c:v>2.799999999999998</c:v>
                </c:pt>
                <c:pt idx="59">
                  <c:v>2.8499999999999979</c:v>
                </c:pt>
                <c:pt idx="60">
                  <c:v>2.8999999999999977</c:v>
                </c:pt>
                <c:pt idx="61">
                  <c:v>2.9499999999999975</c:v>
                </c:pt>
                <c:pt idx="62">
                  <c:v>2.9999999999999973</c:v>
                </c:pt>
                <c:pt idx="63">
                  <c:v>3.0499999999999972</c:v>
                </c:pt>
                <c:pt idx="64">
                  <c:v>3.099999999999997</c:v>
                </c:pt>
                <c:pt idx="65">
                  <c:v>3.1499999999999968</c:v>
                </c:pt>
                <c:pt idx="66">
                  <c:v>3.1999999999999966</c:v>
                </c:pt>
                <c:pt idx="67">
                  <c:v>3.2499999999999964</c:v>
                </c:pt>
                <c:pt idx="68">
                  <c:v>3.2999999999999963</c:v>
                </c:pt>
                <c:pt idx="69">
                  <c:v>3.3499999999999961</c:v>
                </c:pt>
                <c:pt idx="70">
                  <c:v>3.3999999999999959</c:v>
                </c:pt>
                <c:pt idx="71">
                  <c:v>3.4499999999999957</c:v>
                </c:pt>
                <c:pt idx="72">
                  <c:v>3.4999999999999956</c:v>
                </c:pt>
                <c:pt idx="73">
                  <c:v>3.5499999999999954</c:v>
                </c:pt>
                <c:pt idx="74">
                  <c:v>3.5999999999999952</c:v>
                </c:pt>
                <c:pt idx="75">
                  <c:v>3.649999999999995</c:v>
                </c:pt>
                <c:pt idx="76">
                  <c:v>3.6999999999999948</c:v>
                </c:pt>
                <c:pt idx="77">
                  <c:v>3.7499999999999947</c:v>
                </c:pt>
                <c:pt idx="78">
                  <c:v>3.7999999999999945</c:v>
                </c:pt>
                <c:pt idx="79">
                  <c:v>3.8499999999999943</c:v>
                </c:pt>
                <c:pt idx="80">
                  <c:v>3.8999999999999941</c:v>
                </c:pt>
                <c:pt idx="81">
                  <c:v>3.949999999999994</c:v>
                </c:pt>
                <c:pt idx="82">
                  <c:v>3.9999999999999938</c:v>
                </c:pt>
                <c:pt idx="83">
                  <c:v>4.0499999999999936</c:v>
                </c:pt>
                <c:pt idx="84">
                  <c:v>4.0999999999999934</c:v>
                </c:pt>
                <c:pt idx="85">
                  <c:v>4.1499999999999932</c:v>
                </c:pt>
              </c:numCache>
            </c:numRef>
          </c:xVal>
          <c:yVal>
            <c:numRef>
              <c:f>[4]PYCAP!$K$61:$K$146</c:f>
              <c:numCache>
                <c:formatCode>0</c:formatCode>
                <c:ptCount val="86"/>
                <c:pt idx="0">
                  <c:v>0</c:v>
                </c:pt>
                <c:pt idx="1">
                  <c:v>2.4985125396228298</c:v>
                </c:pt>
                <c:pt idx="2">
                  <c:v>7.4139283046311135</c:v>
                </c:pt>
                <c:pt idx="3">
                  <c:v>12.223461548602025</c:v>
                </c:pt>
                <c:pt idx="4">
                  <c:v>23.805921624063739</c:v>
                </c:pt>
                <c:pt idx="5">
                  <c:v>34.796513372582538</c:v>
                </c:pt>
                <c:pt idx="6">
                  <c:v>45.23947359621161</c:v>
                </c:pt>
                <c:pt idx="7">
                  <c:v>55.174737855710951</c:v>
                </c:pt>
                <c:pt idx="8">
                  <c:v>64.638450838407451</c:v>
                </c:pt>
                <c:pt idx="9">
                  <c:v>73.663405740801153</c:v>
                </c:pt>
                <c:pt idx="10">
                  <c:v>82.279423923555058</c:v>
                </c:pt>
                <c:pt idx="11">
                  <c:v>90.513684101294984</c:v>
                </c:pt>
                <c:pt idx="12">
                  <c:v>98.391008723629454</c:v>
                </c:pt>
                <c:pt idx="13">
                  <c:v>105.93411390441368</c:v>
                </c:pt>
                <c:pt idx="14">
                  <c:v>113.16382819982935</c:v>
                </c:pt>
                <c:pt idx="15">
                  <c:v>120.09928467289359</c:v>
                </c:pt>
                <c:pt idx="16">
                  <c:v>126.75808997395602</c:v>
                </c:pt>
                <c:pt idx="17">
                  <c:v>133.15647358329977</c:v>
                </c:pt>
                <c:pt idx="18">
                  <c:v>139.30941987923168</c:v>
                </c:pt>
                <c:pt idx="19">
                  <c:v>145.23078529407496</c:v>
                </c:pt>
                <c:pt idx="20">
                  <c:v>150.93340248616417</c:v>
                </c:pt>
                <c:pt idx="21">
                  <c:v>156.42917317619629</c:v>
                </c:pt>
                <c:pt idx="22">
                  <c:v>161.72915106139376</c:v>
                </c:pt>
                <c:pt idx="23">
                  <c:v>166.84361602303798</c:v>
                </c:pt>
                <c:pt idx="24">
                  <c:v>171.78214067566662</c:v>
                </c:pt>
                <c:pt idx="25">
                  <c:v>176.55365016442192</c:v>
                </c:pt>
                <c:pt idx="26">
                  <c:v>181.16647599644904</c:v>
                </c:pt>
                <c:pt idx="27">
                  <c:v>185.62840458940948</c:v>
                </c:pt>
                <c:pt idx="28">
                  <c:v>189.94672113223356</c:v>
                </c:pt>
                <c:pt idx="29">
                  <c:v>194.12824927783066</c:v>
                </c:pt>
                <c:pt idx="30">
                  <c:v>195.35700105393343</c:v>
                </c:pt>
                <c:pt idx="31">
                  <c:v>195.35700105393343</c:v>
                </c:pt>
                <c:pt idx="32">
                  <c:v>195.35700105393343</c:v>
                </c:pt>
                <c:pt idx="33">
                  <c:v>195.35700105393343</c:v>
                </c:pt>
                <c:pt idx="34">
                  <c:v>195.35700105393343</c:v>
                </c:pt>
                <c:pt idx="35">
                  <c:v>195.35700105393343</c:v>
                </c:pt>
                <c:pt idx="36">
                  <c:v>195.35700105393343</c:v>
                </c:pt>
                <c:pt idx="37">
                  <c:v>195.35700105393343</c:v>
                </c:pt>
                <c:pt idx="38">
                  <c:v>195.35700105393343</c:v>
                </c:pt>
                <c:pt idx="39">
                  <c:v>195.35700105393343</c:v>
                </c:pt>
                <c:pt idx="40">
                  <c:v>195.35700105393343</c:v>
                </c:pt>
                <c:pt idx="41">
                  <c:v>195.35700105393343</c:v>
                </c:pt>
                <c:pt idx="42">
                  <c:v>195.35700105393343</c:v>
                </c:pt>
                <c:pt idx="43">
                  <c:v>195.35700105393343</c:v>
                </c:pt>
                <c:pt idx="44">
                  <c:v>195.35700105393343</c:v>
                </c:pt>
                <c:pt idx="45">
                  <c:v>195.35700105393343</c:v>
                </c:pt>
                <c:pt idx="46">
                  <c:v>195.35700105393343</c:v>
                </c:pt>
                <c:pt idx="47">
                  <c:v>195.35700105393343</c:v>
                </c:pt>
                <c:pt idx="48">
                  <c:v>195.35700105393343</c:v>
                </c:pt>
                <c:pt idx="49">
                  <c:v>195.35700105393343</c:v>
                </c:pt>
                <c:pt idx="50">
                  <c:v>195.35700105393343</c:v>
                </c:pt>
                <c:pt idx="51">
                  <c:v>195.35700105393343</c:v>
                </c:pt>
                <c:pt idx="52">
                  <c:v>195.35700105393343</c:v>
                </c:pt>
                <c:pt idx="53">
                  <c:v>195.35700105393343</c:v>
                </c:pt>
                <c:pt idx="54">
                  <c:v>195.35700105393343</c:v>
                </c:pt>
                <c:pt idx="55">
                  <c:v>195.35700105393343</c:v>
                </c:pt>
                <c:pt idx="56">
                  <c:v>195.35700105393343</c:v>
                </c:pt>
                <c:pt idx="57">
                  <c:v>195.35700105393343</c:v>
                </c:pt>
                <c:pt idx="58">
                  <c:v>195.35700105393343</c:v>
                </c:pt>
                <c:pt idx="59">
                  <c:v>195.35700105393343</c:v>
                </c:pt>
                <c:pt idx="60">
                  <c:v>195.35700105393343</c:v>
                </c:pt>
                <c:pt idx="61">
                  <c:v>195.35700105393343</c:v>
                </c:pt>
                <c:pt idx="62">
                  <c:v>195.35700105393343</c:v>
                </c:pt>
                <c:pt idx="63">
                  <c:v>195.35700105393343</c:v>
                </c:pt>
                <c:pt idx="64">
                  <c:v>195.35700105393343</c:v>
                </c:pt>
                <c:pt idx="65">
                  <c:v>195.35700105393343</c:v>
                </c:pt>
                <c:pt idx="66">
                  <c:v>195.35700105393343</c:v>
                </c:pt>
                <c:pt idx="67">
                  <c:v>195.35700105393343</c:v>
                </c:pt>
                <c:pt idx="68">
                  <c:v>195.35700105393343</c:v>
                </c:pt>
                <c:pt idx="69">
                  <c:v>195.35700105393343</c:v>
                </c:pt>
                <c:pt idx="70">
                  <c:v>195.35700105393343</c:v>
                </c:pt>
                <c:pt idx="71">
                  <c:v>195.35700105393343</c:v>
                </c:pt>
                <c:pt idx="72">
                  <c:v>195.35700105393343</c:v>
                </c:pt>
                <c:pt idx="73">
                  <c:v>195.35700105393343</c:v>
                </c:pt>
                <c:pt idx="74">
                  <c:v>195.35700105393343</c:v>
                </c:pt>
                <c:pt idx="75">
                  <c:v>195.35700105393343</c:v>
                </c:pt>
                <c:pt idx="76">
                  <c:v>195.35700105393343</c:v>
                </c:pt>
                <c:pt idx="77">
                  <c:v>195.35700105393343</c:v>
                </c:pt>
                <c:pt idx="78">
                  <c:v>195.35700105393343</c:v>
                </c:pt>
                <c:pt idx="79">
                  <c:v>195.35700105393343</c:v>
                </c:pt>
                <c:pt idx="80">
                  <c:v>195.35700105393343</c:v>
                </c:pt>
                <c:pt idx="81">
                  <c:v>195.35700105393343</c:v>
                </c:pt>
                <c:pt idx="82">
                  <c:v>195.35700105393343</c:v>
                </c:pt>
                <c:pt idx="83">
                  <c:v>195.35700105393343</c:v>
                </c:pt>
                <c:pt idx="84">
                  <c:v>195.35700105393343</c:v>
                </c:pt>
                <c:pt idx="85">
                  <c:v>195.35700105393343</c:v>
                </c:pt>
              </c:numCache>
            </c:numRef>
          </c:yVal>
          <c:smooth val="1"/>
        </c:ser>
        <c:ser>
          <c:idx val="9"/>
          <c:order val="11"/>
          <c:spPr>
            <a:ln w="12700">
              <a:solidFill>
                <a:schemeClr val="tx1"/>
              </a:solidFill>
            </a:ln>
          </c:spPr>
          <c:marker>
            <c:symbol val="none"/>
          </c:marker>
          <c:xVal>
            <c:numRef>
              <c:f>[1]Summary!$U$6:$U$7</c:f>
              <c:numCache>
                <c:formatCode>General</c:formatCode>
                <c:ptCount val="2"/>
                <c:pt idx="0">
                  <c:v>2.52</c:v>
                </c:pt>
                <c:pt idx="1">
                  <c:v>2.52</c:v>
                </c:pt>
              </c:numCache>
            </c:numRef>
          </c:xVal>
          <c:yVal>
            <c:numRef>
              <c:f>[1]Summary!$O$6:$O$7</c:f>
              <c:numCache>
                <c:formatCode>General</c:formatCode>
                <c:ptCount val="2"/>
                <c:pt idx="0">
                  <c:v>620</c:v>
                </c:pt>
                <c:pt idx="1">
                  <c:v>700</c:v>
                </c:pt>
              </c:numCache>
            </c:numRef>
          </c:yVal>
          <c:smooth val="1"/>
        </c:ser>
        <c:ser>
          <c:idx val="10"/>
          <c:order val="12"/>
          <c:spPr>
            <a:ln w="12700">
              <a:solidFill>
                <a:schemeClr val="tx1"/>
              </a:solidFill>
            </a:ln>
          </c:spPr>
          <c:marker>
            <c:symbol val="none"/>
          </c:marker>
          <c:xVal>
            <c:numRef>
              <c:f>[1]Summary!$V$6:$V$7</c:f>
              <c:numCache>
                <c:formatCode>General</c:formatCode>
                <c:ptCount val="2"/>
                <c:pt idx="0">
                  <c:v>2.9400000000000004</c:v>
                </c:pt>
                <c:pt idx="1">
                  <c:v>2.9400000000000004</c:v>
                </c:pt>
              </c:numCache>
            </c:numRef>
          </c:xVal>
          <c:yVal>
            <c:numRef>
              <c:f>[1]Summary!$O$6:$O$7</c:f>
              <c:numCache>
                <c:formatCode>General</c:formatCode>
                <c:ptCount val="2"/>
                <c:pt idx="0">
                  <c:v>620</c:v>
                </c:pt>
                <c:pt idx="1">
                  <c:v>700</c:v>
                </c:pt>
              </c:numCache>
            </c:numRef>
          </c:yVal>
          <c:smooth val="1"/>
        </c:ser>
        <c:ser>
          <c:idx val="13"/>
          <c:order val="13"/>
          <c:tx>
            <c:v>ABUTMENT</c:v>
          </c:tx>
          <c:spPr>
            <a:ln w="19050">
              <a:solidFill>
                <a:schemeClr val="tx1"/>
              </a:solidFill>
            </a:ln>
          </c:spPr>
          <c:marker>
            <c:symbol val="none"/>
          </c:marker>
          <c:xVal>
            <c:numRef>
              <c:f>'Gravel - Best Fit'!$H$2:$H$20</c:f>
              <c:numCache>
                <c:formatCode>General</c:formatCode>
                <c:ptCount val="19"/>
                <c:pt idx="0">
                  <c:v>0</c:v>
                </c:pt>
                <c:pt idx="1">
                  <c:v>3.0000000000000001E-3</c:v>
                </c:pt>
                <c:pt idx="2">
                  <c:v>1.9E-2</c:v>
                </c:pt>
                <c:pt idx="3">
                  <c:v>5.3999999999999999E-2</c:v>
                </c:pt>
                <c:pt idx="4">
                  <c:v>0.113</c:v>
                </c:pt>
                <c:pt idx="5">
                  <c:v>0.19500000000000001</c:v>
                </c:pt>
                <c:pt idx="6">
                  <c:v>0.3</c:v>
                </c:pt>
                <c:pt idx="7">
                  <c:v>0.42799999999999999</c:v>
                </c:pt>
                <c:pt idx="8">
                  <c:v>0.57699999999999996</c:v>
                </c:pt>
                <c:pt idx="9">
                  <c:v>0.748</c:v>
                </c:pt>
                <c:pt idx="10">
                  <c:v>0.94</c:v>
                </c:pt>
                <c:pt idx="11">
                  <c:v>1.153</c:v>
                </c:pt>
                <c:pt idx="12">
                  <c:v>1.3859999999999999</c:v>
                </c:pt>
                <c:pt idx="13">
                  <c:v>1.639</c:v>
                </c:pt>
                <c:pt idx="14">
                  <c:v>1.913</c:v>
                </c:pt>
                <c:pt idx="15">
                  <c:v>2.206</c:v>
                </c:pt>
                <c:pt idx="16">
                  <c:v>2.5190000000000001</c:v>
                </c:pt>
                <c:pt idx="17">
                  <c:v>2.8519999999999999</c:v>
                </c:pt>
                <c:pt idx="18">
                  <c:v>3.2010000000000001</c:v>
                </c:pt>
              </c:numCache>
            </c:numRef>
          </c:xVal>
          <c:yVal>
            <c:numRef>
              <c:f>'Gravel - Best Fit'!$G$2:$G$20</c:f>
              <c:numCache>
                <c:formatCode>General</c:formatCode>
                <c:ptCount val="19"/>
                <c:pt idx="0">
                  <c:v>0</c:v>
                </c:pt>
                <c:pt idx="1">
                  <c:v>0.28999999999999998</c:v>
                </c:pt>
                <c:pt idx="2">
                  <c:v>3.01</c:v>
                </c:pt>
                <c:pt idx="3">
                  <c:v>12.7</c:v>
                </c:pt>
                <c:pt idx="4">
                  <c:v>32.659999999999997</c:v>
                </c:pt>
                <c:pt idx="5">
                  <c:v>61.82</c:v>
                </c:pt>
                <c:pt idx="6">
                  <c:v>96.2</c:v>
                </c:pt>
                <c:pt idx="7">
                  <c:v>131.85</c:v>
                </c:pt>
                <c:pt idx="8">
                  <c:v>166.02</c:v>
                </c:pt>
                <c:pt idx="9">
                  <c:v>197.13</c:v>
                </c:pt>
                <c:pt idx="10">
                  <c:v>224.95</c:v>
                </c:pt>
                <c:pt idx="11">
                  <c:v>249.16</c:v>
                </c:pt>
                <c:pt idx="12">
                  <c:v>269.95</c:v>
                </c:pt>
                <c:pt idx="13">
                  <c:v>288.2</c:v>
                </c:pt>
                <c:pt idx="14">
                  <c:v>303.61</c:v>
                </c:pt>
                <c:pt idx="15">
                  <c:v>317.33</c:v>
                </c:pt>
                <c:pt idx="16">
                  <c:v>328.96</c:v>
                </c:pt>
                <c:pt idx="17">
                  <c:v>339.23</c:v>
                </c:pt>
                <c:pt idx="18">
                  <c:v>346.21</c:v>
                </c:pt>
              </c:numCache>
            </c:numRef>
          </c:yVal>
          <c:smooth val="1"/>
        </c:ser>
        <c:ser>
          <c:idx val="11"/>
          <c:order val="14"/>
          <c:spPr>
            <a:ln w="12700">
              <a:solidFill>
                <a:schemeClr val="tx1"/>
              </a:solidFill>
            </a:ln>
          </c:spPr>
          <c:marker>
            <c:symbol val="none"/>
          </c:marker>
          <c:xVal>
            <c:numRef>
              <c:f>[1]Summary!$W$6:$W$7</c:f>
              <c:numCache>
                <c:formatCode>General</c:formatCode>
                <c:ptCount val="2"/>
                <c:pt idx="0">
                  <c:v>3.3600000000000003</c:v>
                </c:pt>
                <c:pt idx="1">
                  <c:v>3.3600000000000003</c:v>
                </c:pt>
              </c:numCache>
            </c:numRef>
          </c:xVal>
          <c:yVal>
            <c:numRef>
              <c:f>[1]Summary!$O$6:$O$7</c:f>
              <c:numCache>
                <c:formatCode>General</c:formatCode>
                <c:ptCount val="2"/>
                <c:pt idx="0">
                  <c:v>620</c:v>
                </c:pt>
                <c:pt idx="1">
                  <c:v>700</c:v>
                </c:pt>
              </c:numCache>
            </c:numRef>
          </c:yVal>
          <c:smooth val="1"/>
        </c:ser>
        <c:ser>
          <c:idx val="12"/>
          <c:order val="15"/>
          <c:spPr>
            <a:ln w="12700">
              <a:solidFill>
                <a:schemeClr val="tx1"/>
              </a:solidFill>
            </a:ln>
          </c:spPr>
          <c:marker>
            <c:symbol val="none"/>
          </c:marker>
          <c:xVal>
            <c:numRef>
              <c:f>[1]Summary!$X$6:$X$7</c:f>
              <c:numCache>
                <c:formatCode>General</c:formatCode>
                <c:ptCount val="2"/>
                <c:pt idx="0">
                  <c:v>3.7800000000000002</c:v>
                </c:pt>
                <c:pt idx="1">
                  <c:v>3.7800000000000002</c:v>
                </c:pt>
              </c:numCache>
            </c:numRef>
          </c:xVal>
          <c:yVal>
            <c:numRef>
              <c:f>[1]Summary!$O$6:$O$7</c:f>
              <c:numCache>
                <c:formatCode>General</c:formatCode>
                <c:ptCount val="2"/>
                <c:pt idx="0">
                  <c:v>620</c:v>
                </c:pt>
                <c:pt idx="1">
                  <c:v>700</c:v>
                </c:pt>
              </c:numCache>
            </c:numRef>
          </c:yVal>
          <c:smooth val="1"/>
        </c:ser>
        <c:dLbls>
          <c:showLegendKey val="0"/>
          <c:showVal val="0"/>
          <c:showCatName val="0"/>
          <c:showSerName val="0"/>
          <c:showPercent val="0"/>
          <c:showBubbleSize val="0"/>
        </c:dLbls>
        <c:axId val="92138112"/>
        <c:axId val="92140288"/>
      </c:scatterChart>
      <c:scatterChart>
        <c:scatterStyle val="smoothMarker"/>
        <c:varyColors val="0"/>
        <c:ser>
          <c:idx val="0"/>
          <c:order val="0"/>
          <c:tx>
            <c:v>Secondary Axis</c:v>
          </c:tx>
          <c:spPr>
            <a:ln>
              <a:noFill/>
            </a:ln>
          </c:spPr>
          <c:marker>
            <c:symbol val="none"/>
          </c:marker>
          <c:xVal>
            <c:numLit>
              <c:formatCode>General</c:formatCode>
              <c:ptCount val="1"/>
              <c:pt idx="0">
                <c:v>1</c:v>
              </c:pt>
            </c:numLit>
          </c:xVal>
          <c:yVal>
            <c:numLit>
              <c:formatCode>General</c:formatCode>
              <c:ptCount val="1"/>
              <c:pt idx="0">
                <c:v>1</c:v>
              </c:pt>
            </c:numLit>
          </c:yVal>
          <c:smooth val="1"/>
        </c:ser>
        <c:ser>
          <c:idx val="15"/>
          <c:order val="10"/>
          <c:tx>
            <c:v>Secondary Axis</c:v>
          </c:tx>
          <c:spPr>
            <a:ln>
              <a:noFill/>
            </a:ln>
          </c:spPr>
          <c:marker>
            <c:symbol val="none"/>
          </c:marker>
          <c:xVal>
            <c:numLit>
              <c:formatCode>General</c:formatCode>
              <c:ptCount val="1"/>
              <c:pt idx="0">
                <c:v>1</c:v>
              </c:pt>
            </c:numLit>
          </c:xVal>
          <c:yVal>
            <c:numLit>
              <c:formatCode>General</c:formatCode>
              <c:ptCount val="1"/>
              <c:pt idx="0">
                <c:v>1</c:v>
              </c:pt>
            </c:numLit>
          </c:yVal>
          <c:smooth val="1"/>
        </c:ser>
        <c:dLbls>
          <c:showLegendKey val="0"/>
          <c:showVal val="0"/>
          <c:showCatName val="0"/>
          <c:showSerName val="0"/>
          <c:showPercent val="0"/>
          <c:showBubbleSize val="0"/>
        </c:dLbls>
        <c:axId val="92148480"/>
        <c:axId val="92142208"/>
      </c:scatterChart>
      <c:valAx>
        <c:axId val="92138112"/>
        <c:scaling>
          <c:orientation val="minMax"/>
        </c:scaling>
        <c:delete val="0"/>
        <c:axPos val="b"/>
        <c:majorGridlines>
          <c:spPr>
            <a:ln w="12700">
              <a:solidFill>
                <a:schemeClr val="bg1">
                  <a:lumMod val="50000"/>
                </a:schemeClr>
              </a:solidFill>
              <a:prstDash val="dash"/>
            </a:ln>
          </c:spPr>
        </c:majorGridlines>
        <c:title>
          <c:tx>
            <c:rich>
              <a:bodyPr/>
              <a:lstStyle/>
              <a:p>
                <a:pPr>
                  <a:defRPr b="1"/>
                </a:pPr>
                <a:r>
                  <a:rPr lang="en-US" b="1"/>
                  <a:t>Pile Cap Displacement [in]</a:t>
                </a:r>
              </a:p>
            </c:rich>
          </c:tx>
          <c:layout>
            <c:manualLayout>
              <c:xMode val="edge"/>
              <c:yMode val="edge"/>
              <c:x val="0.38524823557953047"/>
              <c:y val="0.94950916331996249"/>
            </c:manualLayout>
          </c:layout>
          <c:overlay val="0"/>
        </c:title>
        <c:numFmt formatCode="General" sourceLinked="0"/>
        <c:majorTickMark val="cross"/>
        <c:minorTickMark val="in"/>
        <c:tickLblPos val="nextTo"/>
        <c:spPr>
          <a:ln>
            <a:solidFill>
              <a:schemeClr val="tx1"/>
            </a:solidFill>
          </a:ln>
        </c:spPr>
        <c:crossAx val="92140288"/>
        <c:crosses val="autoZero"/>
        <c:crossBetween val="midCat"/>
      </c:valAx>
      <c:valAx>
        <c:axId val="92140288"/>
        <c:scaling>
          <c:orientation val="minMax"/>
          <c:max val="700"/>
          <c:min val="0"/>
        </c:scaling>
        <c:delete val="0"/>
        <c:axPos val="l"/>
        <c:majorGridlines>
          <c:spPr>
            <a:ln w="12700">
              <a:solidFill>
                <a:schemeClr val="bg1">
                  <a:lumMod val="50000"/>
                </a:schemeClr>
              </a:solidFill>
              <a:prstDash val="dash"/>
            </a:ln>
          </c:spPr>
        </c:majorGridlines>
        <c:title>
          <c:tx>
            <c:rich>
              <a:bodyPr rot="-5400000" vert="horz"/>
              <a:lstStyle/>
              <a:p>
                <a:pPr>
                  <a:defRPr b="1"/>
                </a:pPr>
                <a:r>
                  <a:rPr lang="en-US" b="1"/>
                  <a:t>Passive Force [kip]</a:t>
                </a:r>
              </a:p>
            </c:rich>
          </c:tx>
          <c:layout>
            <c:manualLayout>
              <c:xMode val="edge"/>
              <c:yMode val="edge"/>
              <c:x val="1.4740159414719084E-3"/>
              <c:y val="0.34900979877515309"/>
            </c:manualLayout>
          </c:layout>
          <c:overlay val="0"/>
        </c:title>
        <c:numFmt formatCode="General" sourceLinked="1"/>
        <c:majorTickMark val="cross"/>
        <c:minorTickMark val="in"/>
        <c:tickLblPos val="nextTo"/>
        <c:spPr>
          <a:ln>
            <a:solidFill>
              <a:schemeClr val="tx1"/>
            </a:solidFill>
          </a:ln>
        </c:spPr>
        <c:crossAx val="92138112"/>
        <c:crosses val="autoZero"/>
        <c:crossBetween val="midCat"/>
        <c:minorUnit val="25"/>
      </c:valAx>
      <c:valAx>
        <c:axId val="92142208"/>
        <c:scaling>
          <c:orientation val="minMax"/>
          <c:max val="3114"/>
          <c:min val="0"/>
        </c:scaling>
        <c:delete val="0"/>
        <c:axPos val="r"/>
        <c:title>
          <c:tx>
            <c:rich>
              <a:bodyPr rot="-5400000" vert="horz"/>
              <a:lstStyle/>
              <a:p>
                <a:pPr>
                  <a:defRPr b="1">
                    <a:solidFill>
                      <a:sysClr val="windowText" lastClr="000000"/>
                    </a:solidFill>
                  </a:defRPr>
                </a:pPr>
                <a:r>
                  <a:rPr lang="en-US" b="1">
                    <a:solidFill>
                      <a:sysClr val="windowText" lastClr="000000"/>
                    </a:solidFill>
                  </a:rPr>
                  <a:t>Passive Force [kN]</a:t>
                </a:r>
              </a:p>
            </c:rich>
          </c:tx>
          <c:layout>
            <c:manualLayout>
              <c:xMode val="edge"/>
              <c:yMode val="edge"/>
              <c:x val="0.97229994217668281"/>
              <c:y val="0.3578795608295442"/>
            </c:manualLayout>
          </c:layout>
          <c:overlay val="0"/>
        </c:title>
        <c:numFmt formatCode="General" sourceLinked="1"/>
        <c:majorTickMark val="cross"/>
        <c:minorTickMark val="in"/>
        <c:tickLblPos val="nextTo"/>
        <c:spPr>
          <a:ln>
            <a:solidFill>
              <a:schemeClr val="tx1"/>
            </a:solidFill>
          </a:ln>
        </c:spPr>
        <c:crossAx val="92148480"/>
        <c:crosses val="max"/>
        <c:crossBetween val="midCat"/>
      </c:valAx>
      <c:valAx>
        <c:axId val="92148480"/>
        <c:scaling>
          <c:orientation val="minMax"/>
          <c:max val="11.43"/>
          <c:min val="0"/>
        </c:scaling>
        <c:delete val="0"/>
        <c:axPos val="t"/>
        <c:title>
          <c:tx>
            <c:rich>
              <a:bodyPr/>
              <a:lstStyle/>
              <a:p>
                <a:pPr>
                  <a:defRPr b="1">
                    <a:solidFill>
                      <a:sysClr val="windowText" lastClr="000000"/>
                    </a:solidFill>
                  </a:defRPr>
                </a:pPr>
                <a:r>
                  <a:rPr lang="en-US" b="1">
                    <a:solidFill>
                      <a:sysClr val="windowText" lastClr="000000"/>
                    </a:solidFill>
                  </a:rPr>
                  <a:t>Pile Cap Displacement [cm]</a:t>
                </a:r>
              </a:p>
            </c:rich>
          </c:tx>
          <c:layout>
            <c:manualLayout>
              <c:xMode val="edge"/>
              <c:yMode val="edge"/>
              <c:x val="0.37346560992745442"/>
              <c:y val="2.209371715859461E-3"/>
            </c:manualLayout>
          </c:layout>
          <c:overlay val="0"/>
        </c:title>
        <c:numFmt formatCode="General" sourceLinked="0"/>
        <c:majorTickMark val="cross"/>
        <c:minorTickMark val="in"/>
        <c:tickLblPos val="nextTo"/>
        <c:spPr>
          <a:ln>
            <a:solidFill>
              <a:schemeClr val="tx1"/>
            </a:solidFill>
          </a:ln>
        </c:spPr>
        <c:crossAx val="92142208"/>
        <c:crosses val="max"/>
        <c:crossBetween val="midCat"/>
      </c:valAx>
      <c:spPr>
        <a:ln w="12700">
          <a:solidFill>
            <a:schemeClr val="tx1"/>
          </a:solidFill>
        </a:ln>
      </c:spPr>
    </c:plotArea>
    <c:legend>
      <c:legendPos val="r"/>
      <c:legendEntry>
        <c:idx val="0"/>
        <c:delete val="1"/>
      </c:legendEntry>
      <c:legendEntry>
        <c:idx val="1"/>
        <c:delete val="1"/>
      </c:legendEntry>
      <c:legendEntry>
        <c:idx val="2"/>
        <c:delete val="1"/>
      </c:legendEntry>
      <c:legendEntry>
        <c:idx val="3"/>
        <c:delete val="1"/>
      </c:legendEntry>
      <c:legendEntry>
        <c:idx val="4"/>
        <c:delete val="1"/>
      </c:legendEntry>
      <c:legendEntry>
        <c:idx val="8"/>
        <c:delete val="1"/>
      </c:legendEntry>
      <c:legendEntry>
        <c:idx val="9"/>
        <c:delete val="1"/>
      </c:legendEntry>
      <c:legendEntry>
        <c:idx val="10"/>
        <c:delete val="1"/>
      </c:legendEntry>
      <c:legendEntry>
        <c:idx val="12"/>
        <c:delete val="1"/>
      </c:legendEntry>
      <c:legendEntry>
        <c:idx val="13"/>
        <c:delete val="1"/>
      </c:legendEntry>
      <c:legendEntry>
        <c:idx val="14"/>
        <c:delete val="1"/>
      </c:legendEntry>
      <c:legendEntry>
        <c:idx val="15"/>
        <c:delete val="1"/>
      </c:legendEntry>
      <c:layout>
        <c:manualLayout>
          <c:xMode val="edge"/>
          <c:yMode val="edge"/>
          <c:x val="0.13251699306817416"/>
          <c:y val="0.26808359692217959"/>
          <c:w val="0.28886709922948883"/>
          <c:h val="0.22600219844314332"/>
        </c:manualLayout>
      </c:layout>
      <c:overlay val="0"/>
      <c:spPr>
        <a:solidFill>
          <a:schemeClr val="bg1"/>
        </a:solidFill>
        <a:ln w="12700">
          <a:solidFill>
            <a:schemeClr val="tx1"/>
          </a:solidFill>
        </a:ln>
      </c:spPr>
      <c:txPr>
        <a:bodyPr/>
        <a:lstStyle/>
        <a:p>
          <a:pPr>
            <a:defRPr sz="900"/>
          </a:pPr>
          <a:endParaRPr lang="en-US"/>
        </a:p>
      </c:txPr>
    </c:legend>
    <c:plotVisOnly val="1"/>
    <c:dispBlanksAs val="gap"/>
    <c:showDLblsOverMax val="0"/>
  </c:chart>
  <c:spPr>
    <a:ln>
      <a:no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47116225856386E-2"/>
          <c:y val="0.12113786257487046"/>
          <c:w val="0.80749512080220742"/>
          <c:h val="0.75558555981784326"/>
        </c:manualLayout>
      </c:layout>
      <c:scatterChart>
        <c:scatterStyle val="smoothMarker"/>
        <c:varyColors val="0"/>
        <c:ser>
          <c:idx val="1"/>
          <c:order val="0"/>
          <c:spPr>
            <a:ln w="12700">
              <a:solidFill>
                <a:schemeClr val="tx1"/>
              </a:solidFill>
            </a:ln>
          </c:spPr>
          <c:marker>
            <c:symbol val="none"/>
          </c:marker>
          <c:xVal>
            <c:numRef>
              <c:f>[5]Summary!$P$6:$P$7</c:f>
              <c:numCache>
                <c:formatCode>General</c:formatCode>
                <c:ptCount val="2"/>
                <c:pt idx="0">
                  <c:v>0.42000000000000004</c:v>
                </c:pt>
                <c:pt idx="1">
                  <c:v>0.42000000000000004</c:v>
                </c:pt>
              </c:numCache>
            </c:numRef>
          </c:xVal>
          <c:yVal>
            <c:numRef>
              <c:f>[5]Summary!$O$6:$O$7</c:f>
              <c:numCache>
                <c:formatCode>General</c:formatCode>
                <c:ptCount val="2"/>
                <c:pt idx="0">
                  <c:v>620</c:v>
                </c:pt>
                <c:pt idx="1">
                  <c:v>700</c:v>
                </c:pt>
              </c:numCache>
            </c:numRef>
          </c:yVal>
          <c:smooth val="1"/>
        </c:ser>
        <c:ser>
          <c:idx val="3"/>
          <c:order val="1"/>
          <c:spPr>
            <a:ln w="12700">
              <a:solidFill>
                <a:schemeClr val="tx1"/>
              </a:solidFill>
            </a:ln>
          </c:spPr>
          <c:marker>
            <c:symbol val="none"/>
          </c:marker>
          <c:xVal>
            <c:numRef>
              <c:f>[5]Summary!$Q$6:$Q$7</c:f>
              <c:numCache>
                <c:formatCode>General</c:formatCode>
                <c:ptCount val="2"/>
                <c:pt idx="0">
                  <c:v>0.84000000000000008</c:v>
                </c:pt>
                <c:pt idx="1">
                  <c:v>0.84000000000000008</c:v>
                </c:pt>
              </c:numCache>
            </c:numRef>
          </c:xVal>
          <c:yVal>
            <c:numRef>
              <c:f>[5]Summary!$O$6:$O$7</c:f>
              <c:numCache>
                <c:formatCode>General</c:formatCode>
                <c:ptCount val="2"/>
                <c:pt idx="0">
                  <c:v>620</c:v>
                </c:pt>
                <c:pt idx="1">
                  <c:v>700</c:v>
                </c:pt>
              </c:numCache>
            </c:numRef>
          </c:yVal>
          <c:smooth val="1"/>
        </c:ser>
        <c:ser>
          <c:idx val="4"/>
          <c:order val="2"/>
          <c:spPr>
            <a:ln w="12700">
              <a:solidFill>
                <a:schemeClr val="tx1"/>
              </a:solidFill>
            </a:ln>
          </c:spPr>
          <c:marker>
            <c:symbol val="none"/>
          </c:marker>
          <c:xVal>
            <c:numRef>
              <c:f>[5]Summary!$R$6:$R$7</c:f>
              <c:numCache>
                <c:formatCode>General</c:formatCode>
                <c:ptCount val="2"/>
                <c:pt idx="0">
                  <c:v>1.26</c:v>
                </c:pt>
                <c:pt idx="1">
                  <c:v>1.26</c:v>
                </c:pt>
              </c:numCache>
            </c:numRef>
          </c:xVal>
          <c:yVal>
            <c:numRef>
              <c:f>[5]Summary!$O$6:$O$7</c:f>
              <c:numCache>
                <c:formatCode>General</c:formatCode>
                <c:ptCount val="2"/>
                <c:pt idx="0">
                  <c:v>620</c:v>
                </c:pt>
                <c:pt idx="1">
                  <c:v>700</c:v>
                </c:pt>
              </c:numCache>
            </c:numRef>
          </c:yVal>
          <c:smooth val="1"/>
        </c:ser>
        <c:ser>
          <c:idx val="5"/>
          <c:order val="3"/>
          <c:spPr>
            <a:ln w="12700">
              <a:solidFill>
                <a:schemeClr val="tx1"/>
              </a:solidFill>
            </a:ln>
          </c:spPr>
          <c:marker>
            <c:symbol val="none"/>
          </c:marker>
          <c:xVal>
            <c:numRef>
              <c:f>[5]Summary!$S$6:$S$7</c:f>
              <c:numCache>
                <c:formatCode>General</c:formatCode>
                <c:ptCount val="2"/>
                <c:pt idx="0">
                  <c:v>1.6800000000000002</c:v>
                </c:pt>
                <c:pt idx="1">
                  <c:v>1.6800000000000002</c:v>
                </c:pt>
              </c:numCache>
            </c:numRef>
          </c:xVal>
          <c:yVal>
            <c:numRef>
              <c:f>[5]Summary!$O$6:$O$7</c:f>
              <c:numCache>
                <c:formatCode>General</c:formatCode>
                <c:ptCount val="2"/>
                <c:pt idx="0">
                  <c:v>620</c:v>
                </c:pt>
                <c:pt idx="1">
                  <c:v>700</c:v>
                </c:pt>
              </c:numCache>
            </c:numRef>
          </c:yVal>
          <c:smooth val="1"/>
        </c:ser>
        <c:ser>
          <c:idx val="6"/>
          <c:order val="4"/>
          <c:spPr>
            <a:ln w="12700">
              <a:solidFill>
                <a:schemeClr val="tx1"/>
              </a:solidFill>
            </a:ln>
          </c:spPr>
          <c:marker>
            <c:symbol val="none"/>
          </c:marker>
          <c:xVal>
            <c:numRef>
              <c:f>[5]Summary!$T$6:$T$7</c:f>
              <c:numCache>
                <c:formatCode>General</c:formatCode>
                <c:ptCount val="2"/>
                <c:pt idx="0">
                  <c:v>2.1</c:v>
                </c:pt>
                <c:pt idx="1">
                  <c:v>2.1</c:v>
                </c:pt>
              </c:numCache>
            </c:numRef>
          </c:xVal>
          <c:yVal>
            <c:numRef>
              <c:f>[5]Summary!$O$6:$O$7</c:f>
              <c:numCache>
                <c:formatCode>General</c:formatCode>
                <c:ptCount val="2"/>
                <c:pt idx="0">
                  <c:v>620</c:v>
                </c:pt>
                <c:pt idx="1">
                  <c:v>700</c:v>
                </c:pt>
              </c:numCache>
            </c:numRef>
          </c:yVal>
          <c:smooth val="1"/>
        </c:ser>
        <c:ser>
          <c:idx val="8"/>
          <c:order val="5"/>
          <c:tx>
            <c:v>0° GRS 3.5 ft</c:v>
          </c:tx>
          <c:spPr>
            <a:ln w="28575">
              <a:solidFill>
                <a:schemeClr val="accent1">
                  <a:lumMod val="60000"/>
                  <a:lumOff val="40000"/>
                </a:schemeClr>
              </a:solidFill>
            </a:ln>
          </c:spPr>
          <c:marker>
            <c:symbol val="circle"/>
            <c:size val="6"/>
            <c:spPr>
              <a:solidFill>
                <a:schemeClr val="accent1"/>
              </a:solidFill>
              <a:ln>
                <a:solidFill>
                  <a:schemeClr val="accent1"/>
                </a:solidFill>
              </a:ln>
            </c:spPr>
          </c:marker>
          <c:xVal>
            <c:numRef>
              <c:f>[4]PYCAP!$P$61:$P$73</c:f>
              <c:numCache>
                <c:formatCode>0.00</c:formatCode>
                <c:ptCount val="13"/>
                <c:pt idx="0">
                  <c:v>0</c:v>
                </c:pt>
                <c:pt idx="1">
                  <c:v>0.23880972000000167</c:v>
                </c:pt>
                <c:pt idx="2">
                  <c:v>0.5309421700000021</c:v>
                </c:pt>
                <c:pt idx="3">
                  <c:v>0.78870392000000189</c:v>
                </c:pt>
                <c:pt idx="4">
                  <c:v>1.0376656700000018</c:v>
                </c:pt>
                <c:pt idx="5">
                  <c:v>1.2656369200000017</c:v>
                </c:pt>
                <c:pt idx="6">
                  <c:v>1.4878594200000017</c:v>
                </c:pt>
                <c:pt idx="7">
                  <c:v>1.7329271700000022</c:v>
                </c:pt>
                <c:pt idx="8">
                  <c:v>1.9783301700000022</c:v>
                </c:pt>
                <c:pt idx="9">
                  <c:v>2.2481066700000016</c:v>
                </c:pt>
                <c:pt idx="10">
                  <c:v>2.5040064200000018</c:v>
                </c:pt>
                <c:pt idx="11">
                  <c:v>2.7602461700000016</c:v>
                </c:pt>
                <c:pt idx="12">
                  <c:v>3.0010824200000017</c:v>
                </c:pt>
              </c:numCache>
            </c:numRef>
          </c:xVal>
          <c:yVal>
            <c:numRef>
              <c:f>[4]PYCAP!$Q$61:$Q$73</c:f>
              <c:numCache>
                <c:formatCode>0</c:formatCode>
                <c:ptCount val="13"/>
                <c:pt idx="0">
                  <c:v>0</c:v>
                </c:pt>
                <c:pt idx="1">
                  <c:v>78.93085270461377</c:v>
                </c:pt>
                <c:pt idx="2">
                  <c:v>119.13297793259905</c:v>
                </c:pt>
                <c:pt idx="3">
                  <c:v>146.24724693381805</c:v>
                </c:pt>
                <c:pt idx="4">
                  <c:v>167.38253604117796</c:v>
                </c:pt>
                <c:pt idx="5">
                  <c:v>185.00345635659173</c:v>
                </c:pt>
                <c:pt idx="6">
                  <c:v>201.7893328177187</c:v>
                </c:pt>
                <c:pt idx="7">
                  <c:v>213.39978636552351</c:v>
                </c:pt>
                <c:pt idx="8">
                  <c:v>225.30925596500771</c:v>
                </c:pt>
                <c:pt idx="9">
                  <c:v>238.02002596829382</c:v>
                </c:pt>
                <c:pt idx="10">
                  <c:v>251.07607657094945</c:v>
                </c:pt>
                <c:pt idx="11">
                  <c:v>261.67614086086581</c:v>
                </c:pt>
                <c:pt idx="12">
                  <c:v>275.79362850532334</c:v>
                </c:pt>
              </c:numCache>
            </c:numRef>
          </c:yVal>
          <c:smooth val="1"/>
        </c:ser>
        <c:ser>
          <c:idx val="2"/>
          <c:order val="6"/>
          <c:tx>
            <c:v>30° GRS 3.5 ft</c:v>
          </c:tx>
          <c:spPr>
            <a:ln w="28575">
              <a:solidFill>
                <a:schemeClr val="accent1">
                  <a:lumMod val="60000"/>
                  <a:lumOff val="40000"/>
                </a:schemeClr>
              </a:solidFill>
            </a:ln>
          </c:spPr>
          <c:marker>
            <c:symbol val="triangle"/>
            <c:size val="6"/>
            <c:spPr>
              <a:solidFill>
                <a:schemeClr val="accent1"/>
              </a:solidFill>
              <a:ln>
                <a:solidFill>
                  <a:schemeClr val="accent1"/>
                </a:solidFill>
              </a:ln>
            </c:spPr>
          </c:marker>
          <c:xVal>
            <c:numRef>
              <c:f>[4]PYCAP!$V$61:$V$73</c:f>
              <c:numCache>
                <c:formatCode>0.00</c:formatCode>
                <c:ptCount val="13"/>
                <c:pt idx="0">
                  <c:v>0</c:v>
                </c:pt>
                <c:pt idx="1">
                  <c:v>0.28733344750000001</c:v>
                </c:pt>
                <c:pt idx="2">
                  <c:v>0.58063719749999976</c:v>
                </c:pt>
                <c:pt idx="3">
                  <c:v>0.83333019750000004</c:v>
                </c:pt>
                <c:pt idx="4">
                  <c:v>1.0274589475</c:v>
                </c:pt>
                <c:pt idx="5">
                  <c:v>1.2666041975</c:v>
                </c:pt>
                <c:pt idx="6">
                  <c:v>1.4942394475</c:v>
                </c:pt>
                <c:pt idx="7">
                  <c:v>1.7306766974999999</c:v>
                </c:pt>
                <c:pt idx="8">
                  <c:v>1.9882631974999998</c:v>
                </c:pt>
                <c:pt idx="9">
                  <c:v>2.2226676975000004</c:v>
                </c:pt>
                <c:pt idx="10">
                  <c:v>2.4970161975000003</c:v>
                </c:pt>
                <c:pt idx="11">
                  <c:v>2.7459764474999999</c:v>
                </c:pt>
                <c:pt idx="12">
                  <c:v>2.9988251974999995</c:v>
                </c:pt>
              </c:numCache>
            </c:numRef>
          </c:xVal>
          <c:yVal>
            <c:numRef>
              <c:f>[4]PYCAP!$W$61:$W$73</c:f>
              <c:numCache>
                <c:formatCode>0</c:formatCode>
                <c:ptCount val="13"/>
                <c:pt idx="0">
                  <c:v>0</c:v>
                </c:pt>
                <c:pt idx="1">
                  <c:v>56.661483305577164</c:v>
                </c:pt>
                <c:pt idx="2">
                  <c:v>74.491889646246051</c:v>
                </c:pt>
                <c:pt idx="3">
                  <c:v>91.117205307623095</c:v>
                </c:pt>
                <c:pt idx="4">
                  <c:v>102.28650087483848</c:v>
                </c:pt>
                <c:pt idx="5">
                  <c:v>117.24881443840454</c:v>
                </c:pt>
                <c:pt idx="6">
                  <c:v>126.91703746818034</c:v>
                </c:pt>
                <c:pt idx="7">
                  <c:v>137.88956236030651</c:v>
                </c:pt>
                <c:pt idx="8">
                  <c:v>148.19334573504335</c:v>
                </c:pt>
                <c:pt idx="9">
                  <c:v>155.282747379711</c:v>
                </c:pt>
                <c:pt idx="10">
                  <c:v>160.68502976049567</c:v>
                </c:pt>
                <c:pt idx="11" formatCode="0.00">
                  <c:v>165.95684424644733</c:v>
                </c:pt>
                <c:pt idx="12" formatCode="0.00">
                  <c:v>174.04994410197961</c:v>
                </c:pt>
              </c:numCache>
            </c:numRef>
          </c:yVal>
          <c:smooth val="1"/>
        </c:ser>
        <c:ser>
          <c:idx val="14"/>
          <c:order val="7"/>
          <c:tx>
            <c:v>PYCAP</c:v>
          </c:tx>
          <c:spPr>
            <a:ln w="19050">
              <a:solidFill>
                <a:srgbClr val="FF0000"/>
              </a:solidFill>
            </a:ln>
          </c:spPr>
          <c:marker>
            <c:symbol val="none"/>
          </c:marker>
          <c:xVal>
            <c:numRef>
              <c:f>[4]PYCAP!$S$61:$S$146</c:f>
              <c:numCache>
                <c:formatCode>0.00</c:formatCode>
                <c:ptCount val="86"/>
                <c:pt idx="0">
                  <c:v>0</c:v>
                </c:pt>
                <c:pt idx="1">
                  <c:v>0.01</c:v>
                </c:pt>
                <c:pt idx="2">
                  <c:v>0.03</c:v>
                </c:pt>
                <c:pt idx="3">
                  <c:v>0.05</c:v>
                </c:pt>
                <c:pt idx="4">
                  <c:v>0.1</c:v>
                </c:pt>
                <c:pt idx="5">
                  <c:v>0.15000000000000002</c:v>
                </c:pt>
                <c:pt idx="6">
                  <c:v>0.2</c:v>
                </c:pt>
                <c:pt idx="7">
                  <c:v>0.25</c:v>
                </c:pt>
                <c:pt idx="8">
                  <c:v>0.3</c:v>
                </c:pt>
                <c:pt idx="9">
                  <c:v>0.35</c:v>
                </c:pt>
                <c:pt idx="10">
                  <c:v>0.39999999999999997</c:v>
                </c:pt>
                <c:pt idx="11">
                  <c:v>0.44999999999999996</c:v>
                </c:pt>
                <c:pt idx="12">
                  <c:v>0.49999999999999994</c:v>
                </c:pt>
                <c:pt idx="13">
                  <c:v>0.54999999999999993</c:v>
                </c:pt>
                <c:pt idx="14">
                  <c:v>0.6</c:v>
                </c:pt>
                <c:pt idx="15">
                  <c:v>0.65</c:v>
                </c:pt>
                <c:pt idx="16">
                  <c:v>0.70000000000000007</c:v>
                </c:pt>
                <c:pt idx="17">
                  <c:v>0.75000000000000011</c:v>
                </c:pt>
                <c:pt idx="18">
                  <c:v>0.80000000000000016</c:v>
                </c:pt>
                <c:pt idx="19">
                  <c:v>0.8500000000000002</c:v>
                </c:pt>
                <c:pt idx="20">
                  <c:v>0.90000000000000024</c:v>
                </c:pt>
                <c:pt idx="21">
                  <c:v>0.95000000000000029</c:v>
                </c:pt>
                <c:pt idx="22">
                  <c:v>1.0000000000000002</c:v>
                </c:pt>
                <c:pt idx="23">
                  <c:v>1.0500000000000003</c:v>
                </c:pt>
                <c:pt idx="24">
                  <c:v>1.1000000000000003</c:v>
                </c:pt>
                <c:pt idx="25">
                  <c:v>1.1500000000000004</c:v>
                </c:pt>
                <c:pt idx="26">
                  <c:v>1.2000000000000004</c:v>
                </c:pt>
                <c:pt idx="27">
                  <c:v>1.2500000000000004</c:v>
                </c:pt>
                <c:pt idx="28">
                  <c:v>1.3000000000000005</c:v>
                </c:pt>
                <c:pt idx="29">
                  <c:v>1.3500000000000005</c:v>
                </c:pt>
                <c:pt idx="30">
                  <c:v>1.4000000000000006</c:v>
                </c:pt>
                <c:pt idx="31">
                  <c:v>1.4500000000000006</c:v>
                </c:pt>
                <c:pt idx="32">
                  <c:v>1.5000000000000007</c:v>
                </c:pt>
                <c:pt idx="33">
                  <c:v>1.5500000000000007</c:v>
                </c:pt>
                <c:pt idx="34">
                  <c:v>1.6000000000000008</c:v>
                </c:pt>
                <c:pt idx="35">
                  <c:v>1.6500000000000008</c:v>
                </c:pt>
                <c:pt idx="36">
                  <c:v>1.7000000000000008</c:v>
                </c:pt>
                <c:pt idx="37">
                  <c:v>1.7500000000000009</c:v>
                </c:pt>
                <c:pt idx="38">
                  <c:v>1.8000000000000009</c:v>
                </c:pt>
                <c:pt idx="39">
                  <c:v>1.850000000000001</c:v>
                </c:pt>
                <c:pt idx="40">
                  <c:v>1.900000000000001</c:v>
                </c:pt>
                <c:pt idx="41">
                  <c:v>1.9500000000000011</c:v>
                </c:pt>
                <c:pt idx="42">
                  <c:v>2.0000000000000009</c:v>
                </c:pt>
                <c:pt idx="43">
                  <c:v>2.0500000000000007</c:v>
                </c:pt>
                <c:pt idx="44">
                  <c:v>2.1000000000000005</c:v>
                </c:pt>
                <c:pt idx="45">
                  <c:v>2.1500000000000004</c:v>
                </c:pt>
                <c:pt idx="46">
                  <c:v>2.2000000000000002</c:v>
                </c:pt>
                <c:pt idx="47">
                  <c:v>2.25</c:v>
                </c:pt>
                <c:pt idx="48">
                  <c:v>2.2999999999999998</c:v>
                </c:pt>
                <c:pt idx="49">
                  <c:v>2.3499999999999996</c:v>
                </c:pt>
                <c:pt idx="50">
                  <c:v>2.3999999999999995</c:v>
                </c:pt>
                <c:pt idx="51">
                  <c:v>2.4499999999999993</c:v>
                </c:pt>
                <c:pt idx="52">
                  <c:v>2.4999999999999991</c:v>
                </c:pt>
                <c:pt idx="53">
                  <c:v>2.5499999999999989</c:v>
                </c:pt>
                <c:pt idx="54">
                  <c:v>2.5999999999999988</c:v>
                </c:pt>
                <c:pt idx="55">
                  <c:v>2.6499999999999986</c:v>
                </c:pt>
                <c:pt idx="56">
                  <c:v>2.6999999999999984</c:v>
                </c:pt>
                <c:pt idx="57">
                  <c:v>2.7499999999999982</c:v>
                </c:pt>
                <c:pt idx="58">
                  <c:v>2.799999999999998</c:v>
                </c:pt>
                <c:pt idx="59">
                  <c:v>2.8499999999999979</c:v>
                </c:pt>
                <c:pt idx="60">
                  <c:v>2.8999999999999977</c:v>
                </c:pt>
                <c:pt idx="61">
                  <c:v>2.9499999999999975</c:v>
                </c:pt>
                <c:pt idx="62">
                  <c:v>2.9999999999999973</c:v>
                </c:pt>
                <c:pt idx="63">
                  <c:v>3.0499999999999972</c:v>
                </c:pt>
                <c:pt idx="64">
                  <c:v>3.099999999999997</c:v>
                </c:pt>
                <c:pt idx="65">
                  <c:v>3.1499999999999968</c:v>
                </c:pt>
                <c:pt idx="66">
                  <c:v>3.1999999999999966</c:v>
                </c:pt>
                <c:pt idx="67">
                  <c:v>3.2499999999999964</c:v>
                </c:pt>
                <c:pt idx="68">
                  <c:v>3.2999999999999963</c:v>
                </c:pt>
                <c:pt idx="69">
                  <c:v>3.3499999999999961</c:v>
                </c:pt>
                <c:pt idx="70">
                  <c:v>3.3999999999999959</c:v>
                </c:pt>
                <c:pt idx="71">
                  <c:v>3.4499999999999957</c:v>
                </c:pt>
                <c:pt idx="72">
                  <c:v>3.4999999999999956</c:v>
                </c:pt>
                <c:pt idx="73">
                  <c:v>3.5499999999999954</c:v>
                </c:pt>
                <c:pt idx="74">
                  <c:v>3.5999999999999952</c:v>
                </c:pt>
                <c:pt idx="75">
                  <c:v>3.649999999999995</c:v>
                </c:pt>
                <c:pt idx="76">
                  <c:v>3.6999999999999948</c:v>
                </c:pt>
                <c:pt idx="77">
                  <c:v>3.7499999999999947</c:v>
                </c:pt>
                <c:pt idx="78">
                  <c:v>3.7999999999999945</c:v>
                </c:pt>
                <c:pt idx="79">
                  <c:v>3.8499999999999943</c:v>
                </c:pt>
                <c:pt idx="80">
                  <c:v>3.8999999999999941</c:v>
                </c:pt>
                <c:pt idx="81">
                  <c:v>3.949999999999994</c:v>
                </c:pt>
                <c:pt idx="82">
                  <c:v>3.9999999999999938</c:v>
                </c:pt>
                <c:pt idx="83">
                  <c:v>4.0499999999999936</c:v>
                </c:pt>
                <c:pt idx="84">
                  <c:v>4.0999999999999934</c:v>
                </c:pt>
                <c:pt idx="85">
                  <c:v>4.1499999999999932</c:v>
                </c:pt>
              </c:numCache>
            </c:numRef>
          </c:xVal>
          <c:yVal>
            <c:numRef>
              <c:f>[4]PYCAP!$T$61:$T$146</c:f>
              <c:numCache>
                <c:formatCode>0</c:formatCode>
                <c:ptCount val="86"/>
                <c:pt idx="0">
                  <c:v>0</c:v>
                </c:pt>
                <c:pt idx="1">
                  <c:v>2.6896719866603624</c:v>
                </c:pt>
                <c:pt idx="2">
                  <c:v>7.9655018371122468</c:v>
                </c:pt>
                <c:pt idx="3">
                  <c:v>13.107683259515928</c:v>
                </c:pt>
                <c:pt idx="4">
                  <c:v>25.410729121018552</c:v>
                </c:pt>
                <c:pt idx="5">
                  <c:v>36.981022253096668</c:v>
                </c:pt>
                <c:pt idx="6">
                  <c:v>47.882132235273183</c:v>
                </c:pt>
                <c:pt idx="7">
                  <c:v>58.170482052625111</c:v>
                </c:pt>
                <c:pt idx="8">
                  <c:v>67.896324930999441</c:v>
                </c:pt>
                <c:pt idx="9">
                  <c:v>77.104565212755759</c:v>
                </c:pt>
                <c:pt idx="10">
                  <c:v>85.83545157024804</c:v>
                </c:pt>
                <c:pt idx="11">
                  <c:v>94.125165134811638</c:v>
                </c:pt>
                <c:pt idx="12">
                  <c:v>102.0063206680456</c:v>
                </c:pt>
                <c:pt idx="13">
                  <c:v>109.50839541461211</c:v>
                </c:pt>
                <c:pt idx="14">
                  <c:v>116.65809752535613</c:v>
                </c:pt>
                <c:pt idx="15">
                  <c:v>123.47968375713323</c:v>
                </c:pt>
                <c:pt idx="16">
                  <c:v>129.99523441390969</c:v>
                </c:pt>
                <c:pt idx="17">
                  <c:v>136.22489209580453</c:v>
                </c:pt>
                <c:pt idx="18">
                  <c:v>142.18706969494258</c:v>
                </c:pt>
                <c:pt idx="19">
                  <c:v>147.89863216251419</c:v>
                </c:pt>
                <c:pt idx="20">
                  <c:v>153.37505582637925</c:v>
                </c:pt>
                <c:pt idx="21">
                  <c:v>158.63056842874207</c:v>
                </c:pt>
                <c:pt idx="22">
                  <c:v>163.67827255211625</c:v>
                </c:pt>
                <c:pt idx="23">
                  <c:v>168.53025468796548</c:v>
                </c:pt>
                <c:pt idx="24">
                  <c:v>173.19768185940444</c:v>
                </c:pt>
                <c:pt idx="25">
                  <c:v>177.69088742395869</c:v>
                </c:pt>
                <c:pt idx="26">
                  <c:v>182.01944744405506</c:v>
                </c:pt>
                <c:pt idx="27">
                  <c:v>186.19224881317814</c:v>
                </c:pt>
                <c:pt idx="28">
                  <c:v>190.21755015766448</c:v>
                </c:pt>
                <c:pt idx="29">
                  <c:v>194.10303639239447</c:v>
                </c:pt>
                <c:pt idx="30">
                  <c:v>197.8558676887036</c:v>
                </c:pt>
                <c:pt idx="31">
                  <c:v>201.48272351101224</c:v>
                </c:pt>
                <c:pt idx="32">
                  <c:v>204.98984229197839</c:v>
                </c:pt>
                <c:pt idx="33">
                  <c:v>208.38305724195453</c:v>
                </c:pt>
                <c:pt idx="34">
                  <c:v>211.66782872515023</c:v>
                </c:pt>
                <c:pt idx="35">
                  <c:v>214.84927358049566</c:v>
                </c:pt>
                <c:pt idx="36">
                  <c:v>217.93219171837677</c:v>
                </c:pt>
                <c:pt idx="37">
                  <c:v>220.92109028401262</c:v>
                </c:pt>
                <c:pt idx="38">
                  <c:v>223.82020564330998</c:v>
                </c:pt>
                <c:pt idx="39">
                  <c:v>226.6335234167428</c:v>
                </c:pt>
                <c:pt idx="40">
                  <c:v>229.36479676049555</c:v>
                </c:pt>
                <c:pt idx="41">
                  <c:v>232.01756307120073</c:v>
                </c:pt>
                <c:pt idx="42">
                  <c:v>234.59515927061472</c:v>
                </c:pt>
                <c:pt idx="43">
                  <c:v>237.10073580910372</c:v>
                </c:pt>
                <c:pt idx="44">
                  <c:v>239.53726951150315</c:v>
                </c:pt>
                <c:pt idx="45">
                  <c:v>241.90757537548052</c:v>
                </c:pt>
                <c:pt idx="46">
                  <c:v>244.2143174207184</c:v>
                </c:pt>
                <c:pt idx="47">
                  <c:v>246.46001867682733</c:v>
                </c:pt>
                <c:pt idx="48">
                  <c:v>248.64707038871458</c:v>
                </c:pt>
                <c:pt idx="49">
                  <c:v>250.77774051001774</c:v>
                </c:pt>
                <c:pt idx="50">
                  <c:v>252.85418154802187</c:v>
                </c:pt>
                <c:pt idx="51">
                  <c:v>254.878437817106</c:v>
                </c:pt>
                <c:pt idx="52">
                  <c:v>256.85245215209846</c:v>
                </c:pt>
                <c:pt idx="53">
                  <c:v>258.77807212788446</c:v>
                </c:pt>
                <c:pt idx="54">
                  <c:v>260.65705582711888</c:v>
                </c:pt>
                <c:pt idx="55">
                  <c:v>262.49107719389076</c:v>
                </c:pt>
                <c:pt idx="56">
                  <c:v>264.28173100760711</c:v>
                </c:pt>
                <c:pt idx="57">
                  <c:v>266.03053750816019</c:v>
                </c:pt>
                <c:pt idx="58">
                  <c:v>267.73894670057132</c:v>
                </c:pt>
                <c:pt idx="59">
                  <c:v>269.40834236473017</c:v>
                </c:pt>
                <c:pt idx="60">
                  <c:v>271.04004579353381</c:v>
                </c:pt>
                <c:pt idx="61">
                  <c:v>272.63531928064879</c:v>
                </c:pt>
                <c:pt idx="62">
                  <c:v>274.19536937724638</c:v>
                </c:pt>
                <c:pt idx="63">
                  <c:v>275.72134993536713</c:v>
                </c:pt>
                <c:pt idx="64">
                  <c:v>276.20264987559534</c:v>
                </c:pt>
                <c:pt idx="65">
                  <c:v>276.20264987559534</c:v>
                </c:pt>
                <c:pt idx="66">
                  <c:v>276.20264987559534</c:v>
                </c:pt>
                <c:pt idx="67">
                  <c:v>276.20264987559534</c:v>
                </c:pt>
                <c:pt idx="68">
                  <c:v>276.20264987559534</c:v>
                </c:pt>
                <c:pt idx="69">
                  <c:v>276.20264987559534</c:v>
                </c:pt>
                <c:pt idx="70">
                  <c:v>276.20264987559534</c:v>
                </c:pt>
                <c:pt idx="71">
                  <c:v>276.20264987559534</c:v>
                </c:pt>
                <c:pt idx="72">
                  <c:v>276.20264987559534</c:v>
                </c:pt>
                <c:pt idx="73">
                  <c:v>276.20264987559534</c:v>
                </c:pt>
                <c:pt idx="74">
                  <c:v>276.20264987559534</c:v>
                </c:pt>
                <c:pt idx="75">
                  <c:v>276.20264987559534</c:v>
                </c:pt>
                <c:pt idx="76">
                  <c:v>276.20264987559534</c:v>
                </c:pt>
                <c:pt idx="77">
                  <c:v>276.20264987559534</c:v>
                </c:pt>
                <c:pt idx="78">
                  <c:v>276.20264987559534</c:v>
                </c:pt>
                <c:pt idx="79">
                  <c:v>276.20264987559534</c:v>
                </c:pt>
                <c:pt idx="80">
                  <c:v>276.20264987559534</c:v>
                </c:pt>
                <c:pt idx="81">
                  <c:v>276.20264987559534</c:v>
                </c:pt>
                <c:pt idx="82">
                  <c:v>276.20264987559534</c:v>
                </c:pt>
                <c:pt idx="83">
                  <c:v>276.20264987559534</c:v>
                </c:pt>
                <c:pt idx="84">
                  <c:v>276.20264987559534</c:v>
                </c:pt>
                <c:pt idx="85">
                  <c:v>276.20264987559534</c:v>
                </c:pt>
              </c:numCache>
            </c:numRef>
          </c:yVal>
          <c:smooth val="1"/>
        </c:ser>
        <c:ser>
          <c:idx val="7"/>
          <c:order val="8"/>
          <c:tx>
            <c:v>PYCAP</c:v>
          </c:tx>
          <c:spPr>
            <a:ln w="19050">
              <a:solidFill>
                <a:srgbClr val="FF0000"/>
              </a:solidFill>
            </a:ln>
          </c:spPr>
          <c:marker>
            <c:symbol val="none"/>
          </c:marker>
          <c:xVal>
            <c:numRef>
              <c:f>[4]PYCAP!$Y$61:$Y$146</c:f>
              <c:numCache>
                <c:formatCode>0.00</c:formatCode>
                <c:ptCount val="86"/>
                <c:pt idx="0">
                  <c:v>0</c:v>
                </c:pt>
                <c:pt idx="1">
                  <c:v>0.01</c:v>
                </c:pt>
                <c:pt idx="2">
                  <c:v>0.03</c:v>
                </c:pt>
                <c:pt idx="3">
                  <c:v>0.05</c:v>
                </c:pt>
                <c:pt idx="4">
                  <c:v>0.1</c:v>
                </c:pt>
                <c:pt idx="5">
                  <c:v>0.15000000000000002</c:v>
                </c:pt>
                <c:pt idx="6">
                  <c:v>0.2</c:v>
                </c:pt>
                <c:pt idx="7">
                  <c:v>0.25</c:v>
                </c:pt>
                <c:pt idx="8">
                  <c:v>0.3</c:v>
                </c:pt>
                <c:pt idx="9">
                  <c:v>0.35</c:v>
                </c:pt>
                <c:pt idx="10">
                  <c:v>0.39999999999999997</c:v>
                </c:pt>
                <c:pt idx="11">
                  <c:v>0.44999999999999996</c:v>
                </c:pt>
                <c:pt idx="12">
                  <c:v>0.49999999999999994</c:v>
                </c:pt>
                <c:pt idx="13">
                  <c:v>0.54999999999999993</c:v>
                </c:pt>
                <c:pt idx="14">
                  <c:v>0.6</c:v>
                </c:pt>
                <c:pt idx="15">
                  <c:v>0.65</c:v>
                </c:pt>
                <c:pt idx="16">
                  <c:v>0.70000000000000007</c:v>
                </c:pt>
                <c:pt idx="17">
                  <c:v>0.75000000000000011</c:v>
                </c:pt>
                <c:pt idx="18">
                  <c:v>0.80000000000000016</c:v>
                </c:pt>
                <c:pt idx="19">
                  <c:v>0.8500000000000002</c:v>
                </c:pt>
                <c:pt idx="20">
                  <c:v>0.90000000000000024</c:v>
                </c:pt>
                <c:pt idx="21">
                  <c:v>0.95000000000000029</c:v>
                </c:pt>
                <c:pt idx="22">
                  <c:v>1.0000000000000002</c:v>
                </c:pt>
                <c:pt idx="23">
                  <c:v>1.0500000000000003</c:v>
                </c:pt>
                <c:pt idx="24">
                  <c:v>1.1000000000000003</c:v>
                </c:pt>
                <c:pt idx="25">
                  <c:v>1.1500000000000004</c:v>
                </c:pt>
                <c:pt idx="26">
                  <c:v>1.2000000000000004</c:v>
                </c:pt>
                <c:pt idx="27">
                  <c:v>1.2500000000000004</c:v>
                </c:pt>
                <c:pt idx="28">
                  <c:v>1.3000000000000005</c:v>
                </c:pt>
                <c:pt idx="29">
                  <c:v>1.3500000000000005</c:v>
                </c:pt>
                <c:pt idx="30">
                  <c:v>1.4000000000000006</c:v>
                </c:pt>
                <c:pt idx="31">
                  <c:v>1.4500000000000006</c:v>
                </c:pt>
                <c:pt idx="32">
                  <c:v>1.5000000000000007</c:v>
                </c:pt>
                <c:pt idx="33">
                  <c:v>1.5500000000000007</c:v>
                </c:pt>
                <c:pt idx="34">
                  <c:v>1.6000000000000008</c:v>
                </c:pt>
                <c:pt idx="35">
                  <c:v>1.6500000000000008</c:v>
                </c:pt>
                <c:pt idx="36">
                  <c:v>1.7000000000000008</c:v>
                </c:pt>
                <c:pt idx="37">
                  <c:v>1.7500000000000009</c:v>
                </c:pt>
                <c:pt idx="38">
                  <c:v>1.8000000000000009</c:v>
                </c:pt>
                <c:pt idx="39">
                  <c:v>1.850000000000001</c:v>
                </c:pt>
                <c:pt idx="40">
                  <c:v>1.900000000000001</c:v>
                </c:pt>
                <c:pt idx="41">
                  <c:v>1.9500000000000011</c:v>
                </c:pt>
                <c:pt idx="42">
                  <c:v>2.0000000000000009</c:v>
                </c:pt>
                <c:pt idx="43">
                  <c:v>2.0500000000000007</c:v>
                </c:pt>
                <c:pt idx="44">
                  <c:v>2.1000000000000005</c:v>
                </c:pt>
                <c:pt idx="45">
                  <c:v>2.1500000000000004</c:v>
                </c:pt>
                <c:pt idx="46">
                  <c:v>2.2000000000000002</c:v>
                </c:pt>
                <c:pt idx="47">
                  <c:v>2.25</c:v>
                </c:pt>
                <c:pt idx="48">
                  <c:v>2.2999999999999998</c:v>
                </c:pt>
                <c:pt idx="49">
                  <c:v>2.3499999999999996</c:v>
                </c:pt>
                <c:pt idx="50">
                  <c:v>2.3999999999999995</c:v>
                </c:pt>
                <c:pt idx="51">
                  <c:v>2.4499999999999993</c:v>
                </c:pt>
                <c:pt idx="52">
                  <c:v>2.4999999999999991</c:v>
                </c:pt>
                <c:pt idx="53">
                  <c:v>2.5499999999999989</c:v>
                </c:pt>
                <c:pt idx="54">
                  <c:v>2.5999999999999988</c:v>
                </c:pt>
                <c:pt idx="55">
                  <c:v>2.6499999999999986</c:v>
                </c:pt>
                <c:pt idx="56">
                  <c:v>2.6999999999999984</c:v>
                </c:pt>
                <c:pt idx="57">
                  <c:v>2.7499999999999982</c:v>
                </c:pt>
                <c:pt idx="58">
                  <c:v>2.799999999999998</c:v>
                </c:pt>
                <c:pt idx="59">
                  <c:v>2.8499999999999979</c:v>
                </c:pt>
                <c:pt idx="60">
                  <c:v>2.8999999999999977</c:v>
                </c:pt>
                <c:pt idx="61">
                  <c:v>2.9499999999999975</c:v>
                </c:pt>
                <c:pt idx="62">
                  <c:v>2.9999999999999973</c:v>
                </c:pt>
                <c:pt idx="63">
                  <c:v>3.0499999999999972</c:v>
                </c:pt>
                <c:pt idx="64">
                  <c:v>3.099999999999997</c:v>
                </c:pt>
                <c:pt idx="65">
                  <c:v>3.1499999999999968</c:v>
                </c:pt>
                <c:pt idx="66">
                  <c:v>3.1999999999999966</c:v>
                </c:pt>
                <c:pt idx="67">
                  <c:v>3.2499999999999964</c:v>
                </c:pt>
                <c:pt idx="68">
                  <c:v>3.2999999999999963</c:v>
                </c:pt>
                <c:pt idx="69">
                  <c:v>3.3499999999999961</c:v>
                </c:pt>
                <c:pt idx="70">
                  <c:v>3.3999999999999959</c:v>
                </c:pt>
                <c:pt idx="71">
                  <c:v>3.4499999999999957</c:v>
                </c:pt>
                <c:pt idx="72">
                  <c:v>3.4999999999999956</c:v>
                </c:pt>
                <c:pt idx="73">
                  <c:v>3.5499999999999954</c:v>
                </c:pt>
                <c:pt idx="74">
                  <c:v>3.5999999999999952</c:v>
                </c:pt>
                <c:pt idx="75">
                  <c:v>3.649999999999995</c:v>
                </c:pt>
                <c:pt idx="76">
                  <c:v>3.6999999999999948</c:v>
                </c:pt>
                <c:pt idx="77">
                  <c:v>3.7499999999999947</c:v>
                </c:pt>
                <c:pt idx="78">
                  <c:v>3.7999999999999945</c:v>
                </c:pt>
                <c:pt idx="79">
                  <c:v>3.8499999999999943</c:v>
                </c:pt>
                <c:pt idx="80">
                  <c:v>3.8999999999999941</c:v>
                </c:pt>
                <c:pt idx="81">
                  <c:v>3.949999999999994</c:v>
                </c:pt>
                <c:pt idx="82">
                  <c:v>3.9999999999999938</c:v>
                </c:pt>
                <c:pt idx="83">
                  <c:v>4.0499999999999936</c:v>
                </c:pt>
                <c:pt idx="84">
                  <c:v>4.0999999999999934</c:v>
                </c:pt>
                <c:pt idx="85">
                  <c:v>4.1499999999999932</c:v>
                </c:pt>
              </c:numCache>
            </c:numRef>
          </c:xVal>
          <c:yVal>
            <c:numRef>
              <c:f>[4]PYCAP!$Z$61:$Z$146</c:f>
              <c:numCache>
                <c:formatCode>0</c:formatCode>
                <c:ptCount val="86"/>
                <c:pt idx="0">
                  <c:v>0</c:v>
                </c:pt>
                <c:pt idx="1">
                  <c:v>1.6944933515960283</c:v>
                </c:pt>
                <c:pt idx="2">
                  <c:v>5.0182661573807152</c:v>
                </c:pt>
                <c:pt idx="3">
                  <c:v>8.2578404534950351</c:v>
                </c:pt>
                <c:pt idx="4">
                  <c:v>16.008759346241689</c:v>
                </c:pt>
                <c:pt idx="5">
                  <c:v>23.298044019450902</c:v>
                </c:pt>
                <c:pt idx="6">
                  <c:v>30.165743308222105</c:v>
                </c:pt>
                <c:pt idx="7">
                  <c:v>36.647403693153819</c:v>
                </c:pt>
                <c:pt idx="8">
                  <c:v>42.774684706529648</c:v>
                </c:pt>
                <c:pt idx="9">
                  <c:v>48.575876084036132</c:v>
                </c:pt>
                <c:pt idx="10">
                  <c:v>54.076334489256269</c:v>
                </c:pt>
                <c:pt idx="11">
                  <c:v>59.298854034931331</c:v>
                </c:pt>
                <c:pt idx="12">
                  <c:v>64.263982020868724</c:v>
                </c:pt>
                <c:pt idx="13">
                  <c:v>68.990289111205627</c:v>
                </c:pt>
                <c:pt idx="14">
                  <c:v>73.494601440974364</c:v>
                </c:pt>
                <c:pt idx="15">
                  <c:v>77.792200766993929</c:v>
                </c:pt>
                <c:pt idx="16">
                  <c:v>81.896997680763107</c:v>
                </c:pt>
                <c:pt idx="17">
                  <c:v>85.82168202035686</c:v>
                </c:pt>
                <c:pt idx="18">
                  <c:v>89.577853907813832</c:v>
                </c:pt>
                <c:pt idx="19">
                  <c:v>93.176138262383944</c:v>
                </c:pt>
                <c:pt idx="20">
                  <c:v>96.626285170618928</c:v>
                </c:pt>
                <c:pt idx="21">
                  <c:v>99.937258110107507</c:v>
                </c:pt>
                <c:pt idx="22">
                  <c:v>103.11731170783324</c:v>
                </c:pt>
                <c:pt idx="23">
                  <c:v>106.17406045341825</c:v>
                </c:pt>
                <c:pt idx="24">
                  <c:v>109.1145395714248</c:v>
                </c:pt>
                <c:pt idx="25">
                  <c:v>111.94525907709398</c:v>
                </c:pt>
                <c:pt idx="26">
                  <c:v>114.67225188975469</c:v>
                </c:pt>
                <c:pt idx="27">
                  <c:v>117.30111675230224</c:v>
                </c:pt>
                <c:pt idx="28">
                  <c:v>119.83705659932862</c:v>
                </c:pt>
                <c:pt idx="29">
                  <c:v>122.28491292720852</c:v>
                </c:pt>
                <c:pt idx="30">
                  <c:v>124.64919664388327</c:v>
                </c:pt>
                <c:pt idx="31">
                  <c:v>126.93411581193772</c:v>
                </c:pt>
                <c:pt idx="32">
                  <c:v>129.1436006439464</c:v>
                </c:pt>
                <c:pt idx="33">
                  <c:v>131.28132606243136</c:v>
                </c:pt>
                <c:pt idx="34">
                  <c:v>133.35073209684464</c:v>
                </c:pt>
                <c:pt idx="35">
                  <c:v>135.35504235571227</c:v>
                </c:pt>
                <c:pt idx="36">
                  <c:v>137.29728078257736</c:v>
                </c:pt>
                <c:pt idx="37">
                  <c:v>139.18028687892794</c:v>
                </c:pt>
                <c:pt idx="38">
                  <c:v>141.00672955528529</c:v>
                </c:pt>
                <c:pt idx="39">
                  <c:v>142.77911975254796</c:v>
                </c:pt>
                <c:pt idx="40">
                  <c:v>144.49982195911221</c:v>
                </c:pt>
                <c:pt idx="41">
                  <c:v>146.17106473485646</c:v>
                </c:pt>
                <c:pt idx="42">
                  <c:v>147.79495034048728</c:v>
                </c:pt>
                <c:pt idx="43">
                  <c:v>149.37346355973534</c:v>
                </c:pt>
                <c:pt idx="44">
                  <c:v>150.90847979224699</c:v>
                </c:pt>
                <c:pt idx="45">
                  <c:v>152.40177248655272</c:v>
                </c:pt>
                <c:pt idx="46">
                  <c:v>153.85501997505258</c:v>
                </c:pt>
                <c:pt idx="47">
                  <c:v>155.26981176640123</c:v>
                </c:pt>
                <c:pt idx="48">
                  <c:v>156.64765434489019</c:v>
                </c:pt>
                <c:pt idx="49">
                  <c:v>157.98997652131118</c:v>
                </c:pt>
                <c:pt idx="50">
                  <c:v>159.29813437525377</c:v>
                </c:pt>
                <c:pt idx="51">
                  <c:v>160.57341582477679</c:v>
                </c:pt>
                <c:pt idx="52">
                  <c:v>161.81704485582205</c:v>
                </c:pt>
                <c:pt idx="53">
                  <c:v>163.03018544056721</c:v>
                </c:pt>
                <c:pt idx="54">
                  <c:v>164.2139451710849</c:v>
                </c:pt>
                <c:pt idx="55">
                  <c:v>165.36937863215118</c:v>
                </c:pt>
                <c:pt idx="56">
                  <c:v>166.49749053479249</c:v>
                </c:pt>
                <c:pt idx="57">
                  <c:v>167.59923863014092</c:v>
                </c:pt>
                <c:pt idx="58">
                  <c:v>168.67553642135994</c:v>
                </c:pt>
                <c:pt idx="59">
                  <c:v>169.72725568978001</c:v>
                </c:pt>
                <c:pt idx="60">
                  <c:v>170.75522884992631</c:v>
                </c:pt>
                <c:pt idx="61">
                  <c:v>171.76025114680874</c:v>
                </c:pt>
                <c:pt idx="62">
                  <c:v>172.74308270766522</c:v>
                </c:pt>
                <c:pt idx="63">
                  <c:v>173.7044504592813</c:v>
                </c:pt>
                <c:pt idx="64">
                  <c:v>174.00766942162505</c:v>
                </c:pt>
                <c:pt idx="65">
                  <c:v>174.00766942162505</c:v>
                </c:pt>
                <c:pt idx="66">
                  <c:v>174.00766942162505</c:v>
                </c:pt>
                <c:pt idx="67">
                  <c:v>174.00766942162505</c:v>
                </c:pt>
                <c:pt idx="68">
                  <c:v>174.00766942162505</c:v>
                </c:pt>
                <c:pt idx="69">
                  <c:v>174.00766942162505</c:v>
                </c:pt>
                <c:pt idx="70">
                  <c:v>174.00766942162505</c:v>
                </c:pt>
                <c:pt idx="71">
                  <c:v>174.00766942162505</c:v>
                </c:pt>
                <c:pt idx="72">
                  <c:v>174.00766942162505</c:v>
                </c:pt>
                <c:pt idx="73">
                  <c:v>174.00766942162505</c:v>
                </c:pt>
                <c:pt idx="74">
                  <c:v>174.00766942162505</c:v>
                </c:pt>
                <c:pt idx="75">
                  <c:v>174.00766942162505</c:v>
                </c:pt>
                <c:pt idx="76">
                  <c:v>174.00766942162505</c:v>
                </c:pt>
                <c:pt idx="77">
                  <c:v>174.00766942162505</c:v>
                </c:pt>
                <c:pt idx="78">
                  <c:v>174.00766942162505</c:v>
                </c:pt>
                <c:pt idx="79">
                  <c:v>174.00766942162505</c:v>
                </c:pt>
                <c:pt idx="80">
                  <c:v>174.00766942162505</c:v>
                </c:pt>
                <c:pt idx="81">
                  <c:v>174.00766942162505</c:v>
                </c:pt>
                <c:pt idx="82">
                  <c:v>174.00766942162505</c:v>
                </c:pt>
                <c:pt idx="83">
                  <c:v>174.00766942162505</c:v>
                </c:pt>
                <c:pt idx="84">
                  <c:v>174.00766942162505</c:v>
                </c:pt>
                <c:pt idx="85">
                  <c:v>174.00766942162505</c:v>
                </c:pt>
              </c:numCache>
            </c:numRef>
          </c:yVal>
          <c:smooth val="1"/>
        </c:ser>
        <c:ser>
          <c:idx val="9"/>
          <c:order val="10"/>
          <c:spPr>
            <a:ln w="12700">
              <a:solidFill>
                <a:schemeClr val="tx1"/>
              </a:solidFill>
            </a:ln>
          </c:spPr>
          <c:marker>
            <c:symbol val="none"/>
          </c:marker>
          <c:xVal>
            <c:numRef>
              <c:f>[5]Summary!$U$6:$U$7</c:f>
              <c:numCache>
                <c:formatCode>General</c:formatCode>
                <c:ptCount val="2"/>
                <c:pt idx="0">
                  <c:v>2.52</c:v>
                </c:pt>
                <c:pt idx="1">
                  <c:v>2.52</c:v>
                </c:pt>
              </c:numCache>
            </c:numRef>
          </c:xVal>
          <c:yVal>
            <c:numRef>
              <c:f>[5]Summary!$O$6:$O$7</c:f>
              <c:numCache>
                <c:formatCode>General</c:formatCode>
                <c:ptCount val="2"/>
                <c:pt idx="0">
                  <c:v>620</c:v>
                </c:pt>
                <c:pt idx="1">
                  <c:v>700</c:v>
                </c:pt>
              </c:numCache>
            </c:numRef>
          </c:yVal>
          <c:smooth val="1"/>
        </c:ser>
        <c:ser>
          <c:idx val="10"/>
          <c:order val="11"/>
          <c:spPr>
            <a:ln w="12700">
              <a:solidFill>
                <a:schemeClr val="tx1"/>
              </a:solidFill>
            </a:ln>
          </c:spPr>
          <c:marker>
            <c:symbol val="none"/>
          </c:marker>
          <c:xVal>
            <c:numRef>
              <c:f>[5]Summary!$V$6:$V$7</c:f>
              <c:numCache>
                <c:formatCode>General</c:formatCode>
                <c:ptCount val="2"/>
                <c:pt idx="0">
                  <c:v>2.9400000000000004</c:v>
                </c:pt>
                <c:pt idx="1">
                  <c:v>2.9400000000000004</c:v>
                </c:pt>
              </c:numCache>
            </c:numRef>
          </c:xVal>
          <c:yVal>
            <c:numRef>
              <c:f>[5]Summary!$O$6:$O$7</c:f>
              <c:numCache>
                <c:formatCode>General</c:formatCode>
                <c:ptCount val="2"/>
                <c:pt idx="0">
                  <c:v>620</c:v>
                </c:pt>
                <c:pt idx="1">
                  <c:v>700</c:v>
                </c:pt>
              </c:numCache>
            </c:numRef>
          </c:yVal>
          <c:smooth val="1"/>
        </c:ser>
        <c:ser>
          <c:idx val="11"/>
          <c:order val="12"/>
          <c:spPr>
            <a:ln w="12700">
              <a:solidFill>
                <a:schemeClr val="tx1"/>
              </a:solidFill>
            </a:ln>
          </c:spPr>
          <c:marker>
            <c:symbol val="none"/>
          </c:marker>
          <c:xVal>
            <c:numRef>
              <c:f>[5]Summary!$W$6:$W$7</c:f>
              <c:numCache>
                <c:formatCode>General</c:formatCode>
                <c:ptCount val="2"/>
                <c:pt idx="0">
                  <c:v>3.3600000000000003</c:v>
                </c:pt>
                <c:pt idx="1">
                  <c:v>3.3600000000000003</c:v>
                </c:pt>
              </c:numCache>
            </c:numRef>
          </c:xVal>
          <c:yVal>
            <c:numRef>
              <c:f>[5]Summary!$O$6:$O$7</c:f>
              <c:numCache>
                <c:formatCode>General</c:formatCode>
                <c:ptCount val="2"/>
                <c:pt idx="0">
                  <c:v>620</c:v>
                </c:pt>
                <c:pt idx="1">
                  <c:v>700</c:v>
                </c:pt>
              </c:numCache>
            </c:numRef>
          </c:yVal>
          <c:smooth val="1"/>
        </c:ser>
        <c:ser>
          <c:idx val="12"/>
          <c:order val="13"/>
          <c:spPr>
            <a:ln w="12700">
              <a:solidFill>
                <a:schemeClr val="tx1"/>
              </a:solidFill>
            </a:ln>
          </c:spPr>
          <c:marker>
            <c:symbol val="none"/>
          </c:marker>
          <c:xVal>
            <c:numRef>
              <c:f>[5]Summary!$X$6:$X$7</c:f>
              <c:numCache>
                <c:formatCode>General</c:formatCode>
                <c:ptCount val="2"/>
                <c:pt idx="0">
                  <c:v>3.7800000000000002</c:v>
                </c:pt>
                <c:pt idx="1">
                  <c:v>3.7800000000000002</c:v>
                </c:pt>
              </c:numCache>
            </c:numRef>
          </c:xVal>
          <c:yVal>
            <c:numRef>
              <c:f>[5]Summary!$O$6:$O$7</c:f>
              <c:numCache>
                <c:formatCode>General</c:formatCode>
                <c:ptCount val="2"/>
                <c:pt idx="0">
                  <c:v>620</c:v>
                </c:pt>
                <c:pt idx="1">
                  <c:v>700</c:v>
                </c:pt>
              </c:numCache>
            </c:numRef>
          </c:yVal>
          <c:smooth val="1"/>
        </c:ser>
        <c:ser>
          <c:idx val="0"/>
          <c:order val="14"/>
          <c:tx>
            <c:v>ABUTMENT</c:v>
          </c:tx>
          <c:spPr>
            <a:ln w="19050">
              <a:solidFill>
                <a:schemeClr val="tx1"/>
              </a:solidFill>
            </a:ln>
          </c:spPr>
          <c:marker>
            <c:symbol val="none"/>
          </c:marker>
          <c:xVal>
            <c:numRef>
              <c:f>'GRS - Best Fit'!$H$2:$H$25</c:f>
              <c:numCache>
                <c:formatCode>General</c:formatCode>
                <c:ptCount val="24"/>
                <c:pt idx="0">
                  <c:v>0</c:v>
                </c:pt>
                <c:pt idx="1">
                  <c:v>3.0000000000000001E-3</c:v>
                </c:pt>
                <c:pt idx="2">
                  <c:v>1.7000000000000001E-2</c:v>
                </c:pt>
                <c:pt idx="3">
                  <c:v>4.9000000000000002E-2</c:v>
                </c:pt>
                <c:pt idx="4">
                  <c:v>0.10199999999999999</c:v>
                </c:pt>
                <c:pt idx="5">
                  <c:v>0.17699999999999999</c:v>
                </c:pt>
                <c:pt idx="6">
                  <c:v>0.27200000000000002</c:v>
                </c:pt>
                <c:pt idx="7">
                  <c:v>0.38800000000000001</c:v>
                </c:pt>
                <c:pt idx="8">
                  <c:v>0.52300000000000002</c:v>
                </c:pt>
                <c:pt idx="9">
                  <c:v>0.67800000000000005</c:v>
                </c:pt>
                <c:pt idx="10">
                  <c:v>0.85099999999999998</c:v>
                </c:pt>
                <c:pt idx="11">
                  <c:v>1.0429999999999999</c:v>
                </c:pt>
                <c:pt idx="12">
                  <c:v>1.254</c:v>
                </c:pt>
                <c:pt idx="13">
                  <c:v>1.4830000000000001</c:v>
                </c:pt>
                <c:pt idx="14">
                  <c:v>1.73</c:v>
                </c:pt>
                <c:pt idx="15">
                  <c:v>1.996</c:v>
                </c:pt>
                <c:pt idx="16">
                  <c:v>2.2789999999999999</c:v>
                </c:pt>
                <c:pt idx="17">
                  <c:v>2.581</c:v>
                </c:pt>
                <c:pt idx="18">
                  <c:v>2.9</c:v>
                </c:pt>
                <c:pt idx="19">
                  <c:v>3.2370000000000001</c:v>
                </c:pt>
                <c:pt idx="20">
                  <c:v>3.5920000000000001</c:v>
                </c:pt>
                <c:pt idx="21">
                  <c:v>3.9649999999999999</c:v>
                </c:pt>
                <c:pt idx="22">
                  <c:v>4.3559999999999999</c:v>
                </c:pt>
                <c:pt idx="23">
                  <c:v>4.7549999999999999</c:v>
                </c:pt>
              </c:numCache>
            </c:numRef>
          </c:xVal>
          <c:yVal>
            <c:numRef>
              <c:f>'GRS - Best Fit'!$G$2:$G$25</c:f>
              <c:numCache>
                <c:formatCode>General</c:formatCode>
                <c:ptCount val="24"/>
                <c:pt idx="0">
                  <c:v>0</c:v>
                </c:pt>
                <c:pt idx="1">
                  <c:v>0.19</c:v>
                </c:pt>
                <c:pt idx="2">
                  <c:v>1.98</c:v>
                </c:pt>
                <c:pt idx="3">
                  <c:v>8.39</c:v>
                </c:pt>
                <c:pt idx="4">
                  <c:v>21.94</c:v>
                </c:pt>
                <c:pt idx="5">
                  <c:v>42.53</c:v>
                </c:pt>
                <c:pt idx="6">
                  <c:v>67.680000000000007</c:v>
                </c:pt>
                <c:pt idx="7">
                  <c:v>94.78</c:v>
                </c:pt>
                <c:pt idx="8">
                  <c:v>121.33</c:v>
                </c:pt>
                <c:pt idx="9">
                  <c:v>146.31</c:v>
                </c:pt>
                <c:pt idx="10">
                  <c:v>168.86</c:v>
                </c:pt>
                <c:pt idx="11">
                  <c:v>188.68</c:v>
                </c:pt>
                <c:pt idx="12">
                  <c:v>206.42</c:v>
                </c:pt>
                <c:pt idx="13">
                  <c:v>221.71</c:v>
                </c:pt>
                <c:pt idx="14">
                  <c:v>234.92</c:v>
                </c:pt>
                <c:pt idx="15">
                  <c:v>246.58</c:v>
                </c:pt>
                <c:pt idx="16">
                  <c:v>256.88</c:v>
                </c:pt>
                <c:pt idx="17">
                  <c:v>265.61</c:v>
                </c:pt>
                <c:pt idx="18">
                  <c:v>273.73</c:v>
                </c:pt>
                <c:pt idx="19">
                  <c:v>280.5</c:v>
                </c:pt>
                <c:pt idx="20">
                  <c:v>286.43</c:v>
                </c:pt>
                <c:pt idx="21">
                  <c:v>291.88</c:v>
                </c:pt>
                <c:pt idx="22">
                  <c:v>296.52999999999997</c:v>
                </c:pt>
                <c:pt idx="23">
                  <c:v>297.48</c:v>
                </c:pt>
              </c:numCache>
            </c:numRef>
          </c:yVal>
          <c:smooth val="1"/>
        </c:ser>
        <c:ser>
          <c:idx val="13"/>
          <c:order val="15"/>
          <c:tx>
            <c:v>ABUTMENT</c:v>
          </c:tx>
          <c:spPr>
            <a:ln w="19050">
              <a:solidFill>
                <a:schemeClr val="tx1"/>
              </a:solidFill>
            </a:ln>
          </c:spPr>
          <c:marker>
            <c:symbol val="none"/>
          </c:marker>
          <c:xVal>
            <c:numRef>
              <c:f>'GRS - Best Fit'!$H$2:$H$25</c:f>
              <c:numCache>
                <c:formatCode>General</c:formatCode>
                <c:ptCount val="24"/>
                <c:pt idx="0">
                  <c:v>0</c:v>
                </c:pt>
                <c:pt idx="1">
                  <c:v>3.0000000000000001E-3</c:v>
                </c:pt>
                <c:pt idx="2">
                  <c:v>1.7000000000000001E-2</c:v>
                </c:pt>
                <c:pt idx="3">
                  <c:v>4.9000000000000002E-2</c:v>
                </c:pt>
                <c:pt idx="4">
                  <c:v>0.10199999999999999</c:v>
                </c:pt>
                <c:pt idx="5">
                  <c:v>0.17699999999999999</c:v>
                </c:pt>
                <c:pt idx="6">
                  <c:v>0.27200000000000002</c:v>
                </c:pt>
                <c:pt idx="7">
                  <c:v>0.38800000000000001</c:v>
                </c:pt>
                <c:pt idx="8">
                  <c:v>0.52300000000000002</c:v>
                </c:pt>
                <c:pt idx="9">
                  <c:v>0.67800000000000005</c:v>
                </c:pt>
                <c:pt idx="10">
                  <c:v>0.85099999999999998</c:v>
                </c:pt>
                <c:pt idx="11">
                  <c:v>1.0429999999999999</c:v>
                </c:pt>
                <c:pt idx="12">
                  <c:v>1.254</c:v>
                </c:pt>
                <c:pt idx="13">
                  <c:v>1.4830000000000001</c:v>
                </c:pt>
                <c:pt idx="14">
                  <c:v>1.73</c:v>
                </c:pt>
                <c:pt idx="15">
                  <c:v>1.996</c:v>
                </c:pt>
                <c:pt idx="16">
                  <c:v>2.2789999999999999</c:v>
                </c:pt>
                <c:pt idx="17">
                  <c:v>2.581</c:v>
                </c:pt>
                <c:pt idx="18">
                  <c:v>2.9</c:v>
                </c:pt>
                <c:pt idx="19">
                  <c:v>3.2370000000000001</c:v>
                </c:pt>
                <c:pt idx="20">
                  <c:v>3.5920000000000001</c:v>
                </c:pt>
                <c:pt idx="21">
                  <c:v>3.9649999999999999</c:v>
                </c:pt>
                <c:pt idx="22">
                  <c:v>4.3559999999999999</c:v>
                </c:pt>
                <c:pt idx="23">
                  <c:v>4.7549999999999999</c:v>
                </c:pt>
              </c:numCache>
            </c:numRef>
          </c:xVal>
          <c:yVal>
            <c:numRef>
              <c:f>'GRS - Best Fit'!$L$2:$L$25</c:f>
              <c:numCache>
                <c:formatCode>General</c:formatCode>
                <c:ptCount val="24"/>
                <c:pt idx="0">
                  <c:v>0</c:v>
                </c:pt>
                <c:pt idx="1">
                  <c:v>0.1197</c:v>
                </c:pt>
                <c:pt idx="2">
                  <c:v>1.2474000000000001</c:v>
                </c:pt>
                <c:pt idx="3">
                  <c:v>5.2857000000000003</c:v>
                </c:pt>
                <c:pt idx="4">
                  <c:v>13.8222</c:v>
                </c:pt>
                <c:pt idx="5">
                  <c:v>26.793900000000001</c:v>
                </c:pt>
                <c:pt idx="6">
                  <c:v>42.638400000000004</c:v>
                </c:pt>
                <c:pt idx="7">
                  <c:v>59.711399999999998</c:v>
                </c:pt>
                <c:pt idx="8">
                  <c:v>76.437899999999999</c:v>
                </c:pt>
                <c:pt idx="9">
                  <c:v>92.175300000000007</c:v>
                </c:pt>
                <c:pt idx="10">
                  <c:v>106.38180000000001</c:v>
                </c:pt>
                <c:pt idx="11">
                  <c:v>118.86840000000001</c:v>
                </c:pt>
                <c:pt idx="12">
                  <c:v>130.0446</c:v>
                </c:pt>
                <c:pt idx="13">
                  <c:v>139.6773</c:v>
                </c:pt>
                <c:pt idx="14">
                  <c:v>147.99959999999999</c:v>
                </c:pt>
                <c:pt idx="15">
                  <c:v>155.34540000000001</c:v>
                </c:pt>
                <c:pt idx="16">
                  <c:v>161.83439999999999</c:v>
                </c:pt>
                <c:pt idx="17">
                  <c:v>167.33430000000001</c:v>
                </c:pt>
                <c:pt idx="18">
                  <c:v>172.44990000000001</c:v>
                </c:pt>
                <c:pt idx="19">
                  <c:v>176.715</c:v>
                </c:pt>
                <c:pt idx="20">
                  <c:v>180.45090000000002</c:v>
                </c:pt>
                <c:pt idx="21">
                  <c:v>183.8844</c:v>
                </c:pt>
                <c:pt idx="22">
                  <c:v>186.81389999999999</c:v>
                </c:pt>
                <c:pt idx="23">
                  <c:v>187.41240000000002</c:v>
                </c:pt>
              </c:numCache>
            </c:numRef>
          </c:yVal>
          <c:smooth val="1"/>
        </c:ser>
        <c:dLbls>
          <c:showLegendKey val="0"/>
          <c:showVal val="0"/>
          <c:showCatName val="0"/>
          <c:showSerName val="0"/>
          <c:showPercent val="0"/>
          <c:showBubbleSize val="0"/>
        </c:dLbls>
        <c:axId val="35854208"/>
        <c:axId val="35860480"/>
      </c:scatterChart>
      <c:scatterChart>
        <c:scatterStyle val="smoothMarker"/>
        <c:varyColors val="0"/>
        <c:ser>
          <c:idx val="15"/>
          <c:order val="9"/>
          <c:tx>
            <c:v>Secondary Axis</c:v>
          </c:tx>
          <c:spPr>
            <a:ln>
              <a:noFill/>
            </a:ln>
          </c:spPr>
          <c:marker>
            <c:symbol val="none"/>
          </c:marker>
          <c:xVal>
            <c:numLit>
              <c:formatCode>General</c:formatCode>
              <c:ptCount val="1"/>
              <c:pt idx="0">
                <c:v>1</c:v>
              </c:pt>
            </c:numLit>
          </c:xVal>
          <c:yVal>
            <c:numLit>
              <c:formatCode>General</c:formatCode>
              <c:ptCount val="1"/>
              <c:pt idx="0">
                <c:v>1</c:v>
              </c:pt>
            </c:numLit>
          </c:yVal>
          <c:smooth val="1"/>
        </c:ser>
        <c:dLbls>
          <c:showLegendKey val="0"/>
          <c:showVal val="0"/>
          <c:showCatName val="0"/>
          <c:showSerName val="0"/>
          <c:showPercent val="0"/>
          <c:showBubbleSize val="0"/>
        </c:dLbls>
        <c:axId val="35864576"/>
        <c:axId val="35862400"/>
      </c:scatterChart>
      <c:valAx>
        <c:axId val="35854208"/>
        <c:scaling>
          <c:orientation val="minMax"/>
        </c:scaling>
        <c:delete val="0"/>
        <c:axPos val="b"/>
        <c:majorGridlines>
          <c:spPr>
            <a:ln w="12700">
              <a:solidFill>
                <a:schemeClr val="bg1">
                  <a:lumMod val="50000"/>
                </a:schemeClr>
              </a:solidFill>
              <a:prstDash val="dash"/>
            </a:ln>
          </c:spPr>
        </c:majorGridlines>
        <c:title>
          <c:tx>
            <c:rich>
              <a:bodyPr/>
              <a:lstStyle/>
              <a:p>
                <a:pPr>
                  <a:defRPr b="1"/>
                </a:pPr>
                <a:r>
                  <a:rPr lang="en-US" b="1"/>
                  <a:t>Pile Cap Displacement [in]</a:t>
                </a:r>
              </a:p>
            </c:rich>
          </c:tx>
          <c:layout>
            <c:manualLayout>
              <c:xMode val="edge"/>
              <c:yMode val="edge"/>
              <c:x val="0.38524823557953047"/>
              <c:y val="0.94950916331996249"/>
            </c:manualLayout>
          </c:layout>
          <c:overlay val="0"/>
        </c:title>
        <c:numFmt formatCode="General" sourceLinked="0"/>
        <c:majorTickMark val="cross"/>
        <c:minorTickMark val="in"/>
        <c:tickLblPos val="nextTo"/>
        <c:spPr>
          <a:ln>
            <a:solidFill>
              <a:schemeClr val="tx1"/>
            </a:solidFill>
          </a:ln>
        </c:spPr>
        <c:crossAx val="35860480"/>
        <c:crosses val="autoZero"/>
        <c:crossBetween val="midCat"/>
      </c:valAx>
      <c:valAx>
        <c:axId val="35860480"/>
        <c:scaling>
          <c:orientation val="minMax"/>
          <c:max val="700"/>
          <c:min val="0"/>
        </c:scaling>
        <c:delete val="0"/>
        <c:axPos val="l"/>
        <c:majorGridlines>
          <c:spPr>
            <a:ln w="12700">
              <a:solidFill>
                <a:schemeClr val="bg1">
                  <a:lumMod val="50000"/>
                </a:schemeClr>
              </a:solidFill>
              <a:prstDash val="dash"/>
            </a:ln>
          </c:spPr>
        </c:majorGridlines>
        <c:title>
          <c:tx>
            <c:rich>
              <a:bodyPr rot="-5400000" vert="horz"/>
              <a:lstStyle/>
              <a:p>
                <a:pPr>
                  <a:defRPr b="1"/>
                </a:pPr>
                <a:r>
                  <a:rPr lang="en-US" b="1"/>
                  <a:t>Passive Force [kip]</a:t>
                </a:r>
              </a:p>
            </c:rich>
          </c:tx>
          <c:layout>
            <c:manualLayout>
              <c:xMode val="edge"/>
              <c:yMode val="edge"/>
              <c:x val="1.4740159414719084E-3"/>
              <c:y val="0.34900979877515309"/>
            </c:manualLayout>
          </c:layout>
          <c:overlay val="0"/>
        </c:title>
        <c:numFmt formatCode="General" sourceLinked="1"/>
        <c:majorTickMark val="cross"/>
        <c:minorTickMark val="in"/>
        <c:tickLblPos val="nextTo"/>
        <c:spPr>
          <a:ln>
            <a:solidFill>
              <a:schemeClr val="tx1"/>
            </a:solidFill>
          </a:ln>
        </c:spPr>
        <c:crossAx val="35854208"/>
        <c:crosses val="autoZero"/>
        <c:crossBetween val="midCat"/>
        <c:minorUnit val="25"/>
      </c:valAx>
      <c:valAx>
        <c:axId val="35862400"/>
        <c:scaling>
          <c:orientation val="minMax"/>
          <c:max val="3114"/>
          <c:min val="0"/>
        </c:scaling>
        <c:delete val="0"/>
        <c:axPos val="r"/>
        <c:title>
          <c:tx>
            <c:rich>
              <a:bodyPr rot="-5400000" vert="horz"/>
              <a:lstStyle/>
              <a:p>
                <a:pPr>
                  <a:defRPr b="1"/>
                </a:pPr>
                <a:r>
                  <a:rPr lang="en-US" b="1"/>
                  <a:t>Passive Force [kN]</a:t>
                </a:r>
              </a:p>
            </c:rich>
          </c:tx>
          <c:layout>
            <c:manualLayout>
              <c:xMode val="edge"/>
              <c:yMode val="edge"/>
              <c:x val="0.97229994217668281"/>
              <c:y val="0.3578795608295442"/>
            </c:manualLayout>
          </c:layout>
          <c:overlay val="0"/>
        </c:title>
        <c:numFmt formatCode="General" sourceLinked="1"/>
        <c:majorTickMark val="cross"/>
        <c:minorTickMark val="in"/>
        <c:tickLblPos val="nextTo"/>
        <c:spPr>
          <a:ln>
            <a:solidFill>
              <a:schemeClr val="tx1"/>
            </a:solidFill>
          </a:ln>
        </c:spPr>
        <c:crossAx val="35864576"/>
        <c:crosses val="max"/>
        <c:crossBetween val="midCat"/>
      </c:valAx>
      <c:valAx>
        <c:axId val="35864576"/>
        <c:scaling>
          <c:orientation val="minMax"/>
          <c:max val="11.43"/>
          <c:min val="0"/>
        </c:scaling>
        <c:delete val="0"/>
        <c:axPos val="t"/>
        <c:title>
          <c:tx>
            <c:rich>
              <a:bodyPr/>
              <a:lstStyle/>
              <a:p>
                <a:pPr>
                  <a:defRPr b="1"/>
                </a:pPr>
                <a:r>
                  <a:rPr lang="en-US" b="1"/>
                  <a:t>Pile Cap Displacement [cm]</a:t>
                </a:r>
              </a:p>
            </c:rich>
          </c:tx>
          <c:layout>
            <c:manualLayout>
              <c:xMode val="edge"/>
              <c:yMode val="edge"/>
              <c:x val="0.37346560992745442"/>
              <c:y val="2.209371715859461E-3"/>
            </c:manualLayout>
          </c:layout>
          <c:overlay val="0"/>
        </c:title>
        <c:numFmt formatCode="General" sourceLinked="0"/>
        <c:majorTickMark val="cross"/>
        <c:minorTickMark val="in"/>
        <c:tickLblPos val="nextTo"/>
        <c:spPr>
          <a:ln>
            <a:solidFill>
              <a:schemeClr val="tx1"/>
            </a:solidFill>
          </a:ln>
        </c:spPr>
        <c:crossAx val="35862400"/>
        <c:crosses val="max"/>
        <c:crossBetween val="midCat"/>
      </c:valAx>
      <c:spPr>
        <a:ln w="12700">
          <a:solidFill>
            <a:schemeClr val="tx1"/>
          </a:solidFill>
        </a:ln>
      </c:spPr>
    </c:plotArea>
    <c:legend>
      <c:legendPos val="r"/>
      <c:legendEntry>
        <c:idx val="0"/>
        <c:delete val="1"/>
      </c:legendEntry>
      <c:legendEntry>
        <c:idx val="1"/>
        <c:delete val="1"/>
      </c:legendEntry>
      <c:legendEntry>
        <c:idx val="2"/>
        <c:delete val="1"/>
      </c:legendEntry>
      <c:legendEntry>
        <c:idx val="3"/>
        <c:delete val="1"/>
      </c:legendEntry>
      <c:legendEntry>
        <c:idx val="4"/>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4"/>
        <c:delete val="1"/>
      </c:legendEntry>
      <c:legendEntry>
        <c:idx val="15"/>
        <c:delete val="1"/>
      </c:legendEntry>
      <c:layout>
        <c:manualLayout>
          <c:xMode val="edge"/>
          <c:yMode val="edge"/>
          <c:x val="0.13733609676480713"/>
          <c:y val="0.29259119052426141"/>
          <c:w val="0.17889826563280048"/>
          <c:h val="0.22600219844314332"/>
        </c:manualLayout>
      </c:layout>
      <c:overlay val="0"/>
      <c:spPr>
        <a:solidFill>
          <a:schemeClr val="bg1"/>
        </a:solidFill>
        <a:ln w="12700">
          <a:solidFill>
            <a:schemeClr val="tx1"/>
          </a:solidFill>
        </a:ln>
      </c:spPr>
      <c:txPr>
        <a:bodyPr/>
        <a:lstStyle/>
        <a:p>
          <a:pPr>
            <a:defRPr sz="900"/>
          </a:pPr>
          <a:endParaRPr lang="en-US"/>
        </a:p>
      </c:txPr>
    </c:legend>
    <c:plotVisOnly val="1"/>
    <c:dispBlanksAs val="gap"/>
    <c:showDLblsOverMax val="0"/>
  </c:chart>
  <c:spPr>
    <a:ln>
      <a:no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0.13942</cdr:x>
      <cdr:y>0.11931</cdr:y>
    </cdr:from>
    <cdr:to>
      <cdr:x>0.77564</cdr:x>
      <cdr:y>0.24197</cdr:y>
    </cdr:to>
    <cdr:grpSp>
      <cdr:nvGrpSpPr>
        <cdr:cNvPr id="2" name="Group 1"/>
        <cdr:cNvGrpSpPr/>
      </cdr:nvGrpSpPr>
      <cdr:grpSpPr>
        <a:xfrm xmlns:a="http://schemas.openxmlformats.org/drawingml/2006/main">
          <a:off x="809475" y="425479"/>
          <a:ext cx="3693903" cy="437425"/>
          <a:chOff x="1387927" y="758499"/>
          <a:chExt cx="4612822" cy="762756"/>
        </a:xfrm>
      </cdr:grpSpPr>
      <cdr:grpSp>
        <cdr:nvGrpSpPr>
          <cdr:cNvPr id="8" name="Group 3"/>
          <cdr:cNvGrpSpPr/>
        </cdr:nvGrpSpPr>
        <cdr:grpSpPr>
          <a:xfrm xmlns:a="http://schemas.openxmlformats.org/drawingml/2006/main">
            <a:off x="1387927" y="758499"/>
            <a:ext cx="2422072" cy="762756"/>
            <a:chOff x="1659696" y="621291"/>
            <a:chExt cx="5008547" cy="701001"/>
          </a:xfrm>
        </cdr:grpSpPr>
        <cdr:sp macro="" textlink="">
          <cdr:nvSpPr>
            <cdr:cNvPr id="9" name="TextBox 1"/>
            <cdr:cNvSpPr txBox="1"/>
          </cdr:nvSpPr>
          <cdr:spPr>
            <a:xfrm xmlns:a="http://schemas.openxmlformats.org/drawingml/2006/main" rot="16200000">
              <a:off x="2754670" y="774060"/>
              <a:ext cx="559345" cy="5147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latin typeface="Times New Roman" panose="02020603050405020304" pitchFamily="18" charset="0"/>
                  <a:cs typeface="Times New Roman" panose="02020603050405020304" pitchFamily="18" charset="0"/>
                </a:rPr>
                <a:t>0.02H</a:t>
              </a:r>
            </a:p>
          </cdr:txBody>
        </cdr:sp>
        <cdr:sp macro="" textlink="">
          <cdr:nvSpPr>
            <cdr:cNvPr id="10" name="TextBox 1"/>
            <cdr:cNvSpPr txBox="1"/>
          </cdr:nvSpPr>
          <cdr:spPr>
            <a:xfrm xmlns:a="http://schemas.openxmlformats.org/drawingml/2006/main" rot="16200000">
              <a:off x="1556675" y="724312"/>
              <a:ext cx="684393" cy="47835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0.01H</a:t>
              </a:r>
            </a:p>
          </cdr:txBody>
        </cdr:sp>
        <cdr:sp macro="" textlink="">
          <cdr:nvSpPr>
            <cdr:cNvPr id="11" name="TextBox 1"/>
            <cdr:cNvSpPr txBox="1"/>
          </cdr:nvSpPr>
          <cdr:spPr>
            <a:xfrm xmlns:a="http://schemas.openxmlformats.org/drawingml/2006/main" rot="16200000">
              <a:off x="6128894" y="771738"/>
              <a:ext cx="561032" cy="5176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0.05H</a:t>
              </a:r>
            </a:p>
          </cdr:txBody>
        </cdr:sp>
        <cdr:sp macro="" textlink="">
          <cdr:nvSpPr>
            <cdr:cNvPr id="12" name="TextBox 1"/>
            <cdr:cNvSpPr txBox="1"/>
          </cdr:nvSpPr>
          <cdr:spPr>
            <a:xfrm xmlns:a="http://schemas.openxmlformats.org/drawingml/2006/main" rot="16200000">
              <a:off x="4995885" y="831725"/>
              <a:ext cx="526124" cy="45500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0.04H</a:t>
              </a:r>
            </a:p>
          </cdr:txBody>
        </cdr:sp>
        <cdr:sp macro="" textlink="">
          <cdr:nvSpPr>
            <cdr:cNvPr id="13" name="TextBox 1"/>
            <cdr:cNvSpPr txBox="1"/>
          </cdr:nvSpPr>
          <cdr:spPr>
            <a:xfrm xmlns:a="http://schemas.openxmlformats.org/drawingml/2006/main" rot="16200000">
              <a:off x="3863681" y="774911"/>
              <a:ext cx="571501" cy="47929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0.03H</a:t>
              </a:r>
            </a:p>
          </cdr:txBody>
        </cdr:sp>
      </cdr:grpSp>
      <cdr:grpSp>
        <cdr:nvGrpSpPr>
          <cdr:cNvPr id="26" name="Group 25"/>
          <cdr:cNvGrpSpPr/>
        </cdr:nvGrpSpPr>
        <cdr:grpSpPr>
          <a:xfrm xmlns:a="http://schemas.openxmlformats.org/drawingml/2006/main">
            <a:off x="4122966" y="826407"/>
            <a:ext cx="1877783" cy="684394"/>
            <a:chOff x="1" y="0"/>
            <a:chExt cx="8028948" cy="628983"/>
          </a:xfrm>
        </cdr:grpSpPr>
        <cdr:sp macro="" textlink="">
          <cdr:nvSpPr>
            <cdr:cNvPr id="27" name="TextBox 1"/>
            <cdr:cNvSpPr txBox="1"/>
          </cdr:nvSpPr>
          <cdr:spPr>
            <a:xfrm xmlns:a="http://schemas.openxmlformats.org/drawingml/2006/main" rot="16200000">
              <a:off x="2556336" y="-138527"/>
              <a:ext cx="514059" cy="10058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0.07H</a:t>
              </a:r>
            </a:p>
          </cdr:txBody>
        </cdr:sp>
        <cdr:sp macro="" textlink="">
          <cdr:nvSpPr>
            <cdr:cNvPr id="28" name="TextBox 1"/>
            <cdr:cNvSpPr txBox="1"/>
          </cdr:nvSpPr>
          <cdr:spPr>
            <a:xfrm xmlns:a="http://schemas.openxmlformats.org/drawingml/2006/main" rot="16200000">
              <a:off x="180052" y="-180051"/>
              <a:ext cx="628983" cy="98908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0.06H</a:t>
              </a:r>
            </a:p>
          </cdr:txBody>
        </cdr:sp>
        <cdr:sp macro="" textlink="">
          <cdr:nvSpPr>
            <cdr:cNvPr id="30" name="TextBox 1"/>
            <cdr:cNvSpPr txBox="1"/>
          </cdr:nvSpPr>
          <cdr:spPr>
            <a:xfrm xmlns:a="http://schemas.openxmlformats.org/drawingml/2006/main" rot="16200000">
              <a:off x="7258886" y="-150830"/>
              <a:ext cx="483528" cy="105659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0.09H</a:t>
              </a:r>
            </a:p>
          </cdr:txBody>
        </cdr:sp>
        <cdr:sp macro="" textlink="">
          <cdr:nvSpPr>
            <cdr:cNvPr id="31" name="TextBox 1"/>
            <cdr:cNvSpPr txBox="1"/>
          </cdr:nvSpPr>
          <cdr:spPr>
            <a:xfrm xmlns:a="http://schemas.openxmlformats.org/drawingml/2006/main" rot="16200000">
              <a:off x="4827418" y="-75713"/>
              <a:ext cx="525231" cy="87428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0.08H</a:t>
              </a:r>
            </a:p>
          </cdr:txBody>
        </cdr:sp>
      </cdr:grpSp>
    </cdr:grpSp>
  </cdr:relSizeAnchor>
</c:userShapes>
</file>

<file path=word/drawings/drawing2.xml><?xml version="1.0" encoding="utf-8"?>
<c:userShapes xmlns:c="http://schemas.openxmlformats.org/drawingml/2006/chart">
  <cdr:relSizeAnchor xmlns:cdr="http://schemas.openxmlformats.org/drawingml/2006/chartDrawing">
    <cdr:from>
      <cdr:x>0.1314</cdr:x>
      <cdr:y>0.12539</cdr:y>
    </cdr:from>
    <cdr:to>
      <cdr:x>0.69651</cdr:x>
      <cdr:y>0.24639</cdr:y>
    </cdr:to>
    <cdr:grpSp>
      <cdr:nvGrpSpPr>
        <cdr:cNvPr id="2" name="Group 1"/>
        <cdr:cNvGrpSpPr/>
      </cdr:nvGrpSpPr>
      <cdr:grpSpPr>
        <a:xfrm xmlns:a="http://schemas.openxmlformats.org/drawingml/2006/main">
          <a:off x="779851" y="447164"/>
          <a:ext cx="3353999" cy="431506"/>
          <a:chOff x="1387921" y="867356"/>
          <a:chExt cx="4535913" cy="752444"/>
        </a:xfrm>
      </cdr:grpSpPr>
      <cdr:grpSp>
        <cdr:nvGrpSpPr>
          <cdr:cNvPr id="8" name="Group 3"/>
          <cdr:cNvGrpSpPr/>
        </cdr:nvGrpSpPr>
        <cdr:grpSpPr>
          <a:xfrm xmlns:a="http://schemas.openxmlformats.org/drawingml/2006/main">
            <a:off x="1387921" y="867356"/>
            <a:ext cx="2381260" cy="752444"/>
            <a:chOff x="1659698" y="621290"/>
            <a:chExt cx="4924137" cy="691524"/>
          </a:xfrm>
        </cdr:grpSpPr>
        <cdr:sp macro="" textlink="">
          <cdr:nvSpPr>
            <cdr:cNvPr id="9" name="TextBox 1"/>
            <cdr:cNvSpPr txBox="1"/>
          </cdr:nvSpPr>
          <cdr:spPr>
            <a:xfrm xmlns:a="http://schemas.openxmlformats.org/drawingml/2006/main" rot="16200000">
              <a:off x="2740606" y="788124"/>
              <a:ext cx="559345" cy="4865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latin typeface="Times New Roman" panose="02020603050405020304" pitchFamily="18" charset="0"/>
                  <a:cs typeface="Times New Roman" panose="02020603050405020304" pitchFamily="18" charset="0"/>
                </a:rPr>
                <a:t>0.02H</a:t>
              </a:r>
            </a:p>
          </cdr:txBody>
        </cdr:sp>
        <cdr:sp macro="" textlink="">
          <cdr:nvSpPr>
            <cdr:cNvPr id="10" name="TextBox 1"/>
            <cdr:cNvSpPr txBox="1"/>
          </cdr:nvSpPr>
          <cdr:spPr>
            <a:xfrm xmlns:a="http://schemas.openxmlformats.org/drawingml/2006/main" rot="16200000">
              <a:off x="1542613" y="738375"/>
              <a:ext cx="684393" cy="45022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0.01H</a:t>
              </a:r>
            </a:p>
          </cdr:txBody>
        </cdr:sp>
        <cdr:sp macro="" textlink="">
          <cdr:nvSpPr>
            <cdr:cNvPr id="11" name="TextBox 1"/>
            <cdr:cNvSpPr txBox="1"/>
          </cdr:nvSpPr>
          <cdr:spPr>
            <a:xfrm xmlns:a="http://schemas.openxmlformats.org/drawingml/2006/main" rot="16200000">
              <a:off x="6086691" y="813944"/>
              <a:ext cx="561032" cy="4332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0.05H</a:t>
              </a:r>
            </a:p>
          </cdr:txBody>
        </cdr:sp>
        <cdr:sp macro="" textlink="">
          <cdr:nvSpPr>
            <cdr:cNvPr id="12" name="TextBox 1"/>
            <cdr:cNvSpPr txBox="1"/>
          </cdr:nvSpPr>
          <cdr:spPr>
            <a:xfrm xmlns:a="http://schemas.openxmlformats.org/drawingml/2006/main" rot="16200000">
              <a:off x="4950865" y="864239"/>
              <a:ext cx="526124" cy="36496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0.04H</a:t>
              </a:r>
            </a:p>
          </cdr:txBody>
        </cdr:sp>
        <cdr:sp macro="" textlink="">
          <cdr:nvSpPr>
            <cdr:cNvPr id="13" name="TextBox 1"/>
            <cdr:cNvSpPr txBox="1"/>
          </cdr:nvSpPr>
          <cdr:spPr>
            <a:xfrm xmlns:a="http://schemas.openxmlformats.org/drawingml/2006/main" rot="16200000">
              <a:off x="3827101" y="823995"/>
              <a:ext cx="571501" cy="40613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0.03H</a:t>
              </a:r>
            </a:p>
          </cdr:txBody>
        </cdr:sp>
      </cdr:grpSp>
      <cdr:grpSp>
        <cdr:nvGrpSpPr>
          <cdr:cNvPr id="14" name="Group 13"/>
          <cdr:cNvGrpSpPr/>
        </cdr:nvGrpSpPr>
        <cdr:grpSpPr>
          <a:xfrm xmlns:a="http://schemas.openxmlformats.org/drawingml/2006/main">
            <a:off x="4122963" y="935265"/>
            <a:ext cx="1800871" cy="684394"/>
            <a:chOff x="0" y="12506"/>
            <a:chExt cx="7727043" cy="628983"/>
          </a:xfrm>
        </cdr:grpSpPr>
        <cdr:sp macro="" textlink="">
          <cdr:nvSpPr>
            <cdr:cNvPr id="15" name="TextBox 1"/>
            <cdr:cNvSpPr txBox="1"/>
          </cdr:nvSpPr>
          <cdr:spPr>
            <a:xfrm xmlns:a="http://schemas.openxmlformats.org/drawingml/2006/main" rot="16200000">
              <a:off x="2556476" y="-126170"/>
              <a:ext cx="514059" cy="100617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0.07H</a:t>
              </a:r>
            </a:p>
          </cdr:txBody>
        </cdr:sp>
        <cdr:sp macro="" textlink="">
          <cdr:nvSpPr>
            <cdr:cNvPr id="16" name="TextBox 1"/>
            <cdr:cNvSpPr txBox="1"/>
          </cdr:nvSpPr>
          <cdr:spPr>
            <a:xfrm xmlns:a="http://schemas.openxmlformats.org/drawingml/2006/main" rot="16200000">
              <a:off x="151009" y="-138503"/>
              <a:ext cx="628983" cy="93100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0.06H</a:t>
              </a:r>
            </a:p>
          </cdr:txBody>
        </cdr:sp>
        <cdr:sp macro="" textlink="">
          <cdr:nvSpPr>
            <cdr:cNvPr id="18" name="TextBox 1"/>
            <cdr:cNvSpPr txBox="1"/>
          </cdr:nvSpPr>
          <cdr:spPr>
            <a:xfrm xmlns:a="http://schemas.openxmlformats.org/drawingml/2006/main" rot="16200000">
              <a:off x="7107925" y="13635"/>
              <a:ext cx="483528" cy="75470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0.09H</a:t>
              </a:r>
            </a:p>
          </cdr:txBody>
        </cdr:sp>
        <cdr:sp macro="" textlink="">
          <cdr:nvSpPr>
            <cdr:cNvPr id="19" name="TextBox 1"/>
            <cdr:cNvSpPr txBox="1"/>
          </cdr:nvSpPr>
          <cdr:spPr>
            <a:xfrm xmlns:a="http://schemas.openxmlformats.org/drawingml/2006/main" rot="16200000">
              <a:off x="4810191" y="-46999"/>
              <a:ext cx="525231" cy="83984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latin typeface="Times New Roman" panose="02020603050405020304" pitchFamily="18" charset="0"/>
                  <a:cs typeface="Times New Roman" panose="02020603050405020304" pitchFamily="18" charset="0"/>
                </a:rPr>
                <a:t>0.08H</a:t>
              </a:r>
            </a:p>
          </cdr:txBody>
        </cdr:sp>
      </cdr:grpSp>
    </cdr:grpSp>
  </cdr:relSizeAnchor>
  <cdr:relSizeAnchor xmlns:cdr="http://schemas.openxmlformats.org/drawingml/2006/chartDrawing">
    <cdr:from>
      <cdr:x>0.70085</cdr:x>
      <cdr:y>0.71937</cdr:y>
    </cdr:from>
    <cdr:to>
      <cdr:x>0.83547</cdr:x>
      <cdr:y>0.7995</cdr:y>
    </cdr:to>
    <cdr:sp macro="" textlink="">
      <cdr:nvSpPr>
        <cdr:cNvPr id="17" name="TextBox 12"/>
        <cdr:cNvSpPr txBox="1"/>
      </cdr:nvSpPr>
      <cdr:spPr>
        <a:xfrm xmlns:a="http://schemas.openxmlformats.org/drawingml/2006/main">
          <a:off x="4165600" y="2565400"/>
          <a:ext cx="800100" cy="285749"/>
        </a:xfrm>
        <a:prstGeom xmlns:a="http://schemas.openxmlformats.org/drawingml/2006/main" prst="rect">
          <a:avLst/>
        </a:prstGeom>
        <a:solidFill xmlns:a="http://schemas.openxmlformats.org/drawingml/2006/main">
          <a:schemeClr val="lt1"/>
        </a:solidFill>
        <a:ln xmlns:a="http://schemas.openxmlformats.org/drawingml/2006/main" w="9525" cmpd="sng">
          <a:solidFill>
            <a:sysClr val="windowText" lastClr="000000"/>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050" b="1">
              <a:latin typeface="Times New Roman" panose="02020603050405020304" pitchFamily="18" charset="0"/>
              <a:cs typeface="Times New Roman" panose="02020603050405020304" pitchFamily="18" charset="0"/>
            </a:rPr>
            <a:t>R</a:t>
          </a:r>
          <a:r>
            <a:rPr lang="en-US" sz="1050" b="1" baseline="-25000">
              <a:latin typeface="Times New Roman" panose="02020603050405020304" pitchFamily="18" charset="0"/>
              <a:cs typeface="Times New Roman" panose="02020603050405020304" pitchFamily="18" charset="0"/>
            </a:rPr>
            <a:t>skew</a:t>
          </a:r>
          <a:r>
            <a:rPr lang="en-US" sz="1050" b="1">
              <a:latin typeface="Times New Roman" panose="02020603050405020304" pitchFamily="18" charset="0"/>
              <a:cs typeface="Times New Roman" panose="02020603050405020304" pitchFamily="18" charset="0"/>
            </a:rPr>
            <a:t>=0.63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347D-B01C-4E6C-BEB7-579262EB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2096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cp:revision>
  <cp:lastPrinted>2011-06-21T20:32:00Z</cp:lastPrinted>
  <dcterms:created xsi:type="dcterms:W3CDTF">2015-07-22T21:01:00Z</dcterms:created>
  <dcterms:modified xsi:type="dcterms:W3CDTF">2015-07-22T23:02:00Z</dcterms:modified>
</cp:coreProperties>
</file>