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212E33" w:rsidRDefault="000C209F" w:rsidP="00360664">
            <w:pPr>
              <w:spacing w:after="0" w:line="240" w:lineRule="auto"/>
              <w:ind w:left="-108" w:right="-720"/>
              <w:rPr>
                <w:rFonts w:ascii="Arial" w:hAnsi="Arial" w:cs="Arial"/>
                <w:sz w:val="20"/>
                <w:szCs w:val="20"/>
              </w:rPr>
            </w:pPr>
            <w:r w:rsidRPr="00860193">
              <w:rPr>
                <w:rFonts w:ascii="Arial" w:hAnsi="Arial" w:cs="Arial"/>
                <w:b/>
                <w:sz w:val="36"/>
                <w:szCs w:val="36"/>
              </w:rPr>
              <w:t xml:space="preserve"> </w:t>
            </w:r>
            <w:r w:rsidR="00212E33" w:rsidRPr="00212E33">
              <w:rPr>
                <w:rFonts w:ascii="Arial" w:hAnsi="Arial" w:cs="Arial"/>
                <w:sz w:val="36"/>
                <w:szCs w:val="36"/>
              </w:rPr>
              <w:t>_</w:t>
            </w:r>
            <w:r w:rsidRPr="00212E33">
              <w:rPr>
                <w:rFonts w:ascii="Arial" w:hAnsi="Arial" w:cs="Arial"/>
                <w:sz w:val="36"/>
                <w:szCs w:val="36"/>
              </w:rPr>
              <w:t xml:space="preserve"> </w:t>
            </w:r>
            <w:r w:rsidRPr="00212E33">
              <w:rPr>
                <w:rFonts w:ascii="Arial" w:hAnsi="Arial" w:cs="Arial"/>
                <w:sz w:val="20"/>
                <w:szCs w:val="20"/>
              </w:rPr>
              <w:t>Quarter 1 (January 1 – March 31</w:t>
            </w:r>
            <w:r w:rsidR="005C75FE" w:rsidRPr="00212E33">
              <w:rPr>
                <w:rFonts w:ascii="Arial" w:hAnsi="Arial" w:cs="Arial"/>
                <w:sz w:val="20"/>
                <w:szCs w:val="20"/>
              </w:rPr>
              <w:t xml:space="preserve">, </w:t>
            </w:r>
            <w:r w:rsidR="004E46AD" w:rsidRPr="00212E33">
              <w:rPr>
                <w:rFonts w:ascii="Arial" w:hAnsi="Arial" w:cs="Arial"/>
                <w:sz w:val="20"/>
                <w:szCs w:val="20"/>
              </w:rPr>
              <w:t>201</w:t>
            </w:r>
            <w:r w:rsidR="00860193" w:rsidRPr="00212E33">
              <w:rPr>
                <w:rFonts w:ascii="Arial" w:hAnsi="Arial" w:cs="Arial"/>
                <w:sz w:val="20"/>
                <w:szCs w:val="20"/>
              </w:rPr>
              <w:t>5</w:t>
            </w:r>
            <w:r w:rsidRPr="00212E33">
              <w:rPr>
                <w:rFonts w:ascii="Arial" w:hAnsi="Arial" w:cs="Arial"/>
                <w:sz w:val="20"/>
                <w:szCs w:val="20"/>
              </w:rPr>
              <w:t>)</w:t>
            </w:r>
          </w:p>
          <w:p w:rsidR="000C209F" w:rsidRPr="00212E33" w:rsidRDefault="000C209F" w:rsidP="00360664">
            <w:pPr>
              <w:spacing w:after="0" w:line="240" w:lineRule="auto"/>
              <w:ind w:left="-108" w:right="-108"/>
              <w:rPr>
                <w:rFonts w:ascii="Arial" w:hAnsi="Arial" w:cs="Arial"/>
                <w:b/>
                <w:sz w:val="20"/>
                <w:szCs w:val="20"/>
              </w:rPr>
            </w:pPr>
            <w:r w:rsidRPr="00BA017A">
              <w:rPr>
                <w:rFonts w:ascii="Arial" w:hAnsi="Arial" w:cs="Arial"/>
                <w:b/>
                <w:sz w:val="36"/>
                <w:szCs w:val="36"/>
              </w:rPr>
              <w:t xml:space="preserve"> </w:t>
            </w:r>
            <w:r w:rsidR="00212E33" w:rsidRPr="00212E33">
              <w:rPr>
                <w:rFonts w:ascii="Arial" w:hAnsi="Arial" w:cs="Arial"/>
                <w:b/>
                <w:sz w:val="36"/>
                <w:szCs w:val="36"/>
                <w:u w:val="single"/>
              </w:rPr>
              <w:t>x</w:t>
            </w:r>
            <w:r w:rsidR="00B5625E" w:rsidRPr="00212E33">
              <w:rPr>
                <w:rFonts w:ascii="Arial" w:hAnsi="Arial" w:cs="Arial"/>
                <w:b/>
                <w:sz w:val="36"/>
                <w:szCs w:val="36"/>
              </w:rPr>
              <w:t xml:space="preserve"> </w:t>
            </w:r>
            <w:r w:rsidRPr="00212E33">
              <w:rPr>
                <w:rFonts w:ascii="Arial" w:hAnsi="Arial" w:cs="Arial"/>
                <w:b/>
                <w:sz w:val="20"/>
                <w:szCs w:val="20"/>
              </w:rPr>
              <w:t>Quarter 2 (April 1 – June 30</w:t>
            </w:r>
            <w:r w:rsidR="002C4321" w:rsidRPr="00212E33">
              <w:rPr>
                <w:rFonts w:ascii="Arial" w:hAnsi="Arial" w:cs="Arial"/>
                <w:b/>
                <w:sz w:val="20"/>
                <w:szCs w:val="20"/>
              </w:rPr>
              <w:t>, 201</w:t>
            </w:r>
            <w:r w:rsidR="00860193" w:rsidRPr="00212E33">
              <w:rPr>
                <w:rFonts w:ascii="Arial" w:hAnsi="Arial" w:cs="Arial"/>
                <w:b/>
                <w:sz w:val="20"/>
                <w:szCs w:val="20"/>
              </w:rPr>
              <w:t>5</w:t>
            </w:r>
            <w:r w:rsidRPr="00212E33">
              <w:rPr>
                <w:rFonts w:ascii="Arial" w:hAnsi="Arial" w:cs="Arial"/>
                <w:b/>
                <w:sz w:val="20"/>
                <w:szCs w:val="20"/>
              </w:rPr>
              <w:t>)</w:t>
            </w:r>
          </w:p>
          <w:p w:rsidR="000C209F" w:rsidRPr="00CA5876" w:rsidRDefault="00CA5876" w:rsidP="00360664">
            <w:pPr>
              <w:spacing w:after="0" w:line="240" w:lineRule="auto"/>
              <w:ind w:right="-720"/>
              <w:rPr>
                <w:rFonts w:ascii="Arial" w:hAnsi="Arial" w:cs="Arial"/>
                <w:sz w:val="20"/>
                <w:szCs w:val="20"/>
              </w:rPr>
            </w:pPr>
            <w:r w:rsidRPr="005B2685">
              <w:rPr>
                <w:rFonts w:ascii="Arial" w:hAnsi="Arial" w:cs="Arial"/>
                <w:sz w:val="36"/>
                <w:szCs w:val="36"/>
              </w:rPr>
              <w:t>_</w:t>
            </w:r>
            <w:r w:rsidR="000C209F" w:rsidRPr="00CA5876">
              <w:rPr>
                <w:rFonts w:ascii="Arial" w:hAnsi="Arial" w:cs="Arial"/>
                <w:sz w:val="36"/>
                <w:szCs w:val="36"/>
              </w:rPr>
              <w:t xml:space="preserve"> </w:t>
            </w:r>
            <w:r w:rsidR="000C209F" w:rsidRPr="00CA5876">
              <w:rPr>
                <w:rFonts w:ascii="Arial" w:hAnsi="Arial" w:cs="Arial"/>
                <w:sz w:val="20"/>
                <w:szCs w:val="20"/>
              </w:rPr>
              <w:t>Quarter 3 (July 1 – September 30</w:t>
            </w:r>
            <w:r w:rsidR="002C4321" w:rsidRPr="00CA5876">
              <w:rPr>
                <w:rFonts w:ascii="Arial" w:hAnsi="Arial" w:cs="Arial"/>
                <w:sz w:val="20"/>
                <w:szCs w:val="20"/>
              </w:rPr>
              <w:t>, 201</w:t>
            </w:r>
            <w:r w:rsidR="00860193">
              <w:rPr>
                <w:rFonts w:ascii="Arial" w:hAnsi="Arial" w:cs="Arial"/>
                <w:sz w:val="20"/>
                <w:szCs w:val="20"/>
              </w:rPr>
              <w:t>5</w:t>
            </w:r>
            <w:r w:rsidR="000C209F" w:rsidRPr="00CA5876">
              <w:rPr>
                <w:rFonts w:ascii="Arial" w:hAnsi="Arial" w:cs="Arial"/>
                <w:sz w:val="20"/>
                <w:szCs w:val="20"/>
              </w:rPr>
              <w:t>)</w:t>
            </w:r>
          </w:p>
          <w:p w:rsidR="000C209F" w:rsidRPr="00860193" w:rsidRDefault="00860193" w:rsidP="00860193">
            <w:pPr>
              <w:spacing w:after="0" w:line="240" w:lineRule="auto"/>
              <w:ind w:right="-720"/>
              <w:rPr>
                <w:rFonts w:ascii="Arial" w:hAnsi="Arial" w:cs="Arial"/>
                <w:sz w:val="20"/>
                <w:szCs w:val="20"/>
              </w:rPr>
            </w:pPr>
            <w:r w:rsidRPr="005B2685">
              <w:rPr>
                <w:rFonts w:ascii="Arial" w:hAnsi="Arial" w:cs="Arial"/>
                <w:sz w:val="36"/>
                <w:szCs w:val="36"/>
              </w:rPr>
              <w:t>_</w:t>
            </w:r>
            <w:r w:rsidR="002718CD" w:rsidRPr="00860193">
              <w:rPr>
                <w:rFonts w:ascii="Arial" w:hAnsi="Arial" w:cs="Arial"/>
                <w:sz w:val="36"/>
                <w:szCs w:val="36"/>
              </w:rPr>
              <w:t xml:space="preserve"> </w:t>
            </w:r>
            <w:r w:rsidR="000C209F" w:rsidRPr="00860193">
              <w:rPr>
                <w:rFonts w:ascii="Arial" w:hAnsi="Arial" w:cs="Arial"/>
                <w:sz w:val="20"/>
                <w:szCs w:val="20"/>
              </w:rPr>
              <w:t xml:space="preserve">Quarter </w:t>
            </w:r>
            <w:r w:rsidR="005C75FE" w:rsidRPr="00860193">
              <w:rPr>
                <w:rFonts w:ascii="Arial" w:hAnsi="Arial" w:cs="Arial"/>
                <w:sz w:val="20"/>
                <w:szCs w:val="20"/>
              </w:rPr>
              <w:t>4 (October 1 – December 31</w:t>
            </w:r>
            <w:r w:rsidR="002C4321" w:rsidRPr="00860193">
              <w:rPr>
                <w:rFonts w:ascii="Arial" w:hAnsi="Arial" w:cs="Arial"/>
                <w:sz w:val="20"/>
                <w:szCs w:val="20"/>
              </w:rPr>
              <w:t>, 201</w:t>
            </w:r>
            <w:r w:rsidRPr="00860193">
              <w:rPr>
                <w:rFonts w:ascii="Arial" w:hAnsi="Arial" w:cs="Arial"/>
                <w:sz w:val="20"/>
                <w:szCs w:val="20"/>
              </w:rPr>
              <w:t>5</w:t>
            </w:r>
            <w:r w:rsidR="000C209F" w:rsidRPr="00860193">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0072AA">
            <w:pPr>
              <w:spacing w:after="0" w:line="240" w:lineRule="auto"/>
              <w:ind w:left="-108" w:right="-108"/>
              <w:jc w:val="center"/>
              <w:rPr>
                <w:rFonts w:ascii="Arial" w:hAnsi="Arial" w:cs="Arial"/>
                <w:sz w:val="20"/>
                <w:szCs w:val="20"/>
              </w:rPr>
            </w:pPr>
            <w:r w:rsidRPr="00BA017A">
              <w:rPr>
                <w:rFonts w:ascii="Arial" w:hAnsi="Arial" w:cs="Arial"/>
                <w:sz w:val="20"/>
                <w:szCs w:val="20"/>
              </w:rPr>
              <w:t>$</w:t>
            </w:r>
            <w:r w:rsidR="000072AA">
              <w:rPr>
                <w:rFonts w:ascii="Arial" w:hAnsi="Arial" w:cs="Arial"/>
                <w:sz w:val="20"/>
                <w:szCs w:val="20"/>
              </w:rPr>
              <w:t>23</w:t>
            </w:r>
            <w:r w:rsidR="0013366A" w:rsidRPr="00BA017A">
              <w:rPr>
                <w:rFonts w:ascii="Arial" w:hAnsi="Arial" w:cs="Arial"/>
                <w:sz w:val="20"/>
                <w:szCs w:val="20"/>
              </w:rPr>
              <w:t>,</w:t>
            </w:r>
            <w:r w:rsidR="000072AA">
              <w:rPr>
                <w:rFonts w:ascii="Arial" w:hAnsi="Arial" w:cs="Arial"/>
                <w:sz w:val="20"/>
                <w:szCs w:val="20"/>
              </w:rPr>
              <w:t>25</w:t>
            </w:r>
            <w:r w:rsidR="0013366A" w:rsidRPr="00BA017A">
              <w:rPr>
                <w:rFonts w:ascii="Arial" w:hAnsi="Arial" w:cs="Arial"/>
                <w:sz w:val="20"/>
                <w:szCs w:val="20"/>
              </w:rPr>
              <w:t>0.00</w:t>
            </w:r>
          </w:p>
        </w:tc>
        <w:tc>
          <w:tcPr>
            <w:tcW w:w="3420" w:type="dxa"/>
            <w:vAlign w:val="center"/>
          </w:tcPr>
          <w:p w:rsidR="000C209F" w:rsidRPr="00BA017A" w:rsidRDefault="000A51D5" w:rsidP="00360664">
            <w:pPr>
              <w:spacing w:after="0" w:line="240" w:lineRule="auto"/>
              <w:ind w:left="-108" w:right="-108"/>
              <w:jc w:val="center"/>
              <w:rPr>
                <w:rFonts w:ascii="Arial" w:hAnsi="Arial" w:cs="Arial"/>
                <w:sz w:val="20"/>
                <w:szCs w:val="20"/>
              </w:rPr>
            </w:pPr>
            <w:r w:rsidRPr="00057F22">
              <w:rPr>
                <w:rFonts w:ascii="Arial" w:hAnsi="Arial" w:cs="Arial"/>
                <w:sz w:val="20"/>
                <w:szCs w:val="20"/>
              </w:rPr>
              <w:t>4</w:t>
            </w:r>
            <w:r w:rsidR="00DF4405" w:rsidRPr="00057F22">
              <w:rPr>
                <w:rFonts w:ascii="Arial" w:hAnsi="Arial" w:cs="Arial"/>
                <w:sz w:val="20"/>
                <w:szCs w:val="20"/>
              </w:rPr>
              <w:t>0</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2C2937"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rsidR="000C209F" w:rsidRPr="00BA017A" w:rsidRDefault="000C209F" w:rsidP="002C2937">
            <w:pPr>
              <w:spacing w:after="0" w:line="240" w:lineRule="auto"/>
              <w:ind w:right="-108"/>
              <w:jc w:val="center"/>
              <w:rPr>
                <w:rFonts w:ascii="Arial" w:hAnsi="Arial" w:cs="Arial"/>
                <w:sz w:val="20"/>
                <w:szCs w:val="20"/>
              </w:rPr>
            </w:pPr>
            <w:r w:rsidRPr="00BA017A">
              <w:rPr>
                <w:rFonts w:ascii="Arial" w:hAnsi="Arial" w:cs="Arial"/>
                <w:sz w:val="20"/>
                <w:szCs w:val="20"/>
              </w:rPr>
              <w:t>$</w:t>
            </w:r>
            <w:r w:rsidR="002C2937">
              <w:rPr>
                <w:rFonts w:ascii="Arial" w:hAnsi="Arial" w:cs="Arial"/>
                <w:sz w:val="20"/>
                <w:szCs w:val="20"/>
              </w:rPr>
              <w:t>0</w:t>
            </w:r>
          </w:p>
        </w:tc>
        <w:tc>
          <w:tcPr>
            <w:tcW w:w="3420" w:type="dxa"/>
          </w:tcPr>
          <w:p w:rsidR="000C209F" w:rsidRPr="00BA017A" w:rsidRDefault="00F66B8C" w:rsidP="00D320B8">
            <w:pPr>
              <w:spacing w:after="0" w:line="240" w:lineRule="auto"/>
              <w:ind w:left="-108" w:right="-108"/>
              <w:jc w:val="center"/>
              <w:rPr>
                <w:rFonts w:ascii="Arial" w:hAnsi="Arial" w:cs="Arial"/>
                <w:sz w:val="20"/>
                <w:szCs w:val="20"/>
              </w:rPr>
            </w:pPr>
            <w:r>
              <w:rPr>
                <w:rFonts w:ascii="Arial" w:hAnsi="Arial" w:cs="Arial"/>
                <w:sz w:val="20"/>
                <w:szCs w:val="20"/>
              </w:rPr>
              <w:t>7</w:t>
            </w:r>
            <w:r w:rsidR="00D320B8">
              <w:rPr>
                <w:rFonts w:ascii="Arial" w:hAnsi="Arial" w:cs="Arial"/>
                <w:sz w:val="20"/>
                <w:szCs w:val="20"/>
              </w:rPr>
              <w:t>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Progress this Quarter (includes meetings, work plan status, contract status, significant progress, etc.):</w:t>
            </w:r>
          </w:p>
          <w:p w:rsidR="00630F0C" w:rsidRDefault="00630F0C" w:rsidP="00630F0C">
            <w:pPr>
              <w:spacing w:after="0" w:line="240" w:lineRule="auto"/>
              <w:rPr>
                <w:rFonts w:ascii="Arial" w:hAnsi="Arial" w:cs="Arial"/>
                <w:sz w:val="20"/>
                <w:szCs w:val="20"/>
              </w:rPr>
            </w:pPr>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C006F1" w:rsidRPr="000B0226">
              <w:rPr>
                <w:rFonts w:ascii="Arial" w:hAnsi="Arial" w:cs="Arial"/>
                <w:sz w:val="20"/>
                <w:szCs w:val="20"/>
              </w:rPr>
              <w:t xml:space="preserve">% complete.  </w:t>
            </w:r>
            <w:r w:rsidR="00D107FE" w:rsidRPr="000B0226">
              <w:rPr>
                <w:rFonts w:ascii="Arial" w:hAnsi="Arial" w:cs="Arial"/>
                <w:sz w:val="20"/>
                <w:szCs w:val="20"/>
              </w:rPr>
              <w:t>The s</w:t>
            </w:r>
            <w:r w:rsidR="0095508B" w:rsidRPr="000B0226">
              <w:rPr>
                <w:rFonts w:ascii="Arial" w:hAnsi="Arial" w:cs="Arial"/>
                <w:sz w:val="20"/>
                <w:szCs w:val="20"/>
              </w:rPr>
              <w:t>ummary report for the task testing</w:t>
            </w:r>
            <w:r w:rsidR="00D107FE" w:rsidRPr="000B0226">
              <w:rPr>
                <w:rFonts w:ascii="Arial" w:hAnsi="Arial" w:cs="Arial"/>
                <w:sz w:val="20"/>
                <w:szCs w:val="20"/>
              </w:rPr>
              <w:t xml:space="preserve"> was shared with the TAC for their review.</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xml:space="preserve">% complete.  </w:t>
            </w:r>
            <w:r w:rsidR="00D107FE" w:rsidRPr="000B0226">
              <w:rPr>
                <w:rFonts w:ascii="Arial" w:hAnsi="Arial" w:cs="Arial"/>
                <w:sz w:val="20"/>
                <w:szCs w:val="20"/>
              </w:rPr>
              <w:t>The summary report for the task testing was shared with the TAC for their review.</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0B0226">
              <w:rPr>
                <w:rFonts w:ascii="Arial" w:hAnsi="Arial" w:cs="Arial"/>
                <w:sz w:val="20"/>
                <w:szCs w:val="20"/>
              </w:rPr>
              <w:t>7</w:t>
            </w:r>
            <w:r w:rsidR="000B0226" w:rsidRPr="000B0226">
              <w:rPr>
                <w:rFonts w:ascii="Arial" w:hAnsi="Arial" w:cs="Arial"/>
                <w:sz w:val="20"/>
                <w:szCs w:val="20"/>
              </w:rPr>
              <w:t>0</w:t>
            </w:r>
            <w:r w:rsidR="0034356F" w:rsidRPr="000B0226">
              <w:rPr>
                <w:rFonts w:ascii="Arial" w:hAnsi="Arial" w:cs="Arial"/>
                <w:sz w:val="20"/>
                <w:szCs w:val="20"/>
              </w:rPr>
              <w:t xml:space="preserve">% complete.  </w:t>
            </w:r>
            <w:r w:rsidR="00731D90" w:rsidRPr="000B0226">
              <w:rPr>
                <w:rFonts w:ascii="Arial" w:hAnsi="Arial" w:cs="Arial"/>
                <w:sz w:val="20"/>
                <w:szCs w:val="20"/>
              </w:rPr>
              <w:t xml:space="preserve">BYU </w:t>
            </w:r>
            <w:r w:rsidR="00734A5F" w:rsidRPr="000B0226">
              <w:rPr>
                <w:rFonts w:ascii="Arial" w:hAnsi="Arial" w:cs="Arial"/>
                <w:sz w:val="20"/>
                <w:szCs w:val="20"/>
              </w:rPr>
              <w:t>continued</w:t>
            </w:r>
            <w:r w:rsidR="0034356F" w:rsidRPr="000B0226">
              <w:rPr>
                <w:rFonts w:ascii="Arial" w:hAnsi="Arial" w:cs="Arial"/>
                <w:sz w:val="20"/>
                <w:szCs w:val="20"/>
              </w:rPr>
              <w:t xml:space="preserve"> </w:t>
            </w:r>
            <w:r w:rsidR="00731D90" w:rsidRPr="000B0226">
              <w:rPr>
                <w:rFonts w:ascii="Arial" w:hAnsi="Arial" w:cs="Arial"/>
                <w:sz w:val="20"/>
                <w:szCs w:val="20"/>
              </w:rPr>
              <w:t xml:space="preserve">the </w:t>
            </w:r>
            <w:r w:rsidR="0034356F" w:rsidRPr="000B0226">
              <w:rPr>
                <w:rFonts w:ascii="Arial" w:hAnsi="Arial" w:cs="Arial"/>
                <w:sz w:val="20"/>
                <w:szCs w:val="20"/>
              </w:rPr>
              <w:t>test data reduction and analysis.</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4065F9" w:rsidRPr="000B0226">
              <w:rPr>
                <w:rFonts w:ascii="Arial" w:hAnsi="Arial" w:cs="Arial"/>
                <w:sz w:val="20"/>
                <w:szCs w:val="20"/>
              </w:rPr>
              <w:t>2</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lastRenderedPageBreak/>
              <w:t xml:space="preserve">Task 6 – </w:t>
            </w:r>
            <w:r w:rsidR="00C006F1" w:rsidRPr="000B0226">
              <w:rPr>
                <w:rFonts w:ascii="Arial" w:hAnsi="Arial" w:cs="Arial"/>
                <w:sz w:val="20"/>
                <w:szCs w:val="20"/>
              </w:rPr>
              <w:t>No work yet.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C10962" w:rsidRPr="000B0226">
              <w:rPr>
                <w:rFonts w:ascii="Arial" w:hAnsi="Arial" w:cs="Arial"/>
                <w:sz w:val="20"/>
                <w:szCs w:val="20"/>
              </w:rPr>
              <w:t>30</w:t>
            </w:r>
            <w:r w:rsidR="00C006F1" w:rsidRPr="000B0226">
              <w:rPr>
                <w:rFonts w:ascii="Arial" w:hAnsi="Arial" w:cs="Arial"/>
                <w:sz w:val="20"/>
                <w:szCs w:val="20"/>
              </w:rPr>
              <w:t>% complete.</w:t>
            </w:r>
            <w:r w:rsidR="0034356F" w:rsidRPr="000B0226">
              <w:rPr>
                <w:rFonts w:ascii="Arial" w:hAnsi="Arial" w:cs="Arial"/>
                <w:sz w:val="20"/>
                <w:szCs w:val="20"/>
              </w:rPr>
              <w:t xml:space="preserve">  </w:t>
            </w:r>
            <w:r w:rsidR="00C10962" w:rsidRPr="000B0226">
              <w:rPr>
                <w:rFonts w:ascii="Arial" w:hAnsi="Arial" w:cs="Arial"/>
                <w:sz w:val="20"/>
                <w:szCs w:val="20"/>
              </w:rPr>
              <w:t xml:space="preserve">A web-conference </w:t>
            </w:r>
            <w:r w:rsidR="00603845" w:rsidRPr="000B0226">
              <w:rPr>
                <w:rFonts w:ascii="Arial" w:hAnsi="Arial" w:cs="Arial"/>
                <w:sz w:val="20"/>
                <w:szCs w:val="20"/>
              </w:rPr>
              <w:t>TAC meeting w</w:t>
            </w:r>
            <w:r w:rsidR="00C10962" w:rsidRPr="000B0226">
              <w:rPr>
                <w:rFonts w:ascii="Arial" w:hAnsi="Arial" w:cs="Arial"/>
                <w:sz w:val="20"/>
                <w:szCs w:val="20"/>
              </w:rPr>
              <w:t>as</w:t>
            </w:r>
            <w:r w:rsidR="00603845" w:rsidRPr="000B0226">
              <w:rPr>
                <w:rFonts w:ascii="Arial" w:hAnsi="Arial" w:cs="Arial"/>
                <w:sz w:val="20"/>
                <w:szCs w:val="20"/>
              </w:rPr>
              <w:t xml:space="preserve"> held </w:t>
            </w:r>
            <w:r w:rsidR="00C10962" w:rsidRPr="000B0226">
              <w:rPr>
                <w:rFonts w:ascii="Arial" w:hAnsi="Arial" w:cs="Arial"/>
                <w:sz w:val="20"/>
                <w:szCs w:val="20"/>
              </w:rPr>
              <w:t>on May 26</w:t>
            </w:r>
            <w:r w:rsidR="00603845" w:rsidRPr="000B0226">
              <w:rPr>
                <w:rFonts w:ascii="Arial" w:hAnsi="Arial" w:cs="Arial"/>
                <w:sz w:val="20"/>
                <w:szCs w:val="20"/>
              </w:rPr>
              <w:t>.</w:t>
            </w:r>
            <w:r w:rsidR="00C10962" w:rsidRPr="000B0226">
              <w:t xml:space="preserve">  </w:t>
            </w:r>
            <w:r w:rsidR="00C10962" w:rsidRPr="000B0226">
              <w:rPr>
                <w:rFonts w:ascii="Arial" w:hAnsi="Arial" w:cs="Arial"/>
                <w:sz w:val="20"/>
                <w:szCs w:val="20"/>
              </w:rPr>
              <w:t>Kyle Rollins provided recent results from comparison and analysis of the shaking table test data.  The group also discussed next steps.</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Anticipated work next quarter</w:t>
            </w:r>
            <w:r w:rsidRPr="00BA017A">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EE1FED" w:rsidRPr="000B0226">
              <w:rPr>
                <w:rFonts w:ascii="Arial" w:hAnsi="Arial" w:cs="Arial"/>
                <w:sz w:val="20"/>
                <w:szCs w:val="20"/>
              </w:rPr>
              <w:t xml:space="preserve">Continue with </w:t>
            </w:r>
            <w:r w:rsidR="00FF6E5D" w:rsidRPr="000B0226">
              <w:rPr>
                <w:rFonts w:ascii="Arial" w:hAnsi="Arial" w:cs="Arial"/>
                <w:sz w:val="20"/>
                <w:szCs w:val="20"/>
              </w:rPr>
              <w:t>t</w:t>
            </w:r>
            <w:r w:rsidR="00EE1FED" w:rsidRPr="000B0226">
              <w:rPr>
                <w:rFonts w:ascii="Arial" w:hAnsi="Arial" w:cs="Arial"/>
                <w:sz w:val="20"/>
                <w:szCs w:val="20"/>
              </w:rPr>
              <w:t>est data reduction and analysis.</w:t>
            </w:r>
            <w:r w:rsidR="00794A7D" w:rsidRPr="000B0226">
              <w:rPr>
                <w:rFonts w:ascii="Arial" w:hAnsi="Arial" w:cs="Arial"/>
                <w:sz w:val="20"/>
                <w:szCs w:val="20"/>
              </w:rPr>
              <w:t xml:space="preserve">  Prepare </w:t>
            </w:r>
            <w:r w:rsidR="001F6901" w:rsidRPr="000B0226">
              <w:rPr>
                <w:rFonts w:ascii="Arial" w:hAnsi="Arial" w:cs="Arial"/>
                <w:sz w:val="20"/>
                <w:szCs w:val="20"/>
              </w:rPr>
              <w:t>summary reports for this task.</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6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056C80" w:rsidRPr="000B0226">
              <w:rPr>
                <w:rFonts w:ascii="Arial" w:hAnsi="Arial" w:cs="Arial"/>
                <w:sz w:val="20"/>
                <w:szCs w:val="20"/>
              </w:rPr>
              <w:t xml:space="preserve">additional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47348C" w:rsidRDefault="0047348C" w:rsidP="00360664">
            <w:pPr>
              <w:spacing w:after="0" w:line="240" w:lineRule="auto"/>
              <w:rPr>
                <w:rFonts w:ascii="Arial" w:hAnsi="Arial" w:cs="Arial"/>
                <w:sz w:val="20"/>
                <w:szCs w:val="20"/>
              </w:rPr>
            </w:pPr>
          </w:p>
          <w:p w:rsidR="00057F22" w:rsidRDefault="00057F22" w:rsidP="00057F22">
            <w:pPr>
              <w:pStyle w:val="BodyText"/>
              <w:spacing w:line="240" w:lineRule="auto"/>
              <w:ind w:firstLine="0"/>
              <w:rPr>
                <w:rFonts w:ascii="Arial" w:hAnsi="Arial" w:cs="Arial"/>
                <w:sz w:val="20"/>
              </w:rPr>
            </w:pPr>
            <w:r>
              <w:rPr>
                <w:rFonts w:ascii="Arial" w:hAnsi="Arial" w:cs="Arial"/>
                <w:sz w:val="20"/>
              </w:rPr>
              <w:t>During this quarter we have focused on preparing a summary report describing the test results from the laminar shear box testing (Task 4).  Preliminary reports on the basic results were provided to the TAC members.  In addition to the plots shown in the preliminary report, we have been developing plots of volumetric strain vs</w:t>
            </w:r>
            <w:r w:rsidR="000E7D29">
              <w:rPr>
                <w:rFonts w:ascii="Arial" w:hAnsi="Arial" w:cs="Arial"/>
                <w:sz w:val="20"/>
              </w:rPr>
              <w:t>.</w:t>
            </w:r>
            <w:r>
              <w:rPr>
                <w:rFonts w:ascii="Arial" w:hAnsi="Arial" w:cs="Arial"/>
                <w:sz w:val="20"/>
              </w:rPr>
              <w:t xml:space="preserve"> depth from each test (0.05g, 0.10g, and 0.20g) for each of the three rounds of testing. </w:t>
            </w:r>
            <w:r w:rsidRPr="00057F22">
              <w:rPr>
                <w:rFonts w:ascii="Arial" w:hAnsi="Arial" w:cs="Arial"/>
                <w:sz w:val="20"/>
              </w:rPr>
              <w:t xml:space="preserve">Volumetric strain was calculated using settlement data obtained from the </w:t>
            </w:r>
            <w:proofErr w:type="spellStart"/>
            <w:r w:rsidRPr="00057F22">
              <w:rPr>
                <w:rFonts w:ascii="Arial" w:hAnsi="Arial" w:cs="Arial"/>
                <w:sz w:val="20"/>
              </w:rPr>
              <w:t>Sondex</w:t>
            </w:r>
            <w:proofErr w:type="spellEnd"/>
            <w:r w:rsidRPr="00057F22">
              <w:rPr>
                <w:rFonts w:ascii="Arial" w:hAnsi="Arial" w:cs="Arial"/>
                <w:sz w:val="20"/>
              </w:rPr>
              <w:t xml:space="preserve"> </w:t>
            </w:r>
            <w:proofErr w:type="spellStart"/>
            <w:r w:rsidRPr="00057F22">
              <w:rPr>
                <w:rFonts w:ascii="Arial" w:hAnsi="Arial" w:cs="Arial"/>
                <w:sz w:val="20"/>
              </w:rPr>
              <w:t>profilometers</w:t>
            </w:r>
            <w:proofErr w:type="spellEnd"/>
            <w:r w:rsidRPr="00057F22">
              <w:rPr>
                <w:rFonts w:ascii="Arial" w:hAnsi="Arial" w:cs="Arial"/>
                <w:sz w:val="20"/>
              </w:rPr>
              <w:t xml:space="preserve">. Data was collected at intervals of approximately 2 feet. Strain was calculated at each </w:t>
            </w:r>
            <w:proofErr w:type="spellStart"/>
            <w:r w:rsidRPr="00057F22">
              <w:rPr>
                <w:rFonts w:ascii="Arial" w:hAnsi="Arial" w:cs="Arial"/>
                <w:sz w:val="20"/>
              </w:rPr>
              <w:t>Sondex</w:t>
            </w:r>
            <w:proofErr w:type="spellEnd"/>
            <w:r w:rsidRPr="00057F22">
              <w:rPr>
                <w:rFonts w:ascii="Arial" w:hAnsi="Arial" w:cs="Arial"/>
                <w:sz w:val="20"/>
              </w:rPr>
              <w:t xml:space="preserve"> measurement by taking half of the strain between that point and the one above it and half of the strain from between the same point and the point below it.  </w:t>
            </w:r>
            <w:r>
              <w:rPr>
                <w:rFonts w:ascii="Arial" w:hAnsi="Arial" w:cs="Arial"/>
                <w:sz w:val="20"/>
              </w:rPr>
              <w:t>Be</w:t>
            </w:r>
            <w:r w:rsidRPr="00057F22">
              <w:rPr>
                <w:rFonts w:ascii="Arial" w:hAnsi="Arial" w:cs="Arial"/>
                <w:sz w:val="20"/>
              </w:rPr>
              <w:t xml:space="preserve">cause the length and width of the box at all points remains the same, this strain is equal to the volumetric strain. </w:t>
            </w:r>
            <w:r>
              <w:rPr>
                <w:rFonts w:ascii="Arial" w:hAnsi="Arial" w:cs="Arial"/>
                <w:sz w:val="20"/>
              </w:rPr>
              <w:t>Figure 1</w:t>
            </w:r>
            <w:r w:rsidR="000E7D29">
              <w:rPr>
                <w:rFonts w:ascii="Arial" w:hAnsi="Arial" w:cs="Arial"/>
                <w:sz w:val="20"/>
              </w:rPr>
              <w:t xml:space="preserve"> </w:t>
            </w:r>
            <w:bookmarkStart w:id="0" w:name="_GoBack"/>
            <w:bookmarkEnd w:id="0"/>
            <w:r w:rsidRPr="00057F22">
              <w:rPr>
                <w:rFonts w:ascii="Arial" w:hAnsi="Arial" w:cs="Arial"/>
                <w:sz w:val="20"/>
              </w:rPr>
              <w:t>through</w:t>
            </w:r>
            <w:r>
              <w:rPr>
                <w:rFonts w:ascii="Arial" w:hAnsi="Arial" w:cs="Arial"/>
                <w:sz w:val="20"/>
              </w:rPr>
              <w:t xml:space="preserve"> Figure 3</w:t>
            </w:r>
            <w:r w:rsidRPr="00057F22">
              <w:rPr>
                <w:rFonts w:ascii="Arial" w:hAnsi="Arial" w:cs="Arial"/>
                <w:sz w:val="20"/>
              </w:rPr>
              <w:t xml:space="preserve"> show the volumetric strain profiles for each round of testing. </w:t>
            </w:r>
            <w:r>
              <w:rPr>
                <w:rFonts w:ascii="Arial" w:hAnsi="Arial" w:cs="Arial"/>
                <w:sz w:val="20"/>
              </w:rPr>
              <w:t>The s</w:t>
            </w:r>
            <w:r w:rsidRPr="00057F22">
              <w:rPr>
                <w:rFonts w:ascii="Arial" w:hAnsi="Arial" w:cs="Arial"/>
                <w:sz w:val="20"/>
              </w:rPr>
              <w:t xml:space="preserve">train calculated from both </w:t>
            </w:r>
            <w:proofErr w:type="spellStart"/>
            <w:r w:rsidRPr="00057F22">
              <w:rPr>
                <w:rFonts w:ascii="Arial" w:hAnsi="Arial" w:cs="Arial"/>
                <w:sz w:val="20"/>
              </w:rPr>
              <w:t>Sondex</w:t>
            </w:r>
            <w:proofErr w:type="spellEnd"/>
            <w:r w:rsidRPr="00057F22">
              <w:rPr>
                <w:rFonts w:ascii="Arial" w:hAnsi="Arial" w:cs="Arial"/>
                <w:sz w:val="20"/>
              </w:rPr>
              <w:t xml:space="preserve"> </w:t>
            </w:r>
            <w:proofErr w:type="spellStart"/>
            <w:r w:rsidRPr="00057F22">
              <w:rPr>
                <w:rFonts w:ascii="Arial" w:hAnsi="Arial" w:cs="Arial"/>
                <w:sz w:val="20"/>
              </w:rPr>
              <w:t>profilometers</w:t>
            </w:r>
            <w:proofErr w:type="spellEnd"/>
            <w:r w:rsidRPr="00057F22">
              <w:rPr>
                <w:rFonts w:ascii="Arial" w:hAnsi="Arial" w:cs="Arial"/>
                <w:sz w:val="20"/>
              </w:rPr>
              <w:t xml:space="preserve"> </w:t>
            </w:r>
            <w:r>
              <w:rPr>
                <w:rFonts w:ascii="Arial" w:hAnsi="Arial" w:cs="Arial"/>
                <w:sz w:val="20"/>
              </w:rPr>
              <w:t>is</w:t>
            </w:r>
            <w:r w:rsidRPr="00057F22">
              <w:rPr>
                <w:rFonts w:ascii="Arial" w:hAnsi="Arial" w:cs="Arial"/>
                <w:sz w:val="20"/>
              </w:rPr>
              <w:t xml:space="preserve"> included.  </w:t>
            </w:r>
            <w:r>
              <w:rPr>
                <w:rFonts w:ascii="Arial" w:hAnsi="Arial" w:cs="Arial"/>
                <w:sz w:val="20"/>
              </w:rPr>
              <w:t>Results from t</w:t>
            </w:r>
            <w:r w:rsidRPr="00057F22">
              <w:rPr>
                <w:rFonts w:ascii="Arial" w:hAnsi="Arial" w:cs="Arial"/>
                <w:sz w:val="20"/>
              </w:rPr>
              <w:t xml:space="preserve">he </w:t>
            </w:r>
            <w:proofErr w:type="spellStart"/>
            <w:r w:rsidRPr="00057F22">
              <w:rPr>
                <w:rFonts w:ascii="Arial" w:hAnsi="Arial" w:cs="Arial"/>
                <w:sz w:val="20"/>
              </w:rPr>
              <w:t>Sondex</w:t>
            </w:r>
            <w:proofErr w:type="spellEnd"/>
            <w:r w:rsidRPr="00057F22">
              <w:rPr>
                <w:rFonts w:ascii="Arial" w:hAnsi="Arial" w:cs="Arial"/>
                <w:sz w:val="20"/>
              </w:rPr>
              <w:t xml:space="preserve"> </w:t>
            </w:r>
            <w:proofErr w:type="spellStart"/>
            <w:r w:rsidRPr="00057F22">
              <w:rPr>
                <w:rFonts w:ascii="Arial" w:hAnsi="Arial" w:cs="Arial"/>
                <w:sz w:val="20"/>
              </w:rPr>
              <w:t>profilometer</w:t>
            </w:r>
            <w:proofErr w:type="spellEnd"/>
            <w:r w:rsidRPr="00057F22">
              <w:rPr>
                <w:rFonts w:ascii="Arial" w:hAnsi="Arial" w:cs="Arial"/>
                <w:sz w:val="20"/>
              </w:rPr>
              <w:t xml:space="preserve"> located in the center of the box is shown on the left, while</w:t>
            </w:r>
            <w:r w:rsidR="003A3C99">
              <w:rPr>
                <w:rFonts w:ascii="Arial" w:hAnsi="Arial" w:cs="Arial"/>
                <w:sz w:val="20"/>
              </w:rPr>
              <w:t xml:space="preserve"> results from the</w:t>
            </w:r>
            <w:r w:rsidRPr="00057F22">
              <w:rPr>
                <w:rFonts w:ascii="Arial" w:hAnsi="Arial" w:cs="Arial"/>
                <w:sz w:val="20"/>
              </w:rPr>
              <w:t xml:space="preserve"> </w:t>
            </w:r>
            <w:proofErr w:type="spellStart"/>
            <w:r w:rsidRPr="00057F22">
              <w:rPr>
                <w:rFonts w:ascii="Arial" w:hAnsi="Arial" w:cs="Arial"/>
                <w:sz w:val="20"/>
              </w:rPr>
              <w:t>profilometer</w:t>
            </w:r>
            <w:proofErr w:type="spellEnd"/>
            <w:r w:rsidRPr="00057F22">
              <w:rPr>
                <w:rFonts w:ascii="Arial" w:hAnsi="Arial" w:cs="Arial"/>
                <w:sz w:val="20"/>
              </w:rPr>
              <w:t xml:space="preserve"> located on the East end is shown on the right.</w:t>
            </w:r>
            <w:r w:rsidR="00CE2891">
              <w:rPr>
                <w:rFonts w:ascii="Arial" w:hAnsi="Arial" w:cs="Arial"/>
                <w:sz w:val="20"/>
              </w:rPr>
              <w:t xml:space="preserve"> Unfortunately, similar measurements were not made for the tests without drains so compar</w:t>
            </w:r>
            <w:r w:rsidR="00892EB4">
              <w:rPr>
                <w:rFonts w:ascii="Arial" w:hAnsi="Arial" w:cs="Arial"/>
                <w:sz w:val="20"/>
              </w:rPr>
              <w:t>isons can’t be made.</w:t>
            </w:r>
          </w:p>
          <w:p w:rsidR="003C1223" w:rsidRDefault="003C1223" w:rsidP="00057F22">
            <w:pPr>
              <w:pStyle w:val="BodyText"/>
              <w:spacing w:line="240" w:lineRule="auto"/>
              <w:ind w:firstLine="0"/>
              <w:rPr>
                <w:rFonts w:ascii="Arial" w:hAnsi="Arial" w:cs="Arial"/>
                <w:sz w:val="20"/>
              </w:rPr>
            </w:pPr>
          </w:p>
          <w:p w:rsidR="003C1223" w:rsidRDefault="003C1223" w:rsidP="00057F22">
            <w:pPr>
              <w:pStyle w:val="BodyText"/>
              <w:spacing w:line="240" w:lineRule="auto"/>
              <w:ind w:firstLine="0"/>
              <w:rPr>
                <w:rFonts w:ascii="Arial" w:hAnsi="Arial" w:cs="Arial"/>
                <w:sz w:val="20"/>
              </w:rPr>
            </w:pPr>
            <w:r>
              <w:rPr>
                <w:rFonts w:ascii="Arial" w:hAnsi="Arial" w:cs="Arial"/>
                <w:sz w:val="20"/>
              </w:rPr>
              <w:t xml:space="preserve">The volumetric strain profiles tell us that the strain is apparently not uniform with depth as might have been anticipated.  In general, </w:t>
            </w:r>
            <w:r w:rsidR="006F5E19">
              <w:rPr>
                <w:rFonts w:ascii="Arial" w:hAnsi="Arial" w:cs="Arial"/>
                <w:sz w:val="20"/>
              </w:rPr>
              <w:t>strain te</w:t>
            </w:r>
            <w:r w:rsidR="00892EB4">
              <w:rPr>
                <w:rFonts w:ascii="Arial" w:hAnsi="Arial" w:cs="Arial"/>
                <w:sz w:val="20"/>
              </w:rPr>
              <w:t>nd</w:t>
            </w:r>
            <w:r w:rsidR="006F5E19">
              <w:rPr>
                <w:rFonts w:ascii="Arial" w:hAnsi="Arial" w:cs="Arial"/>
                <w:sz w:val="20"/>
              </w:rPr>
              <w:t xml:space="preserve">s to be greater near the surface for the </w:t>
            </w:r>
            <w:r w:rsidR="00892EB4">
              <w:rPr>
                <w:rFonts w:ascii="Arial" w:hAnsi="Arial" w:cs="Arial"/>
                <w:sz w:val="20"/>
              </w:rPr>
              <w:t xml:space="preserve">tests at </w:t>
            </w:r>
            <w:r w:rsidR="006F5E19">
              <w:rPr>
                <w:rFonts w:ascii="Arial" w:hAnsi="Arial" w:cs="Arial"/>
                <w:sz w:val="20"/>
              </w:rPr>
              <w:t xml:space="preserve">lower acceleration levels but increases at </w:t>
            </w:r>
            <w:r w:rsidR="00CE2891">
              <w:rPr>
                <w:rFonts w:ascii="Arial" w:hAnsi="Arial" w:cs="Arial"/>
                <w:sz w:val="20"/>
              </w:rPr>
              <w:t>greater</w:t>
            </w:r>
            <w:r w:rsidR="006F5E19">
              <w:rPr>
                <w:rFonts w:ascii="Arial" w:hAnsi="Arial" w:cs="Arial"/>
                <w:sz w:val="20"/>
              </w:rPr>
              <w:t xml:space="preserve"> depths as the acceleration increases. </w:t>
            </w:r>
            <w:r w:rsidR="00892EB4">
              <w:rPr>
                <w:rFonts w:ascii="Arial" w:hAnsi="Arial" w:cs="Arial"/>
                <w:sz w:val="20"/>
              </w:rPr>
              <w:t xml:space="preserve"> </w:t>
            </w:r>
            <w:r w:rsidR="006F5E19">
              <w:rPr>
                <w:rFonts w:ascii="Arial" w:hAnsi="Arial" w:cs="Arial"/>
                <w:sz w:val="20"/>
              </w:rPr>
              <w:t>Of course, strain in subsequent tests is likely affected by settlement from the previous tests</w:t>
            </w:r>
            <w:r w:rsidR="00892EB4">
              <w:rPr>
                <w:rFonts w:ascii="Arial" w:hAnsi="Arial" w:cs="Arial"/>
                <w:sz w:val="20"/>
              </w:rPr>
              <w:t xml:space="preserve"> which leads to a denser soil</w:t>
            </w:r>
            <w:r w:rsidR="006F5E19">
              <w:rPr>
                <w:rFonts w:ascii="Arial" w:hAnsi="Arial" w:cs="Arial"/>
                <w:sz w:val="20"/>
              </w:rPr>
              <w:t xml:space="preserve">.  </w:t>
            </w:r>
            <w:r w:rsidR="00CE2891">
              <w:rPr>
                <w:rFonts w:ascii="Arial" w:hAnsi="Arial" w:cs="Arial"/>
                <w:sz w:val="20"/>
              </w:rPr>
              <w:t>In general the strain level decreases with each round of testing as the sand</w:t>
            </w:r>
            <w:r w:rsidR="00892EB4">
              <w:rPr>
                <w:rFonts w:ascii="Arial" w:hAnsi="Arial" w:cs="Arial"/>
                <w:sz w:val="20"/>
              </w:rPr>
              <w:t xml:space="preserve"> densifies.  </w:t>
            </w:r>
            <w:r w:rsidR="006F5E19">
              <w:rPr>
                <w:rFonts w:ascii="Arial" w:hAnsi="Arial" w:cs="Arial"/>
                <w:sz w:val="20"/>
              </w:rPr>
              <w:t xml:space="preserve">Some additional effort at smoothing the results </w:t>
            </w:r>
            <w:r w:rsidR="00CE2891">
              <w:rPr>
                <w:rFonts w:ascii="Arial" w:hAnsi="Arial" w:cs="Arial"/>
                <w:sz w:val="20"/>
              </w:rPr>
              <w:t>may be necessary to account for aberration</w:t>
            </w:r>
            <w:r w:rsidR="00AC6891">
              <w:rPr>
                <w:rFonts w:ascii="Arial" w:hAnsi="Arial" w:cs="Arial"/>
                <w:sz w:val="20"/>
              </w:rPr>
              <w:t>s</w:t>
            </w:r>
            <w:r w:rsidR="00CE2891">
              <w:rPr>
                <w:rFonts w:ascii="Arial" w:hAnsi="Arial" w:cs="Arial"/>
                <w:sz w:val="20"/>
              </w:rPr>
              <w:t xml:space="preserve"> in the measurements</w:t>
            </w:r>
            <w:r w:rsidR="00AC6891">
              <w:rPr>
                <w:rFonts w:ascii="Arial" w:hAnsi="Arial" w:cs="Arial"/>
                <w:sz w:val="20"/>
              </w:rPr>
              <w:t xml:space="preserve"> which may lead to some negative strain values</w:t>
            </w:r>
            <w:r w:rsidR="00CE2891">
              <w:rPr>
                <w:rFonts w:ascii="Arial" w:hAnsi="Arial" w:cs="Arial"/>
                <w:sz w:val="20"/>
              </w:rPr>
              <w:t>.</w:t>
            </w:r>
            <w:r w:rsidR="006F5E19">
              <w:rPr>
                <w:rFonts w:ascii="Arial" w:hAnsi="Arial" w:cs="Arial"/>
                <w:sz w:val="20"/>
              </w:rPr>
              <w:t xml:space="preserve"> </w:t>
            </w:r>
          </w:p>
          <w:p w:rsidR="00AC6891" w:rsidRPr="00057F22" w:rsidRDefault="00AC6891" w:rsidP="00057F22">
            <w:pPr>
              <w:pStyle w:val="BodyText"/>
              <w:spacing w:line="240" w:lineRule="auto"/>
              <w:ind w:firstLine="0"/>
              <w:rPr>
                <w:rFonts w:ascii="Arial" w:hAnsi="Arial" w:cs="Arial"/>
                <w:sz w:val="20"/>
              </w:rPr>
            </w:pPr>
          </w:p>
          <w:p w:rsidR="00057F22" w:rsidRDefault="00057F22" w:rsidP="00057F22">
            <w:pPr>
              <w:pStyle w:val="BodyText"/>
              <w:keepNext/>
              <w:ind w:firstLine="0"/>
            </w:pPr>
            <w:r>
              <w:rPr>
                <w:noProof/>
              </w:rPr>
              <w:drawing>
                <wp:inline distT="0" distB="0" distL="0" distR="0" wp14:anchorId="681BC16A" wp14:editId="0BD7FA52">
                  <wp:extent cx="5943600" cy="2371725"/>
                  <wp:effectExtent l="0" t="0" r="0" b="9525"/>
                  <wp:docPr id="6171" name="Picture 6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 name="93883C2.tmp"/>
                          <pic:cNvPicPr/>
                        </pic:nvPicPr>
                        <pic:blipFill>
                          <a:blip r:embed="rId9">
                            <a:extLst>
                              <a:ext uri="{28A0092B-C50C-407E-A947-70E740481C1C}">
                                <a14:useLocalDpi xmlns:a14="http://schemas.microsoft.com/office/drawing/2010/main" val="0"/>
                              </a:ext>
                            </a:extLst>
                          </a:blip>
                          <a:stretch>
                            <a:fillRect/>
                          </a:stretch>
                        </pic:blipFill>
                        <pic:spPr>
                          <a:xfrm>
                            <a:off x="0" y="0"/>
                            <a:ext cx="5943600" cy="2371725"/>
                          </a:xfrm>
                          <a:prstGeom prst="rect">
                            <a:avLst/>
                          </a:prstGeom>
                        </pic:spPr>
                      </pic:pic>
                    </a:graphicData>
                  </a:graphic>
                </wp:inline>
              </w:drawing>
            </w:r>
          </w:p>
          <w:p w:rsidR="00057F22" w:rsidRPr="00377C67" w:rsidRDefault="00057F22" w:rsidP="00057F22">
            <w:pPr>
              <w:pStyle w:val="Caption"/>
              <w:jc w:val="both"/>
            </w:pPr>
            <w:bookmarkStart w:id="1" w:name="_Toc424832405"/>
            <w:r>
              <w:t xml:space="preserve">Figure 1. </w:t>
            </w:r>
            <w:r w:rsidRPr="000D500F">
              <w:t xml:space="preserve">Profiles of </w:t>
            </w:r>
            <w:r>
              <w:t xml:space="preserve">volumetric strain versus depth using </w:t>
            </w:r>
            <w:proofErr w:type="spellStart"/>
            <w:r>
              <w:t>Sondex</w:t>
            </w:r>
            <w:proofErr w:type="spellEnd"/>
            <w:r>
              <w:t xml:space="preserve"> measurements </w:t>
            </w:r>
            <w:r w:rsidRPr="000D500F">
              <w:t xml:space="preserve">for </w:t>
            </w:r>
            <w:r>
              <w:t>round 1</w:t>
            </w:r>
            <w:bookmarkEnd w:id="1"/>
          </w:p>
          <w:p w:rsidR="00057F22" w:rsidRDefault="00057F22" w:rsidP="00057F22">
            <w:pPr>
              <w:pStyle w:val="BodyText"/>
              <w:keepNext/>
              <w:ind w:firstLine="0"/>
            </w:pPr>
            <w:r>
              <w:rPr>
                <w:noProof/>
              </w:rPr>
              <w:lastRenderedPageBreak/>
              <w:drawing>
                <wp:inline distT="0" distB="0" distL="0" distR="0" wp14:anchorId="77AAC419" wp14:editId="6D31E8A4">
                  <wp:extent cx="5943600" cy="2371725"/>
                  <wp:effectExtent l="0" t="0" r="0" b="9525"/>
                  <wp:docPr id="6172" name="Picture 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 name="9381E0F.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2371725"/>
                          </a:xfrm>
                          <a:prstGeom prst="rect">
                            <a:avLst/>
                          </a:prstGeom>
                        </pic:spPr>
                      </pic:pic>
                    </a:graphicData>
                  </a:graphic>
                </wp:inline>
              </w:drawing>
            </w:r>
          </w:p>
          <w:p w:rsidR="00057F22" w:rsidRPr="00377C67" w:rsidRDefault="00057F22" w:rsidP="00057F22">
            <w:pPr>
              <w:pStyle w:val="Caption"/>
              <w:jc w:val="both"/>
            </w:pPr>
            <w:bookmarkStart w:id="2" w:name="_Toc424832406"/>
            <w:r>
              <w:t xml:space="preserve">Figure 2. </w:t>
            </w:r>
            <w:r w:rsidRPr="000D500F">
              <w:t xml:space="preserve">Profiles of </w:t>
            </w:r>
            <w:r>
              <w:t xml:space="preserve">volumetric strain versus depth using </w:t>
            </w:r>
            <w:proofErr w:type="spellStart"/>
            <w:r>
              <w:t>Sondex</w:t>
            </w:r>
            <w:proofErr w:type="spellEnd"/>
            <w:r>
              <w:t xml:space="preserve"> measurements </w:t>
            </w:r>
            <w:r w:rsidRPr="000D500F">
              <w:t xml:space="preserve">for </w:t>
            </w:r>
            <w:r>
              <w:t>round 2</w:t>
            </w:r>
            <w:bookmarkEnd w:id="2"/>
          </w:p>
          <w:p w:rsidR="00057F22" w:rsidRDefault="00057F22" w:rsidP="00057F22">
            <w:pPr>
              <w:pStyle w:val="Caption"/>
              <w:keepNext/>
              <w:ind w:firstLine="0"/>
              <w:jc w:val="left"/>
            </w:pPr>
            <w:r>
              <w:rPr>
                <w:noProof/>
              </w:rPr>
              <w:drawing>
                <wp:inline distT="0" distB="0" distL="0" distR="0" wp14:anchorId="2EB6DBA2" wp14:editId="381499AA">
                  <wp:extent cx="5943600" cy="2371090"/>
                  <wp:effectExtent l="0" t="0" r="0" b="0"/>
                  <wp:docPr id="6174" name="Picture 6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 name="9385363.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2371090"/>
                          </a:xfrm>
                          <a:prstGeom prst="rect">
                            <a:avLst/>
                          </a:prstGeom>
                        </pic:spPr>
                      </pic:pic>
                    </a:graphicData>
                  </a:graphic>
                </wp:inline>
              </w:drawing>
            </w:r>
          </w:p>
          <w:p w:rsidR="00057F22" w:rsidRPr="00C37DD7" w:rsidRDefault="00057F22" w:rsidP="00057F22">
            <w:pPr>
              <w:pStyle w:val="Caption"/>
              <w:jc w:val="left"/>
            </w:pPr>
            <w:bookmarkStart w:id="3" w:name="_Toc424832407"/>
            <w:r>
              <w:t xml:space="preserve">Figure 3. </w:t>
            </w:r>
            <w:r w:rsidRPr="000D500F">
              <w:t xml:space="preserve">Profiles of </w:t>
            </w:r>
            <w:r>
              <w:t xml:space="preserve">volumetric strain versus depth using </w:t>
            </w:r>
            <w:proofErr w:type="spellStart"/>
            <w:r>
              <w:t>Sondex</w:t>
            </w:r>
            <w:proofErr w:type="spellEnd"/>
            <w:r>
              <w:t xml:space="preserve"> measurements </w:t>
            </w:r>
            <w:r w:rsidRPr="000D500F">
              <w:t xml:space="preserve">for </w:t>
            </w:r>
            <w:r>
              <w:t>round 3</w:t>
            </w:r>
            <w:bookmarkEnd w:id="3"/>
          </w:p>
          <w:p w:rsidR="00057F22" w:rsidRDefault="00057F22" w:rsidP="00360664">
            <w:pPr>
              <w:spacing w:after="0" w:line="240" w:lineRule="auto"/>
              <w:rPr>
                <w:rFonts w:ascii="Arial" w:hAnsi="Arial" w:cs="Arial"/>
                <w:sz w:val="20"/>
                <w:szCs w:val="20"/>
              </w:rPr>
            </w:pPr>
          </w:p>
          <w:p w:rsidR="00ED7DD0" w:rsidRPr="00BA017A" w:rsidRDefault="00ED7DD0" w:rsidP="000B0226">
            <w:pPr>
              <w:tabs>
                <w:tab w:val="left" w:pos="1690"/>
              </w:tabs>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ED7DD0" w:rsidRDefault="00ED7DD0" w:rsidP="00360664">
            <w:pPr>
              <w:spacing w:after="0" w:line="240" w:lineRule="auto"/>
              <w:rPr>
                <w:rFonts w:ascii="Arial" w:hAnsi="Arial" w:cs="Arial"/>
                <w:b/>
                <w:sz w:val="20"/>
                <w:szCs w:val="20"/>
              </w:rPr>
            </w:pPr>
          </w:p>
          <w:p w:rsidR="00ED7DD0" w:rsidRPr="00AB4B9B" w:rsidRDefault="00AB4B9B" w:rsidP="00360664">
            <w:pPr>
              <w:spacing w:after="0" w:line="240" w:lineRule="auto"/>
              <w:rPr>
                <w:rFonts w:ascii="Arial" w:hAnsi="Arial" w:cs="Arial"/>
                <w:sz w:val="20"/>
                <w:szCs w:val="20"/>
              </w:rPr>
            </w:pPr>
            <w:r w:rsidRPr="00AB4B9B">
              <w:rPr>
                <w:rFonts w:ascii="Arial" w:hAnsi="Arial" w:cs="Arial"/>
                <w:sz w:val="20"/>
                <w:szCs w:val="20"/>
              </w:rPr>
              <w:t xml:space="preserve">Some </w:t>
            </w:r>
            <w:r>
              <w:rPr>
                <w:rFonts w:ascii="Arial" w:hAnsi="Arial" w:cs="Arial"/>
                <w:sz w:val="20"/>
                <w:szCs w:val="20"/>
              </w:rPr>
              <w:t>testing tasks and associated analysis have taken longer to complete than originally planned.  However, it is anticipated that the project tasks and deliverables will be completed within the original contract period.</w:t>
            </w:r>
          </w:p>
          <w:p w:rsidR="000C209F" w:rsidRPr="00BA017A" w:rsidRDefault="000C209F" w:rsidP="00D43E5A">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1C" w:rsidRDefault="007C3D1C" w:rsidP="00106C83">
      <w:pPr>
        <w:spacing w:after="0" w:line="240" w:lineRule="auto"/>
      </w:pPr>
      <w:r>
        <w:separator/>
      </w:r>
    </w:p>
  </w:endnote>
  <w:endnote w:type="continuationSeparator" w:id="0">
    <w:p w:rsidR="007C3D1C" w:rsidRDefault="007C3D1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37" w:rsidRDefault="002C2937" w:rsidP="00E371D1">
    <w:pPr>
      <w:pStyle w:val="Footer"/>
      <w:ind w:left="-810"/>
    </w:pPr>
    <w:r>
      <w:t>TPF Program Standard Quarterly Reporting Format – 7/2011</w:t>
    </w:r>
  </w:p>
  <w:p w:rsidR="002C2937" w:rsidRDefault="002C2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1C" w:rsidRDefault="007C3D1C" w:rsidP="00106C83">
      <w:pPr>
        <w:spacing w:after="0" w:line="240" w:lineRule="auto"/>
      </w:pPr>
      <w:r>
        <w:separator/>
      </w:r>
    </w:p>
  </w:footnote>
  <w:footnote w:type="continuationSeparator" w:id="0">
    <w:p w:rsidR="007C3D1C" w:rsidRDefault="007C3D1C"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20065"/>
    <w:rsid w:val="00033E93"/>
    <w:rsid w:val="00034653"/>
    <w:rsid w:val="00036117"/>
    <w:rsid w:val="00037FBC"/>
    <w:rsid w:val="00046DCA"/>
    <w:rsid w:val="00056C80"/>
    <w:rsid w:val="00057F22"/>
    <w:rsid w:val="00060908"/>
    <w:rsid w:val="00065E9D"/>
    <w:rsid w:val="00066F64"/>
    <w:rsid w:val="000672D5"/>
    <w:rsid w:val="000736BB"/>
    <w:rsid w:val="000759D5"/>
    <w:rsid w:val="00087DC0"/>
    <w:rsid w:val="000A0D23"/>
    <w:rsid w:val="000A20F3"/>
    <w:rsid w:val="000A51D5"/>
    <w:rsid w:val="000A7C22"/>
    <w:rsid w:val="000B0226"/>
    <w:rsid w:val="000B665A"/>
    <w:rsid w:val="000C209F"/>
    <w:rsid w:val="000E112D"/>
    <w:rsid w:val="000E25C9"/>
    <w:rsid w:val="000E7D29"/>
    <w:rsid w:val="000F752B"/>
    <w:rsid w:val="001046A4"/>
    <w:rsid w:val="00106C83"/>
    <w:rsid w:val="00112ABF"/>
    <w:rsid w:val="001143F6"/>
    <w:rsid w:val="00114731"/>
    <w:rsid w:val="001147C8"/>
    <w:rsid w:val="00115C8F"/>
    <w:rsid w:val="00122301"/>
    <w:rsid w:val="00122DE0"/>
    <w:rsid w:val="001268B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7062"/>
    <w:rsid w:val="001A2E6F"/>
    <w:rsid w:val="001A3C7B"/>
    <w:rsid w:val="001B57A7"/>
    <w:rsid w:val="001C0A2C"/>
    <w:rsid w:val="001C1E3F"/>
    <w:rsid w:val="001C6EB8"/>
    <w:rsid w:val="001C6EFD"/>
    <w:rsid w:val="001D012C"/>
    <w:rsid w:val="001D2FB4"/>
    <w:rsid w:val="001D7CC0"/>
    <w:rsid w:val="001E3627"/>
    <w:rsid w:val="001E7DD3"/>
    <w:rsid w:val="001F1101"/>
    <w:rsid w:val="001F516D"/>
    <w:rsid w:val="001F6901"/>
    <w:rsid w:val="002066D7"/>
    <w:rsid w:val="002072E0"/>
    <w:rsid w:val="00207C77"/>
    <w:rsid w:val="00210D6B"/>
    <w:rsid w:val="00212E33"/>
    <w:rsid w:val="0021353C"/>
    <w:rsid w:val="0021446D"/>
    <w:rsid w:val="00215208"/>
    <w:rsid w:val="00220D73"/>
    <w:rsid w:val="0022469B"/>
    <w:rsid w:val="002442E9"/>
    <w:rsid w:val="00245D5B"/>
    <w:rsid w:val="00254713"/>
    <w:rsid w:val="00266EF9"/>
    <w:rsid w:val="0027143D"/>
    <w:rsid w:val="002718CD"/>
    <w:rsid w:val="00291F1C"/>
    <w:rsid w:val="00293325"/>
    <w:rsid w:val="00293FD8"/>
    <w:rsid w:val="00294DE6"/>
    <w:rsid w:val="002953FD"/>
    <w:rsid w:val="00296B7E"/>
    <w:rsid w:val="00297670"/>
    <w:rsid w:val="002A322A"/>
    <w:rsid w:val="002A378C"/>
    <w:rsid w:val="002A79C8"/>
    <w:rsid w:val="002B12AD"/>
    <w:rsid w:val="002B7515"/>
    <w:rsid w:val="002C2937"/>
    <w:rsid w:val="002C4321"/>
    <w:rsid w:val="002D353E"/>
    <w:rsid w:val="00303BFD"/>
    <w:rsid w:val="00312592"/>
    <w:rsid w:val="0031390E"/>
    <w:rsid w:val="00315979"/>
    <w:rsid w:val="00317414"/>
    <w:rsid w:val="00320052"/>
    <w:rsid w:val="003372CD"/>
    <w:rsid w:val="0034356F"/>
    <w:rsid w:val="003463C6"/>
    <w:rsid w:val="00351F63"/>
    <w:rsid w:val="00360664"/>
    <w:rsid w:val="0036110A"/>
    <w:rsid w:val="00362F45"/>
    <w:rsid w:val="00363B3B"/>
    <w:rsid w:val="00364853"/>
    <w:rsid w:val="003801B7"/>
    <w:rsid w:val="00382110"/>
    <w:rsid w:val="0038529F"/>
    <w:rsid w:val="00386FBE"/>
    <w:rsid w:val="0038705A"/>
    <w:rsid w:val="00387494"/>
    <w:rsid w:val="003A0D13"/>
    <w:rsid w:val="003A3C99"/>
    <w:rsid w:val="003A6804"/>
    <w:rsid w:val="003A720F"/>
    <w:rsid w:val="003B06B3"/>
    <w:rsid w:val="003B6134"/>
    <w:rsid w:val="003B6363"/>
    <w:rsid w:val="003B79D4"/>
    <w:rsid w:val="003C1223"/>
    <w:rsid w:val="003E0A8C"/>
    <w:rsid w:val="003E4104"/>
    <w:rsid w:val="004034A7"/>
    <w:rsid w:val="00403587"/>
    <w:rsid w:val="004065F9"/>
    <w:rsid w:val="00407062"/>
    <w:rsid w:val="004144E6"/>
    <w:rsid w:val="004156B2"/>
    <w:rsid w:val="00420ACA"/>
    <w:rsid w:val="00433B9B"/>
    <w:rsid w:val="00434429"/>
    <w:rsid w:val="0043487E"/>
    <w:rsid w:val="00437734"/>
    <w:rsid w:val="00440147"/>
    <w:rsid w:val="004451CB"/>
    <w:rsid w:val="00447A40"/>
    <w:rsid w:val="0045218A"/>
    <w:rsid w:val="00452BD9"/>
    <w:rsid w:val="004579C4"/>
    <w:rsid w:val="00465C49"/>
    <w:rsid w:val="0047348C"/>
    <w:rsid w:val="004738F7"/>
    <w:rsid w:val="00474477"/>
    <w:rsid w:val="00483930"/>
    <w:rsid w:val="00484AAB"/>
    <w:rsid w:val="00487C28"/>
    <w:rsid w:val="004913CE"/>
    <w:rsid w:val="00492E2B"/>
    <w:rsid w:val="00496024"/>
    <w:rsid w:val="004963B0"/>
    <w:rsid w:val="004A0AD5"/>
    <w:rsid w:val="004B3555"/>
    <w:rsid w:val="004C447F"/>
    <w:rsid w:val="004C4487"/>
    <w:rsid w:val="004C7444"/>
    <w:rsid w:val="004D5EEE"/>
    <w:rsid w:val="004D6151"/>
    <w:rsid w:val="004D6DF5"/>
    <w:rsid w:val="004D778C"/>
    <w:rsid w:val="004E04B8"/>
    <w:rsid w:val="004E14DC"/>
    <w:rsid w:val="004E46AD"/>
    <w:rsid w:val="004E4A6C"/>
    <w:rsid w:val="005030A0"/>
    <w:rsid w:val="0051500B"/>
    <w:rsid w:val="00535598"/>
    <w:rsid w:val="00535AE5"/>
    <w:rsid w:val="0053701E"/>
    <w:rsid w:val="005373F0"/>
    <w:rsid w:val="00547EE3"/>
    <w:rsid w:val="0055178A"/>
    <w:rsid w:val="00551855"/>
    <w:rsid w:val="00551D8A"/>
    <w:rsid w:val="00553DF8"/>
    <w:rsid w:val="00574EA0"/>
    <w:rsid w:val="00581B36"/>
    <w:rsid w:val="00582FD5"/>
    <w:rsid w:val="005831C1"/>
    <w:rsid w:val="00583E8E"/>
    <w:rsid w:val="005841C9"/>
    <w:rsid w:val="0059223A"/>
    <w:rsid w:val="0059636D"/>
    <w:rsid w:val="005B2685"/>
    <w:rsid w:val="005B2E45"/>
    <w:rsid w:val="005B4511"/>
    <w:rsid w:val="005B6D52"/>
    <w:rsid w:val="005C75FE"/>
    <w:rsid w:val="005D3419"/>
    <w:rsid w:val="005D3BEE"/>
    <w:rsid w:val="005D6BE9"/>
    <w:rsid w:val="005E2613"/>
    <w:rsid w:val="005F1AE2"/>
    <w:rsid w:val="005F7721"/>
    <w:rsid w:val="005F7C14"/>
    <w:rsid w:val="00601EBD"/>
    <w:rsid w:val="00602A2F"/>
    <w:rsid w:val="00603845"/>
    <w:rsid w:val="006228E5"/>
    <w:rsid w:val="00630F0C"/>
    <w:rsid w:val="0063129B"/>
    <w:rsid w:val="00642B51"/>
    <w:rsid w:val="00647D8B"/>
    <w:rsid w:val="00655F26"/>
    <w:rsid w:val="0065752D"/>
    <w:rsid w:val="00665E69"/>
    <w:rsid w:val="00667348"/>
    <w:rsid w:val="00672286"/>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4192"/>
    <w:rsid w:val="006E49AA"/>
    <w:rsid w:val="006F5E19"/>
    <w:rsid w:val="007132D7"/>
    <w:rsid w:val="0071739F"/>
    <w:rsid w:val="00725C78"/>
    <w:rsid w:val="00730F8E"/>
    <w:rsid w:val="00731D90"/>
    <w:rsid w:val="00734A5F"/>
    <w:rsid w:val="00743C01"/>
    <w:rsid w:val="007456DB"/>
    <w:rsid w:val="00750759"/>
    <w:rsid w:val="00751684"/>
    <w:rsid w:val="007577D6"/>
    <w:rsid w:val="007623F6"/>
    <w:rsid w:val="00763DDA"/>
    <w:rsid w:val="0076457E"/>
    <w:rsid w:val="00772EB3"/>
    <w:rsid w:val="00773335"/>
    <w:rsid w:val="00775D1D"/>
    <w:rsid w:val="007828E8"/>
    <w:rsid w:val="0078708E"/>
    <w:rsid w:val="00790C4A"/>
    <w:rsid w:val="00794A7D"/>
    <w:rsid w:val="007A4135"/>
    <w:rsid w:val="007C3D1C"/>
    <w:rsid w:val="007C480F"/>
    <w:rsid w:val="007D18E0"/>
    <w:rsid w:val="007D2E2B"/>
    <w:rsid w:val="007D4A84"/>
    <w:rsid w:val="007E19E1"/>
    <w:rsid w:val="007E4EA6"/>
    <w:rsid w:val="007E5BD2"/>
    <w:rsid w:val="008048C2"/>
    <w:rsid w:val="008202B0"/>
    <w:rsid w:val="00821AC5"/>
    <w:rsid w:val="00823934"/>
    <w:rsid w:val="0083449F"/>
    <w:rsid w:val="0084364F"/>
    <w:rsid w:val="00847198"/>
    <w:rsid w:val="00855EDD"/>
    <w:rsid w:val="00860193"/>
    <w:rsid w:val="00862B49"/>
    <w:rsid w:val="00866277"/>
    <w:rsid w:val="00870EEE"/>
    <w:rsid w:val="00872F18"/>
    <w:rsid w:val="00874EF7"/>
    <w:rsid w:val="00883F30"/>
    <w:rsid w:val="00892EB4"/>
    <w:rsid w:val="008B7E74"/>
    <w:rsid w:val="008C59B4"/>
    <w:rsid w:val="008E0978"/>
    <w:rsid w:val="008E75C5"/>
    <w:rsid w:val="008F34E8"/>
    <w:rsid w:val="008F4B61"/>
    <w:rsid w:val="008F5A12"/>
    <w:rsid w:val="008F5BC4"/>
    <w:rsid w:val="008F7A9A"/>
    <w:rsid w:val="00901072"/>
    <w:rsid w:val="00904F27"/>
    <w:rsid w:val="009106C5"/>
    <w:rsid w:val="0091268B"/>
    <w:rsid w:val="00920D93"/>
    <w:rsid w:val="00936D01"/>
    <w:rsid w:val="009521C8"/>
    <w:rsid w:val="0095485E"/>
    <w:rsid w:val="00954EBF"/>
    <w:rsid w:val="0095508B"/>
    <w:rsid w:val="009557D4"/>
    <w:rsid w:val="0097676B"/>
    <w:rsid w:val="0098388E"/>
    <w:rsid w:val="009934E8"/>
    <w:rsid w:val="00994752"/>
    <w:rsid w:val="009A5C18"/>
    <w:rsid w:val="009B1A1B"/>
    <w:rsid w:val="009B229B"/>
    <w:rsid w:val="009B699B"/>
    <w:rsid w:val="009C3C41"/>
    <w:rsid w:val="009C6BF4"/>
    <w:rsid w:val="009E5256"/>
    <w:rsid w:val="009F2C97"/>
    <w:rsid w:val="009F5CE7"/>
    <w:rsid w:val="00A06383"/>
    <w:rsid w:val="00A16D08"/>
    <w:rsid w:val="00A31725"/>
    <w:rsid w:val="00A43875"/>
    <w:rsid w:val="00A4783E"/>
    <w:rsid w:val="00A52589"/>
    <w:rsid w:val="00A52E0D"/>
    <w:rsid w:val="00A63086"/>
    <w:rsid w:val="00A63677"/>
    <w:rsid w:val="00A707E3"/>
    <w:rsid w:val="00A74CE1"/>
    <w:rsid w:val="00A852A7"/>
    <w:rsid w:val="00A937D9"/>
    <w:rsid w:val="00A95DA3"/>
    <w:rsid w:val="00A95FA8"/>
    <w:rsid w:val="00A97723"/>
    <w:rsid w:val="00AA4194"/>
    <w:rsid w:val="00AB0016"/>
    <w:rsid w:val="00AB1873"/>
    <w:rsid w:val="00AB3C32"/>
    <w:rsid w:val="00AB4B9B"/>
    <w:rsid w:val="00AC6891"/>
    <w:rsid w:val="00AC7DA7"/>
    <w:rsid w:val="00AD53DD"/>
    <w:rsid w:val="00AE04D3"/>
    <w:rsid w:val="00AE40EB"/>
    <w:rsid w:val="00AE46B0"/>
    <w:rsid w:val="00AF11D1"/>
    <w:rsid w:val="00AF6033"/>
    <w:rsid w:val="00B1379E"/>
    <w:rsid w:val="00B2185C"/>
    <w:rsid w:val="00B236DD"/>
    <w:rsid w:val="00B24C30"/>
    <w:rsid w:val="00B27158"/>
    <w:rsid w:val="00B30F4C"/>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A017A"/>
    <w:rsid w:val="00BA3C12"/>
    <w:rsid w:val="00BA52E9"/>
    <w:rsid w:val="00BA7096"/>
    <w:rsid w:val="00BD1068"/>
    <w:rsid w:val="00BD26AD"/>
    <w:rsid w:val="00BE098B"/>
    <w:rsid w:val="00C006F1"/>
    <w:rsid w:val="00C10962"/>
    <w:rsid w:val="00C13753"/>
    <w:rsid w:val="00C16C9B"/>
    <w:rsid w:val="00C227ED"/>
    <w:rsid w:val="00C31365"/>
    <w:rsid w:val="00C345EE"/>
    <w:rsid w:val="00C36682"/>
    <w:rsid w:val="00C3722F"/>
    <w:rsid w:val="00C42324"/>
    <w:rsid w:val="00C475FE"/>
    <w:rsid w:val="00C478EA"/>
    <w:rsid w:val="00C51E33"/>
    <w:rsid w:val="00C6237D"/>
    <w:rsid w:val="00C6642A"/>
    <w:rsid w:val="00C71739"/>
    <w:rsid w:val="00C7412A"/>
    <w:rsid w:val="00C7699B"/>
    <w:rsid w:val="00C8267C"/>
    <w:rsid w:val="00C83343"/>
    <w:rsid w:val="00C8445D"/>
    <w:rsid w:val="00C87783"/>
    <w:rsid w:val="00C91B9C"/>
    <w:rsid w:val="00C92800"/>
    <w:rsid w:val="00CA5876"/>
    <w:rsid w:val="00CB67EA"/>
    <w:rsid w:val="00CC49A4"/>
    <w:rsid w:val="00CD5F86"/>
    <w:rsid w:val="00CE0AB9"/>
    <w:rsid w:val="00CE27F9"/>
    <w:rsid w:val="00CE2891"/>
    <w:rsid w:val="00CE2EA8"/>
    <w:rsid w:val="00CF1C3A"/>
    <w:rsid w:val="00CF57AF"/>
    <w:rsid w:val="00D056BA"/>
    <w:rsid w:val="00D06294"/>
    <w:rsid w:val="00D107FE"/>
    <w:rsid w:val="00D119D4"/>
    <w:rsid w:val="00D11CFE"/>
    <w:rsid w:val="00D25918"/>
    <w:rsid w:val="00D320B8"/>
    <w:rsid w:val="00D43E5A"/>
    <w:rsid w:val="00D551AA"/>
    <w:rsid w:val="00D5646C"/>
    <w:rsid w:val="00D739F1"/>
    <w:rsid w:val="00D74CFF"/>
    <w:rsid w:val="00D76A8C"/>
    <w:rsid w:val="00D842DF"/>
    <w:rsid w:val="00D92CCD"/>
    <w:rsid w:val="00D962F2"/>
    <w:rsid w:val="00D96331"/>
    <w:rsid w:val="00DA1949"/>
    <w:rsid w:val="00DA2FCD"/>
    <w:rsid w:val="00DA3CC5"/>
    <w:rsid w:val="00DA4AE9"/>
    <w:rsid w:val="00DA5618"/>
    <w:rsid w:val="00DC08E0"/>
    <w:rsid w:val="00DC370E"/>
    <w:rsid w:val="00DC4D9A"/>
    <w:rsid w:val="00DC6DFD"/>
    <w:rsid w:val="00DD37B2"/>
    <w:rsid w:val="00DE1EB7"/>
    <w:rsid w:val="00DE2E58"/>
    <w:rsid w:val="00DE3DFB"/>
    <w:rsid w:val="00DF0297"/>
    <w:rsid w:val="00DF2025"/>
    <w:rsid w:val="00DF4405"/>
    <w:rsid w:val="00DF6449"/>
    <w:rsid w:val="00E14EE9"/>
    <w:rsid w:val="00E17A26"/>
    <w:rsid w:val="00E2307B"/>
    <w:rsid w:val="00E3578E"/>
    <w:rsid w:val="00E35E0F"/>
    <w:rsid w:val="00E36F6B"/>
    <w:rsid w:val="00E371D1"/>
    <w:rsid w:val="00E53738"/>
    <w:rsid w:val="00E556EF"/>
    <w:rsid w:val="00E7286B"/>
    <w:rsid w:val="00E76192"/>
    <w:rsid w:val="00E80682"/>
    <w:rsid w:val="00E832C0"/>
    <w:rsid w:val="00E92CC3"/>
    <w:rsid w:val="00E949CB"/>
    <w:rsid w:val="00E95B33"/>
    <w:rsid w:val="00E97EDF"/>
    <w:rsid w:val="00EA6697"/>
    <w:rsid w:val="00EA736A"/>
    <w:rsid w:val="00EB1C35"/>
    <w:rsid w:val="00EB3A0C"/>
    <w:rsid w:val="00EC3DBE"/>
    <w:rsid w:val="00ED0F12"/>
    <w:rsid w:val="00ED2901"/>
    <w:rsid w:val="00ED5F67"/>
    <w:rsid w:val="00ED7DD0"/>
    <w:rsid w:val="00EE10A6"/>
    <w:rsid w:val="00EE1FED"/>
    <w:rsid w:val="00EF0113"/>
    <w:rsid w:val="00EF08AE"/>
    <w:rsid w:val="00EF15DD"/>
    <w:rsid w:val="00EF2975"/>
    <w:rsid w:val="00EF3BA2"/>
    <w:rsid w:val="00EF5790"/>
    <w:rsid w:val="00EF5D3F"/>
    <w:rsid w:val="00F01DE6"/>
    <w:rsid w:val="00F0602A"/>
    <w:rsid w:val="00F06F3C"/>
    <w:rsid w:val="00F15F19"/>
    <w:rsid w:val="00F24695"/>
    <w:rsid w:val="00F40A56"/>
    <w:rsid w:val="00F4311F"/>
    <w:rsid w:val="00F52189"/>
    <w:rsid w:val="00F66B8C"/>
    <w:rsid w:val="00F7183A"/>
    <w:rsid w:val="00F82CC4"/>
    <w:rsid w:val="00F83DAA"/>
    <w:rsid w:val="00F85A8F"/>
    <w:rsid w:val="00F86010"/>
    <w:rsid w:val="00F9345D"/>
    <w:rsid w:val="00F95B85"/>
    <w:rsid w:val="00FB4F80"/>
    <w:rsid w:val="00FC2B72"/>
    <w:rsid w:val="00FD0033"/>
    <w:rsid w:val="00FD0488"/>
    <w:rsid w:val="00FD3F3F"/>
    <w:rsid w:val="00FD6DCB"/>
    <w:rsid w:val="00FD73AD"/>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B4292-D2FE-4698-9233-BBBBA179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1516</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8</cp:revision>
  <cp:lastPrinted>2011-06-21T20:32:00Z</cp:lastPrinted>
  <dcterms:created xsi:type="dcterms:W3CDTF">2015-07-09T15:13:00Z</dcterms:created>
  <dcterms:modified xsi:type="dcterms:W3CDTF">2015-07-22T23:10:00Z</dcterms:modified>
</cp:coreProperties>
</file>