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bookmarkStart w:id="0" w:name="_GoBack"/>
            <w:bookmarkEnd w:id="0"/>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265D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F265D6" w:rsidRPr="00F265D6">
              <w:rPr>
                <w:rFonts w:ascii="Arial" w:hAnsi="Arial" w:cs="Arial"/>
                <w:sz w:val="36"/>
                <w:szCs w:val="36"/>
                <w:u w:val="single"/>
              </w:rPr>
              <w:t>_</w:t>
            </w:r>
            <w:r w:rsidRPr="00F265D6">
              <w:rPr>
                <w:rFonts w:ascii="Arial" w:hAnsi="Arial" w:cs="Arial"/>
                <w:sz w:val="36"/>
                <w:szCs w:val="36"/>
              </w:rPr>
              <w:t xml:space="preserve"> </w:t>
            </w:r>
            <w:r w:rsidRPr="00F265D6">
              <w:rPr>
                <w:rFonts w:ascii="Arial" w:hAnsi="Arial" w:cs="Arial"/>
                <w:sz w:val="20"/>
                <w:szCs w:val="20"/>
              </w:rPr>
              <w:t>Quarter 1 (January 1 – March 31</w:t>
            </w:r>
            <w:r w:rsidR="005C75FE" w:rsidRPr="00F265D6">
              <w:rPr>
                <w:rFonts w:ascii="Arial" w:hAnsi="Arial" w:cs="Arial"/>
                <w:sz w:val="20"/>
                <w:szCs w:val="20"/>
              </w:rPr>
              <w:t xml:space="preserve">, </w:t>
            </w:r>
            <w:r w:rsidR="003E4DE4" w:rsidRPr="00F265D6">
              <w:rPr>
                <w:rFonts w:ascii="Arial" w:hAnsi="Arial" w:cs="Arial"/>
                <w:sz w:val="20"/>
                <w:szCs w:val="20"/>
              </w:rPr>
              <w:t>201</w:t>
            </w:r>
            <w:r w:rsidR="00631C35" w:rsidRPr="00F265D6">
              <w:rPr>
                <w:rFonts w:ascii="Arial" w:hAnsi="Arial" w:cs="Arial"/>
                <w:sz w:val="20"/>
                <w:szCs w:val="20"/>
              </w:rPr>
              <w:t>5</w:t>
            </w:r>
            <w:r w:rsidRPr="00F265D6">
              <w:rPr>
                <w:rFonts w:ascii="Arial" w:hAnsi="Arial" w:cs="Arial"/>
                <w:sz w:val="20"/>
                <w:szCs w:val="20"/>
              </w:rPr>
              <w:t>)</w:t>
            </w:r>
          </w:p>
          <w:p w:rsidR="000C209F" w:rsidRPr="00F265D6" w:rsidRDefault="000C209F" w:rsidP="00360664">
            <w:pPr>
              <w:spacing w:after="0" w:line="240" w:lineRule="auto"/>
              <w:ind w:left="-108" w:right="-108"/>
              <w:rPr>
                <w:rFonts w:ascii="Arial" w:hAnsi="Arial" w:cs="Arial"/>
                <w:b/>
                <w:sz w:val="20"/>
                <w:szCs w:val="20"/>
              </w:rPr>
            </w:pPr>
            <w:r w:rsidRPr="00360664">
              <w:rPr>
                <w:rFonts w:ascii="Arial" w:hAnsi="Arial" w:cs="Arial"/>
                <w:sz w:val="36"/>
                <w:szCs w:val="36"/>
              </w:rPr>
              <w:t xml:space="preserve"> </w:t>
            </w:r>
            <w:r w:rsidR="00F265D6" w:rsidRPr="00F265D6">
              <w:rPr>
                <w:rFonts w:ascii="Arial" w:hAnsi="Arial" w:cs="Arial"/>
                <w:b/>
                <w:sz w:val="36"/>
                <w:szCs w:val="36"/>
                <w:u w:val="single"/>
              </w:rPr>
              <w:t>x</w:t>
            </w:r>
            <w:r w:rsidR="00C47C4A" w:rsidRPr="00F265D6">
              <w:rPr>
                <w:rFonts w:ascii="Arial" w:hAnsi="Arial" w:cs="Arial"/>
                <w:b/>
                <w:sz w:val="36"/>
                <w:szCs w:val="36"/>
              </w:rPr>
              <w:t xml:space="preserve"> </w:t>
            </w:r>
            <w:r w:rsidRPr="00F265D6">
              <w:rPr>
                <w:rFonts w:ascii="Arial" w:hAnsi="Arial" w:cs="Arial"/>
                <w:b/>
                <w:sz w:val="20"/>
                <w:szCs w:val="20"/>
              </w:rPr>
              <w:t>Quarter 2 (April 1 – June 30</w:t>
            </w:r>
            <w:r w:rsidR="002C4321" w:rsidRPr="00F265D6">
              <w:rPr>
                <w:rFonts w:ascii="Arial" w:hAnsi="Arial" w:cs="Arial"/>
                <w:b/>
                <w:sz w:val="20"/>
                <w:szCs w:val="20"/>
              </w:rPr>
              <w:t>, 201</w:t>
            </w:r>
            <w:r w:rsidR="00631C35" w:rsidRPr="00F265D6">
              <w:rPr>
                <w:rFonts w:ascii="Arial" w:hAnsi="Arial" w:cs="Arial"/>
                <w:b/>
                <w:sz w:val="20"/>
                <w:szCs w:val="20"/>
              </w:rPr>
              <w:t>5</w:t>
            </w:r>
            <w:r w:rsidRPr="00F265D6">
              <w:rPr>
                <w:rFonts w:ascii="Arial" w:hAnsi="Arial" w:cs="Arial"/>
                <w:b/>
                <w:sz w:val="20"/>
                <w:szCs w:val="20"/>
              </w:rPr>
              <w:t>)</w:t>
            </w:r>
          </w:p>
          <w:p w:rsidR="000C209F" w:rsidRPr="002E3814" w:rsidRDefault="002E3814" w:rsidP="00360664">
            <w:pPr>
              <w:spacing w:after="0" w:line="240" w:lineRule="auto"/>
              <w:ind w:right="-720"/>
              <w:rPr>
                <w:rFonts w:ascii="Arial" w:hAnsi="Arial" w:cs="Arial"/>
                <w:sz w:val="20"/>
                <w:szCs w:val="20"/>
              </w:rPr>
            </w:pPr>
            <w:r w:rsidRPr="002E3814">
              <w:rPr>
                <w:rFonts w:ascii="Arial" w:hAnsi="Arial" w:cs="Arial"/>
                <w:sz w:val="36"/>
                <w:szCs w:val="36"/>
                <w:u w:val="single"/>
              </w:rPr>
              <w:t>_</w:t>
            </w:r>
            <w:r w:rsidR="001D763A" w:rsidRPr="002E3814">
              <w:rPr>
                <w:rFonts w:ascii="Arial" w:hAnsi="Arial" w:cs="Arial"/>
                <w:sz w:val="36"/>
                <w:szCs w:val="36"/>
              </w:rPr>
              <w:t xml:space="preserve"> </w:t>
            </w:r>
            <w:r w:rsidR="000C209F" w:rsidRPr="002E3814">
              <w:rPr>
                <w:rFonts w:ascii="Arial" w:hAnsi="Arial" w:cs="Arial"/>
                <w:sz w:val="20"/>
                <w:szCs w:val="20"/>
              </w:rPr>
              <w:t>Quarter 3 (July 1 – September 30</w:t>
            </w:r>
            <w:r w:rsidR="002C4321" w:rsidRPr="002E3814">
              <w:rPr>
                <w:rFonts w:ascii="Arial" w:hAnsi="Arial" w:cs="Arial"/>
                <w:sz w:val="20"/>
                <w:szCs w:val="20"/>
              </w:rPr>
              <w:t>, 201</w:t>
            </w:r>
            <w:r w:rsidR="00631C35">
              <w:rPr>
                <w:rFonts w:ascii="Arial" w:hAnsi="Arial" w:cs="Arial"/>
                <w:sz w:val="20"/>
                <w:szCs w:val="20"/>
              </w:rPr>
              <w:t>5</w:t>
            </w:r>
            <w:r w:rsidR="000C209F" w:rsidRPr="002E3814">
              <w:rPr>
                <w:rFonts w:ascii="Arial" w:hAnsi="Arial" w:cs="Arial"/>
                <w:sz w:val="20"/>
                <w:szCs w:val="20"/>
              </w:rPr>
              <w:t>)</w:t>
            </w:r>
          </w:p>
          <w:p w:rsidR="000C209F" w:rsidRPr="00631C35" w:rsidRDefault="00631C35" w:rsidP="00631C35">
            <w:pPr>
              <w:spacing w:after="0" w:line="240" w:lineRule="auto"/>
              <w:ind w:right="-720"/>
              <w:rPr>
                <w:rFonts w:ascii="Arial" w:hAnsi="Arial" w:cs="Arial"/>
                <w:sz w:val="20"/>
                <w:szCs w:val="20"/>
              </w:rPr>
            </w:pPr>
            <w:r w:rsidRPr="002E3814">
              <w:rPr>
                <w:rFonts w:ascii="Arial" w:hAnsi="Arial" w:cs="Arial"/>
                <w:sz w:val="36"/>
                <w:szCs w:val="36"/>
                <w:u w:val="single"/>
              </w:rPr>
              <w:t>_</w:t>
            </w:r>
            <w:r w:rsidR="00532264" w:rsidRPr="00631C35">
              <w:rPr>
                <w:rFonts w:ascii="Arial" w:hAnsi="Arial" w:cs="Arial"/>
                <w:sz w:val="36"/>
                <w:szCs w:val="36"/>
              </w:rPr>
              <w:t xml:space="preserve"> </w:t>
            </w:r>
            <w:r w:rsidR="000C209F" w:rsidRPr="00631C35">
              <w:rPr>
                <w:rFonts w:ascii="Arial" w:hAnsi="Arial" w:cs="Arial"/>
                <w:sz w:val="20"/>
                <w:szCs w:val="20"/>
              </w:rPr>
              <w:t xml:space="preserve">Quarter </w:t>
            </w:r>
            <w:r w:rsidR="005C75FE" w:rsidRPr="00631C35">
              <w:rPr>
                <w:rFonts w:ascii="Arial" w:hAnsi="Arial" w:cs="Arial"/>
                <w:sz w:val="20"/>
                <w:szCs w:val="20"/>
              </w:rPr>
              <w:t>4 (October 1 – December 31</w:t>
            </w:r>
            <w:r w:rsidR="002C4321" w:rsidRPr="00631C35">
              <w:rPr>
                <w:rFonts w:ascii="Arial" w:hAnsi="Arial" w:cs="Arial"/>
                <w:sz w:val="20"/>
                <w:szCs w:val="20"/>
              </w:rPr>
              <w:t>, 201</w:t>
            </w:r>
            <w:r w:rsidRPr="00631C35">
              <w:rPr>
                <w:rFonts w:ascii="Arial" w:hAnsi="Arial" w:cs="Arial"/>
                <w:sz w:val="20"/>
                <w:szCs w:val="20"/>
              </w:rPr>
              <w:t>5</w:t>
            </w:r>
            <w:r w:rsidR="000C209F" w:rsidRPr="00631C3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BE2ADA">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Pr="0036066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w:t>
            </w:r>
            <w:r w:rsidR="00BE2ADA">
              <w:rPr>
                <w:rFonts w:ascii="Arial" w:hAnsi="Arial" w:cs="Arial"/>
                <w:sz w:val="20"/>
                <w:szCs w:val="20"/>
              </w:rPr>
              <w:t>9</w:t>
            </w:r>
            <w:r>
              <w:rPr>
                <w:rFonts w:ascii="Arial" w:hAnsi="Arial" w:cs="Arial"/>
                <w:sz w:val="20"/>
                <w:szCs w:val="20"/>
              </w:rPr>
              <w:t>,</w:t>
            </w:r>
            <w:r w:rsidR="00BE2ADA">
              <w:rPr>
                <w:rFonts w:ascii="Arial" w:hAnsi="Arial" w:cs="Arial"/>
                <w:sz w:val="20"/>
                <w:szCs w:val="20"/>
              </w:rPr>
              <w:t>500.00</w:t>
            </w:r>
          </w:p>
        </w:tc>
        <w:tc>
          <w:tcPr>
            <w:tcW w:w="3330" w:type="dxa"/>
            <w:vAlign w:val="center"/>
          </w:tcPr>
          <w:p w:rsidR="000C209F" w:rsidRPr="00360664" w:rsidRDefault="006F1879" w:rsidP="00065B11">
            <w:pPr>
              <w:spacing w:after="0" w:line="240" w:lineRule="auto"/>
              <w:ind w:left="-108" w:right="-108"/>
              <w:jc w:val="center"/>
              <w:rPr>
                <w:rFonts w:ascii="Arial" w:hAnsi="Arial" w:cs="Arial"/>
                <w:sz w:val="20"/>
                <w:szCs w:val="20"/>
              </w:rPr>
            </w:pPr>
            <w:r>
              <w:rPr>
                <w:rFonts w:ascii="Arial" w:hAnsi="Arial" w:cs="Arial"/>
                <w:sz w:val="20"/>
                <w:szCs w:val="20"/>
              </w:rPr>
              <w:t>$</w:t>
            </w:r>
            <w:r w:rsidR="007459C3" w:rsidRPr="007459C3">
              <w:rPr>
                <w:rFonts w:ascii="Arial" w:hAnsi="Arial" w:cs="Arial"/>
                <w:sz w:val="20"/>
                <w:szCs w:val="20"/>
              </w:rPr>
              <w:t>71,750</w:t>
            </w:r>
          </w:p>
        </w:tc>
        <w:tc>
          <w:tcPr>
            <w:tcW w:w="3420" w:type="dxa"/>
            <w:vAlign w:val="center"/>
          </w:tcPr>
          <w:p w:rsidR="000C209F" w:rsidRPr="00360664" w:rsidRDefault="007459C3" w:rsidP="00360664">
            <w:pPr>
              <w:spacing w:after="0" w:line="240" w:lineRule="auto"/>
              <w:ind w:left="-108" w:right="-108"/>
              <w:jc w:val="center"/>
              <w:rPr>
                <w:rFonts w:ascii="Arial" w:hAnsi="Arial" w:cs="Arial"/>
                <w:sz w:val="20"/>
                <w:szCs w:val="20"/>
              </w:rPr>
            </w:pPr>
            <w:r>
              <w:rPr>
                <w:rFonts w:ascii="Arial" w:hAnsi="Arial" w:cs="Arial"/>
                <w:sz w:val="20"/>
                <w:szCs w:val="20"/>
              </w:rPr>
              <w:t>50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7459C3" w:rsidP="00360664">
            <w:pPr>
              <w:spacing w:after="0" w:line="240" w:lineRule="auto"/>
              <w:ind w:right="-108"/>
              <w:jc w:val="center"/>
              <w:rPr>
                <w:rFonts w:ascii="Arial" w:hAnsi="Arial" w:cs="Arial"/>
                <w:sz w:val="20"/>
                <w:szCs w:val="20"/>
              </w:rPr>
            </w:pPr>
            <w:r>
              <w:rPr>
                <w:rFonts w:ascii="Arial" w:hAnsi="Arial" w:cs="Arial"/>
                <w:sz w:val="20"/>
                <w:szCs w:val="20"/>
              </w:rPr>
              <w:t>16</w:t>
            </w:r>
            <w:r w:rsidR="002F66FD">
              <w:rPr>
                <w:rFonts w:ascii="Arial" w:hAnsi="Arial" w:cs="Arial"/>
                <w:sz w:val="20"/>
                <w:szCs w:val="20"/>
              </w:rPr>
              <w:t>%</w:t>
            </w:r>
          </w:p>
        </w:tc>
        <w:tc>
          <w:tcPr>
            <w:tcW w:w="3330" w:type="dxa"/>
          </w:tcPr>
          <w:p w:rsidR="000C209F" w:rsidRPr="00360664" w:rsidRDefault="006F1879" w:rsidP="007459C3">
            <w:pPr>
              <w:spacing w:after="0" w:line="240" w:lineRule="auto"/>
              <w:ind w:right="-108"/>
              <w:jc w:val="center"/>
              <w:rPr>
                <w:rFonts w:ascii="Arial" w:hAnsi="Arial" w:cs="Arial"/>
                <w:sz w:val="20"/>
                <w:szCs w:val="20"/>
              </w:rPr>
            </w:pPr>
            <w:r>
              <w:rPr>
                <w:rFonts w:ascii="Arial" w:hAnsi="Arial" w:cs="Arial"/>
                <w:sz w:val="20"/>
                <w:szCs w:val="20"/>
              </w:rPr>
              <w:t>$</w:t>
            </w:r>
            <w:r w:rsidR="007459C3" w:rsidRPr="007459C3">
              <w:rPr>
                <w:rFonts w:ascii="Arial" w:hAnsi="Arial" w:cs="Arial"/>
                <w:sz w:val="20"/>
                <w:szCs w:val="20"/>
              </w:rPr>
              <w:t>23,750</w:t>
            </w:r>
          </w:p>
        </w:tc>
        <w:tc>
          <w:tcPr>
            <w:tcW w:w="3420" w:type="dxa"/>
          </w:tcPr>
          <w:p w:rsidR="000C209F" w:rsidRPr="00360664" w:rsidRDefault="00E24A6B" w:rsidP="00D47A1D">
            <w:pPr>
              <w:spacing w:after="0" w:line="240" w:lineRule="auto"/>
              <w:ind w:left="-108" w:right="-108"/>
              <w:jc w:val="center"/>
              <w:rPr>
                <w:rFonts w:ascii="Arial" w:hAnsi="Arial" w:cs="Arial"/>
                <w:sz w:val="20"/>
                <w:szCs w:val="20"/>
              </w:rPr>
            </w:pPr>
            <w:r>
              <w:rPr>
                <w:rFonts w:ascii="Arial" w:hAnsi="Arial" w:cs="Arial"/>
                <w:sz w:val="20"/>
                <w:szCs w:val="20"/>
              </w:rPr>
              <w:t>45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0C65A5">
              <w:rPr>
                <w:rFonts w:ascii="Arial" w:hAnsi="Arial" w:cs="Arial"/>
                <w:sz w:val="20"/>
                <w:szCs w:val="20"/>
              </w:rPr>
              <w:t>Newmark</w:t>
            </w:r>
            <w:proofErr w:type="spellEnd"/>
            <w:r w:rsidRPr="000C65A5">
              <w:rPr>
                <w:rFonts w:ascii="Arial" w:hAnsi="Arial" w:cs="Arial"/>
                <w:sz w:val="20"/>
                <w:szCs w:val="20"/>
              </w:rPr>
              <w:t xml:space="preserve">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4. Derivation and validation of simplified </w:t>
            </w:r>
            <w:proofErr w:type="spellStart"/>
            <w:r w:rsidRPr="004F586D">
              <w:rPr>
                <w:rFonts w:ascii="Arial" w:hAnsi="Arial" w:cs="Arial"/>
                <w:sz w:val="20"/>
                <w:szCs w:val="20"/>
              </w:rPr>
              <w:t>Newmark</w:t>
            </w:r>
            <w:proofErr w:type="spellEnd"/>
            <w:r w:rsidRPr="004F586D">
              <w:rPr>
                <w:rFonts w:ascii="Arial" w:hAnsi="Arial" w:cs="Arial"/>
                <w:sz w:val="20"/>
                <w:szCs w:val="20"/>
              </w:rPr>
              <w:t xml:space="preserve"> seismic slope displacement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5. Assessment of grid spacing considerations in various seismic environments for</w:t>
            </w:r>
            <w:r w:rsidR="00FE7490">
              <w:rPr>
                <w:rFonts w:ascii="Arial" w:hAnsi="Arial" w:cs="Arial"/>
                <w:sz w:val="20"/>
                <w:szCs w:val="20"/>
              </w:rPr>
              <w:t xml:space="preserve"> map development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6. Development of liquefaction parameter maps at targeted return periods in GIS file format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7. Comparison of simplified, conventional, and deterministic ana</w:t>
            </w:r>
            <w:r w:rsidR="00FE7490">
              <w:rPr>
                <w:rFonts w:ascii="Arial" w:hAnsi="Arial" w:cs="Arial"/>
                <w:sz w:val="20"/>
                <w:szCs w:val="20"/>
              </w:rPr>
              <w:t>lysis approaches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8. Development of a simplified design procedure and an analysis spreadsheet that incorporates both performance-based and conventional methods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9. Preparation of the annual and final reports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3D6A0B">
              <w:rPr>
                <w:rFonts w:ascii="Arial" w:hAnsi="Arial" w:cs="Arial"/>
                <w:sz w:val="20"/>
                <w:szCs w:val="20"/>
              </w:rPr>
              <w:t xml:space="preserve">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78688E">
              <w:rPr>
                <w:rFonts w:ascii="Arial" w:hAnsi="Arial" w:cs="Arial"/>
                <w:b/>
                <w:sz w:val="20"/>
                <w:szCs w:val="20"/>
              </w:rPr>
              <w:t>Progress this Quarter (includes meetings, work plan status, contract status, significant progress, etc.):</w:t>
            </w:r>
          </w:p>
          <w:p w:rsidR="000C209F" w:rsidRPr="0078688E" w:rsidRDefault="000C209F" w:rsidP="00360664">
            <w:pPr>
              <w:spacing w:after="0" w:line="240" w:lineRule="auto"/>
              <w:rPr>
                <w:rFonts w:ascii="Arial" w:hAnsi="Arial" w:cs="Arial"/>
                <w:sz w:val="20"/>
                <w:szCs w:val="20"/>
              </w:rPr>
            </w:pP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 – </w:t>
            </w:r>
            <w:r w:rsidR="00A4439C" w:rsidRPr="0078688E">
              <w:rPr>
                <w:rFonts w:ascii="Arial" w:hAnsi="Arial" w:cs="Arial"/>
                <w:sz w:val="20"/>
                <w:szCs w:val="20"/>
              </w:rPr>
              <w:t>100</w:t>
            </w:r>
            <w:r w:rsidRPr="0078688E">
              <w:rPr>
                <w:rFonts w:ascii="Arial" w:hAnsi="Arial" w:cs="Arial"/>
                <w:sz w:val="20"/>
                <w:szCs w:val="20"/>
              </w:rPr>
              <w:t>% complete.</w:t>
            </w:r>
          </w:p>
          <w:p w:rsidR="00EC4414"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2 – </w:t>
            </w:r>
            <w:r w:rsidR="00A4439C" w:rsidRPr="0078688E">
              <w:rPr>
                <w:rFonts w:ascii="Arial" w:hAnsi="Arial" w:cs="Arial"/>
                <w:sz w:val="20"/>
                <w:szCs w:val="20"/>
              </w:rPr>
              <w:t>100</w:t>
            </w:r>
            <w:r w:rsidRPr="0078688E">
              <w:rPr>
                <w:rFonts w:ascii="Arial" w:hAnsi="Arial" w:cs="Arial"/>
                <w:sz w:val="20"/>
                <w:szCs w:val="20"/>
              </w:rPr>
              <w:t>% complete.</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3 – </w:t>
            </w:r>
            <w:r w:rsidR="00D328B8" w:rsidRPr="0078688E">
              <w:rPr>
                <w:rFonts w:ascii="Arial" w:hAnsi="Arial" w:cs="Arial"/>
                <w:sz w:val="20"/>
                <w:szCs w:val="20"/>
              </w:rPr>
              <w:t>9</w:t>
            </w:r>
            <w:r w:rsidR="007D1298" w:rsidRPr="0078688E">
              <w:rPr>
                <w:rFonts w:ascii="Arial" w:hAnsi="Arial" w:cs="Arial"/>
                <w:sz w:val="20"/>
                <w:szCs w:val="20"/>
              </w:rPr>
              <w:t xml:space="preserve">0% complete.  BYU </w:t>
            </w:r>
            <w:r w:rsidR="00D328B8" w:rsidRPr="0078688E">
              <w:rPr>
                <w:rFonts w:ascii="Arial" w:hAnsi="Arial" w:cs="Arial"/>
                <w:sz w:val="20"/>
                <w:szCs w:val="20"/>
              </w:rPr>
              <w:t>continued work on this task.</w:t>
            </w:r>
          </w:p>
          <w:p w:rsidR="00D328B8"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4 – </w:t>
            </w:r>
            <w:r w:rsidR="00D328B8" w:rsidRPr="0078688E">
              <w:rPr>
                <w:rFonts w:ascii="Arial" w:hAnsi="Arial" w:cs="Arial"/>
                <w:sz w:val="20"/>
                <w:szCs w:val="20"/>
              </w:rPr>
              <w:t>9</w:t>
            </w:r>
            <w:r w:rsidR="007D1298" w:rsidRPr="0078688E">
              <w:rPr>
                <w:rFonts w:ascii="Arial" w:hAnsi="Arial" w:cs="Arial"/>
                <w:sz w:val="20"/>
                <w:szCs w:val="20"/>
              </w:rPr>
              <w:t xml:space="preserve">0% complete.  </w:t>
            </w:r>
            <w:r w:rsidR="00D328B8" w:rsidRPr="0078688E">
              <w:rPr>
                <w:rFonts w:ascii="Arial" w:hAnsi="Arial" w:cs="Arial"/>
                <w:sz w:val="20"/>
                <w:szCs w:val="20"/>
              </w:rPr>
              <w:t xml:space="preserve">BYU continued work on this task and prepared the </w:t>
            </w:r>
            <w:r w:rsidR="00F25D7E" w:rsidRPr="0078688E">
              <w:rPr>
                <w:rFonts w:ascii="Arial" w:hAnsi="Arial" w:cs="Arial"/>
                <w:sz w:val="20"/>
                <w:szCs w:val="20"/>
              </w:rPr>
              <w:t xml:space="preserve">TAC </w:t>
            </w:r>
            <w:r w:rsidR="00D328B8" w:rsidRPr="0078688E">
              <w:rPr>
                <w:rFonts w:ascii="Arial" w:hAnsi="Arial" w:cs="Arial"/>
                <w:sz w:val="20"/>
                <w:szCs w:val="20"/>
              </w:rPr>
              <w:t>quarterly update report</w:t>
            </w:r>
            <w:r w:rsidR="00F25D7E" w:rsidRPr="0078688E">
              <w:rPr>
                <w:rFonts w:ascii="Arial" w:hAnsi="Arial" w:cs="Arial"/>
                <w:sz w:val="20"/>
                <w:szCs w:val="20"/>
              </w:rPr>
              <w:t xml:space="preserve"> for Tasks 3 and </w:t>
            </w:r>
            <w:r w:rsidR="00F25D7E" w:rsidRPr="0078688E">
              <w:rPr>
                <w:rFonts w:ascii="Arial" w:hAnsi="Arial" w:cs="Arial"/>
                <w:sz w:val="20"/>
                <w:szCs w:val="20"/>
              </w:rPr>
              <w:lastRenderedPageBreak/>
              <w:t>4</w:t>
            </w:r>
            <w:r w:rsidR="00D328B8" w:rsidRPr="0078688E">
              <w:rPr>
                <w:rFonts w:ascii="Arial" w:hAnsi="Arial" w:cs="Arial"/>
                <w:sz w:val="20"/>
                <w:szCs w:val="20"/>
              </w:rPr>
              <w:t>.</w:t>
            </w:r>
          </w:p>
          <w:p w:rsidR="00AE2045"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5 – </w:t>
            </w:r>
            <w:r w:rsidR="007D0ADF" w:rsidRPr="0078688E">
              <w:rPr>
                <w:rFonts w:ascii="Arial" w:hAnsi="Arial" w:cs="Arial"/>
                <w:sz w:val="20"/>
                <w:szCs w:val="20"/>
              </w:rPr>
              <w:t>6</w:t>
            </w:r>
            <w:r w:rsidR="00A4439C" w:rsidRPr="0078688E">
              <w:rPr>
                <w:rFonts w:ascii="Arial" w:hAnsi="Arial" w:cs="Arial"/>
                <w:sz w:val="20"/>
                <w:szCs w:val="20"/>
              </w:rPr>
              <w:t>0% complete.</w:t>
            </w:r>
            <w:r w:rsidR="00A5026A" w:rsidRPr="0078688E">
              <w:rPr>
                <w:rFonts w:ascii="Arial" w:hAnsi="Arial" w:cs="Arial"/>
                <w:sz w:val="20"/>
                <w:szCs w:val="20"/>
              </w:rPr>
              <w:t xml:space="preserve">  BYU began the Year 2 work on this task.</w:t>
            </w:r>
          </w:p>
          <w:p w:rsidR="004E6402"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6 – </w:t>
            </w:r>
            <w:r w:rsidR="007D0ADF" w:rsidRPr="0078688E">
              <w:rPr>
                <w:rFonts w:ascii="Arial" w:hAnsi="Arial" w:cs="Arial"/>
                <w:sz w:val="20"/>
                <w:szCs w:val="20"/>
              </w:rPr>
              <w:t>6</w:t>
            </w:r>
            <w:r w:rsidR="00A4439C" w:rsidRPr="0078688E">
              <w:rPr>
                <w:rFonts w:ascii="Arial" w:hAnsi="Arial" w:cs="Arial"/>
                <w:sz w:val="20"/>
                <w:szCs w:val="20"/>
              </w:rPr>
              <w:t>0% complete.</w:t>
            </w:r>
            <w:r w:rsidR="00A5026A" w:rsidRPr="0078688E">
              <w:rPr>
                <w:rFonts w:ascii="Arial" w:hAnsi="Arial" w:cs="Arial"/>
                <w:sz w:val="20"/>
                <w:szCs w:val="20"/>
              </w:rPr>
              <w:t xml:space="preserve">  BYU began the Year 2 work on this task.</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7 – </w:t>
            </w:r>
            <w:r w:rsidR="007D1298" w:rsidRPr="0078688E">
              <w:rPr>
                <w:rFonts w:ascii="Arial" w:hAnsi="Arial" w:cs="Arial"/>
                <w:sz w:val="20"/>
                <w:szCs w:val="20"/>
              </w:rPr>
              <w:t>5</w:t>
            </w:r>
            <w:r w:rsidR="002D0D07" w:rsidRPr="0078688E">
              <w:rPr>
                <w:rFonts w:ascii="Arial" w:hAnsi="Arial" w:cs="Arial"/>
                <w:sz w:val="20"/>
                <w:szCs w:val="20"/>
              </w:rPr>
              <w:t>0% complete.</w:t>
            </w:r>
          </w:p>
          <w:p w:rsidR="002D0D07"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8 – </w:t>
            </w:r>
            <w:r w:rsidR="007D1298" w:rsidRPr="0078688E">
              <w:rPr>
                <w:rFonts w:ascii="Arial" w:hAnsi="Arial" w:cs="Arial"/>
                <w:sz w:val="20"/>
                <w:szCs w:val="20"/>
              </w:rPr>
              <w:t>5</w:t>
            </w:r>
            <w:r w:rsidR="002D0D07" w:rsidRPr="0078688E">
              <w:rPr>
                <w:rFonts w:ascii="Arial" w:hAnsi="Arial" w:cs="Arial"/>
                <w:sz w:val="20"/>
                <w:szCs w:val="20"/>
              </w:rPr>
              <w:t>0% complete.</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9 – </w:t>
            </w:r>
            <w:r w:rsidR="007C5DD0" w:rsidRPr="0078688E">
              <w:rPr>
                <w:rFonts w:ascii="Arial" w:hAnsi="Arial" w:cs="Arial"/>
                <w:sz w:val="20"/>
                <w:szCs w:val="20"/>
              </w:rPr>
              <w:t xml:space="preserve">50% complete.  The annual </w:t>
            </w:r>
            <w:r w:rsidR="007D2B1D" w:rsidRPr="0078688E">
              <w:rPr>
                <w:rFonts w:ascii="Arial" w:hAnsi="Arial" w:cs="Arial"/>
                <w:sz w:val="20"/>
                <w:szCs w:val="20"/>
              </w:rPr>
              <w:t xml:space="preserve">(Year 1 update) </w:t>
            </w:r>
            <w:r w:rsidR="007C5DD0" w:rsidRPr="0078688E">
              <w:rPr>
                <w:rFonts w:ascii="Arial" w:hAnsi="Arial" w:cs="Arial"/>
                <w:sz w:val="20"/>
                <w:szCs w:val="20"/>
              </w:rPr>
              <w:t xml:space="preserve">report was </w:t>
            </w:r>
            <w:r w:rsidR="00FA073F" w:rsidRPr="0078688E">
              <w:rPr>
                <w:rFonts w:ascii="Arial" w:hAnsi="Arial" w:cs="Arial"/>
                <w:sz w:val="20"/>
                <w:szCs w:val="20"/>
              </w:rPr>
              <w:t xml:space="preserve">revised based on TAC feedback </w:t>
            </w:r>
            <w:r w:rsidR="007C5DD0" w:rsidRPr="0078688E">
              <w:rPr>
                <w:rFonts w:ascii="Arial" w:hAnsi="Arial" w:cs="Arial"/>
                <w:sz w:val="20"/>
                <w:szCs w:val="20"/>
              </w:rPr>
              <w:t xml:space="preserve">and </w:t>
            </w:r>
            <w:r w:rsidR="00FA073F" w:rsidRPr="0078688E">
              <w:rPr>
                <w:rFonts w:ascii="Arial" w:hAnsi="Arial" w:cs="Arial"/>
                <w:sz w:val="20"/>
                <w:szCs w:val="20"/>
              </w:rPr>
              <w:t xml:space="preserve">again </w:t>
            </w:r>
            <w:r w:rsidR="007C5DD0" w:rsidRPr="0078688E">
              <w:rPr>
                <w:rFonts w:ascii="Arial" w:hAnsi="Arial" w:cs="Arial"/>
                <w:sz w:val="20"/>
                <w:szCs w:val="20"/>
              </w:rPr>
              <w:t>shared with the TAC.</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10 – </w:t>
            </w:r>
            <w:r w:rsidR="00876312" w:rsidRPr="0078688E">
              <w:rPr>
                <w:rFonts w:ascii="Arial" w:hAnsi="Arial" w:cs="Arial"/>
                <w:sz w:val="20"/>
                <w:szCs w:val="20"/>
              </w:rPr>
              <w:t>50</w:t>
            </w:r>
            <w:r w:rsidR="00154785" w:rsidRPr="0078688E">
              <w:rPr>
                <w:rFonts w:ascii="Arial" w:hAnsi="Arial" w:cs="Arial"/>
                <w:sz w:val="20"/>
                <w:szCs w:val="20"/>
              </w:rPr>
              <w:t>% complete.</w:t>
            </w:r>
          </w:p>
          <w:p w:rsidR="00ED19A9"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11 – </w:t>
            </w:r>
            <w:r w:rsidR="003B7740" w:rsidRPr="0078688E">
              <w:rPr>
                <w:rFonts w:ascii="Arial" w:hAnsi="Arial" w:cs="Arial"/>
                <w:sz w:val="20"/>
                <w:szCs w:val="20"/>
              </w:rPr>
              <w:t>5</w:t>
            </w:r>
            <w:r w:rsidR="00731FB6" w:rsidRPr="0078688E">
              <w:rPr>
                <w:rFonts w:ascii="Arial" w:hAnsi="Arial" w:cs="Arial"/>
                <w:sz w:val="20"/>
                <w:szCs w:val="20"/>
              </w:rPr>
              <w:t>0</w:t>
            </w:r>
            <w:r w:rsidRPr="0078688E">
              <w:rPr>
                <w:rFonts w:ascii="Arial" w:hAnsi="Arial" w:cs="Arial"/>
                <w:sz w:val="20"/>
                <w:szCs w:val="20"/>
              </w:rPr>
              <w:t>% complete.</w:t>
            </w:r>
          </w:p>
          <w:p w:rsidR="007D27BC"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Contract – </w:t>
            </w:r>
            <w:r w:rsidR="00ED19A9" w:rsidRPr="0078688E">
              <w:rPr>
                <w:rFonts w:ascii="Arial" w:hAnsi="Arial" w:cs="Arial"/>
                <w:sz w:val="20"/>
                <w:szCs w:val="20"/>
              </w:rPr>
              <w:t>No adjustment this quarter.</w:t>
            </w:r>
          </w:p>
          <w:p w:rsidR="009E245A" w:rsidRPr="0078688E"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78688E">
              <w:rPr>
                <w:rFonts w:ascii="Arial" w:hAnsi="Arial" w:cs="Arial"/>
                <w:b/>
                <w:sz w:val="20"/>
                <w:szCs w:val="20"/>
              </w:rPr>
              <w:t>Anticipated work next quarter</w:t>
            </w:r>
            <w:r w:rsidRPr="0078688E">
              <w:rPr>
                <w:rFonts w:ascii="Arial" w:hAnsi="Arial" w:cs="Arial"/>
                <w:sz w:val="20"/>
                <w:szCs w:val="20"/>
              </w:rPr>
              <w:t>:</w:t>
            </w:r>
          </w:p>
          <w:p w:rsidR="000C209F" w:rsidRPr="0078688E" w:rsidRDefault="000C209F" w:rsidP="00360664">
            <w:pPr>
              <w:spacing w:after="0" w:line="240" w:lineRule="auto"/>
              <w:rPr>
                <w:rFonts w:ascii="Arial" w:hAnsi="Arial" w:cs="Arial"/>
                <w:sz w:val="20"/>
                <w:szCs w:val="20"/>
              </w:rPr>
            </w:pPr>
          </w:p>
          <w:p w:rsidR="002F44FD"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1 –</w:t>
            </w:r>
            <w:r w:rsidR="00F44489" w:rsidRPr="0078688E">
              <w:rPr>
                <w:rFonts w:ascii="Arial" w:hAnsi="Arial" w:cs="Arial"/>
                <w:sz w:val="20"/>
                <w:szCs w:val="20"/>
              </w:rPr>
              <w:t xml:space="preserve"> C</w:t>
            </w:r>
            <w:r w:rsidR="00463EA1" w:rsidRPr="0078688E">
              <w:rPr>
                <w:rFonts w:ascii="Arial" w:hAnsi="Arial" w:cs="Arial"/>
                <w:sz w:val="20"/>
                <w:szCs w:val="20"/>
              </w:rPr>
              <w:t>ompleted</w:t>
            </w:r>
            <w:r w:rsidR="00BC4290" w:rsidRPr="0078688E">
              <w:rPr>
                <w:rFonts w:ascii="Arial" w:hAnsi="Arial" w:cs="Arial"/>
                <w:sz w:val="20"/>
                <w:szCs w:val="20"/>
              </w:rPr>
              <w:t>.</w:t>
            </w:r>
          </w:p>
          <w:p w:rsidR="00EC4414"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2 –</w:t>
            </w:r>
            <w:r w:rsidR="00F44489" w:rsidRPr="0078688E">
              <w:rPr>
                <w:rFonts w:ascii="Arial" w:hAnsi="Arial" w:cs="Arial"/>
                <w:sz w:val="20"/>
                <w:szCs w:val="20"/>
              </w:rPr>
              <w:t xml:space="preserve"> </w:t>
            </w:r>
            <w:r w:rsidR="005C2C1F" w:rsidRPr="0078688E">
              <w:rPr>
                <w:rFonts w:ascii="Arial" w:hAnsi="Arial" w:cs="Arial"/>
                <w:sz w:val="20"/>
                <w:szCs w:val="20"/>
              </w:rPr>
              <w:t>C</w:t>
            </w:r>
            <w:r w:rsidR="00EC4414" w:rsidRPr="0078688E">
              <w:rPr>
                <w:rFonts w:ascii="Arial" w:hAnsi="Arial" w:cs="Arial"/>
                <w:sz w:val="20"/>
                <w:szCs w:val="20"/>
              </w:rPr>
              <w:t>omplete</w:t>
            </w:r>
            <w:r w:rsidR="005C2C1F" w:rsidRPr="0078688E">
              <w:rPr>
                <w:rFonts w:ascii="Arial" w:hAnsi="Arial" w:cs="Arial"/>
                <w:sz w:val="20"/>
                <w:szCs w:val="20"/>
              </w:rPr>
              <w:t>d</w:t>
            </w:r>
            <w:r w:rsidR="00EC4414" w:rsidRPr="0078688E">
              <w:rPr>
                <w:rFonts w:ascii="Arial" w:hAnsi="Arial" w:cs="Arial"/>
                <w:sz w:val="20"/>
                <w:szCs w:val="20"/>
              </w:rPr>
              <w:t xml:space="preserve">.  </w:t>
            </w:r>
          </w:p>
          <w:p w:rsidR="003C2C2A"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3 –</w:t>
            </w:r>
            <w:r w:rsidR="003C2C2A" w:rsidRPr="0078688E">
              <w:rPr>
                <w:rFonts w:ascii="Arial" w:hAnsi="Arial" w:cs="Arial"/>
                <w:sz w:val="20"/>
                <w:szCs w:val="20"/>
              </w:rPr>
              <w:t xml:space="preserve"> </w:t>
            </w:r>
            <w:r w:rsidR="00BF715D" w:rsidRPr="0078688E">
              <w:rPr>
                <w:rFonts w:ascii="Arial" w:hAnsi="Arial" w:cs="Arial"/>
                <w:sz w:val="20"/>
                <w:szCs w:val="20"/>
              </w:rPr>
              <w:t>BYU will c</w:t>
            </w:r>
            <w:r w:rsidR="00B707C0" w:rsidRPr="0078688E">
              <w:rPr>
                <w:rFonts w:ascii="Arial" w:hAnsi="Arial" w:cs="Arial"/>
                <w:sz w:val="20"/>
                <w:szCs w:val="20"/>
              </w:rPr>
              <w:t>omplete</w:t>
            </w:r>
            <w:r w:rsidR="00BF715D" w:rsidRPr="0078688E">
              <w:rPr>
                <w:rFonts w:ascii="Arial" w:hAnsi="Arial" w:cs="Arial"/>
                <w:sz w:val="20"/>
                <w:szCs w:val="20"/>
              </w:rPr>
              <w:t xml:space="preserve"> work on this task.</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4 –</w:t>
            </w:r>
            <w:r w:rsidR="003C2C2A" w:rsidRPr="0078688E">
              <w:rPr>
                <w:rFonts w:ascii="Arial" w:hAnsi="Arial" w:cs="Arial"/>
                <w:sz w:val="20"/>
                <w:szCs w:val="20"/>
              </w:rPr>
              <w:t xml:space="preserve"> </w:t>
            </w:r>
            <w:r w:rsidR="00BF715D" w:rsidRPr="0078688E">
              <w:rPr>
                <w:rFonts w:ascii="Arial" w:hAnsi="Arial" w:cs="Arial"/>
                <w:sz w:val="20"/>
                <w:szCs w:val="20"/>
              </w:rPr>
              <w:t>BYU will co</w:t>
            </w:r>
            <w:r w:rsidR="00B707C0" w:rsidRPr="0078688E">
              <w:rPr>
                <w:rFonts w:ascii="Arial" w:hAnsi="Arial" w:cs="Arial"/>
                <w:sz w:val="20"/>
                <w:szCs w:val="20"/>
              </w:rPr>
              <w:t>mplete</w:t>
            </w:r>
            <w:r w:rsidR="00BF715D" w:rsidRPr="0078688E">
              <w:rPr>
                <w:rFonts w:ascii="Arial" w:hAnsi="Arial" w:cs="Arial"/>
                <w:sz w:val="20"/>
                <w:szCs w:val="20"/>
              </w:rPr>
              <w:t xml:space="preserve"> work on this task.  </w:t>
            </w:r>
            <w:r w:rsidR="00B707C0" w:rsidRPr="0078688E">
              <w:rPr>
                <w:rFonts w:ascii="Arial" w:hAnsi="Arial" w:cs="Arial"/>
                <w:sz w:val="20"/>
                <w:szCs w:val="20"/>
              </w:rPr>
              <w:t>The TAC quarterly update report for Tasks 3 and 4 will be shared with the TAC.</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5 – </w:t>
            </w:r>
            <w:r w:rsidR="00AD5786" w:rsidRPr="0078688E">
              <w:rPr>
                <w:rFonts w:ascii="Arial" w:hAnsi="Arial" w:cs="Arial"/>
                <w:sz w:val="20"/>
                <w:szCs w:val="20"/>
              </w:rPr>
              <w:t xml:space="preserve">BYU will </w:t>
            </w:r>
            <w:r w:rsidR="0041707D" w:rsidRPr="0078688E">
              <w:rPr>
                <w:rFonts w:ascii="Arial" w:hAnsi="Arial" w:cs="Arial"/>
                <w:sz w:val="20"/>
                <w:szCs w:val="20"/>
              </w:rPr>
              <w:t xml:space="preserve">continue </w:t>
            </w:r>
            <w:r w:rsidR="000957A8" w:rsidRPr="0078688E">
              <w:rPr>
                <w:rFonts w:ascii="Arial" w:hAnsi="Arial" w:cs="Arial"/>
                <w:sz w:val="20"/>
                <w:szCs w:val="20"/>
              </w:rPr>
              <w:t xml:space="preserve">the Year 2 </w:t>
            </w:r>
            <w:r w:rsidR="00AD5786" w:rsidRPr="0078688E">
              <w:rPr>
                <w:rFonts w:ascii="Arial" w:hAnsi="Arial" w:cs="Arial"/>
                <w:sz w:val="20"/>
                <w:szCs w:val="20"/>
              </w:rPr>
              <w:t>work on this task</w:t>
            </w:r>
            <w:r w:rsidR="000B2F53" w:rsidRPr="0078688E">
              <w:rPr>
                <w:rFonts w:ascii="Arial" w:hAnsi="Arial" w:cs="Arial"/>
                <w:sz w:val="20"/>
                <w:szCs w:val="20"/>
              </w:rPr>
              <w:t>.</w:t>
            </w:r>
            <w:r w:rsidR="00BF715D" w:rsidRPr="0078688E">
              <w:rPr>
                <w:rFonts w:ascii="Arial" w:hAnsi="Arial" w:cs="Arial"/>
                <w:sz w:val="20"/>
                <w:szCs w:val="20"/>
              </w:rPr>
              <w:t xml:space="preserve"> </w:t>
            </w:r>
            <w:r w:rsidR="0041707D" w:rsidRPr="0078688E">
              <w:rPr>
                <w:rFonts w:ascii="Arial" w:hAnsi="Arial" w:cs="Arial"/>
                <w:sz w:val="20"/>
                <w:szCs w:val="20"/>
              </w:rPr>
              <w:t xml:space="preserve"> </w:t>
            </w:r>
            <w:r w:rsidR="00D00A11" w:rsidRPr="0078688E">
              <w:rPr>
                <w:rFonts w:ascii="Arial" w:hAnsi="Arial" w:cs="Arial"/>
                <w:sz w:val="20"/>
                <w:szCs w:val="20"/>
              </w:rPr>
              <w:t xml:space="preserve">Map grid spacing will be evaluated based on </w:t>
            </w:r>
            <w:r w:rsidR="0041707D" w:rsidRPr="0078688E">
              <w:rPr>
                <w:rFonts w:ascii="Arial" w:hAnsi="Arial" w:cs="Arial"/>
                <w:sz w:val="20"/>
                <w:szCs w:val="20"/>
              </w:rPr>
              <w:t>s</w:t>
            </w:r>
            <w:r w:rsidR="00BF715D" w:rsidRPr="0078688E">
              <w:rPr>
                <w:rFonts w:ascii="Arial" w:hAnsi="Arial" w:cs="Arial"/>
                <w:sz w:val="20"/>
                <w:szCs w:val="20"/>
              </w:rPr>
              <w:t xml:space="preserve">implified post-liquefaction settlement </w:t>
            </w:r>
            <w:r w:rsidR="0041707D" w:rsidRPr="0078688E">
              <w:rPr>
                <w:rFonts w:ascii="Arial" w:hAnsi="Arial" w:cs="Arial"/>
                <w:sz w:val="20"/>
                <w:szCs w:val="20"/>
              </w:rPr>
              <w:t xml:space="preserve">and </w:t>
            </w:r>
            <w:proofErr w:type="spellStart"/>
            <w:r w:rsidR="0041707D" w:rsidRPr="0078688E">
              <w:rPr>
                <w:rFonts w:ascii="Arial" w:hAnsi="Arial" w:cs="Arial"/>
                <w:sz w:val="20"/>
                <w:szCs w:val="20"/>
              </w:rPr>
              <w:t>Newmark</w:t>
            </w:r>
            <w:proofErr w:type="spellEnd"/>
            <w:r w:rsidR="0041707D" w:rsidRPr="0078688E">
              <w:rPr>
                <w:rFonts w:ascii="Arial" w:hAnsi="Arial" w:cs="Arial"/>
                <w:sz w:val="20"/>
                <w:szCs w:val="20"/>
              </w:rPr>
              <w:t xml:space="preserve"> seismic slope displacement </w:t>
            </w:r>
            <w:r w:rsidR="00BF715D" w:rsidRPr="0078688E">
              <w:rPr>
                <w:rFonts w:ascii="Arial" w:hAnsi="Arial" w:cs="Arial"/>
                <w:sz w:val="20"/>
                <w:szCs w:val="20"/>
              </w:rPr>
              <w:t>models</w:t>
            </w:r>
            <w:r w:rsidR="0041707D" w:rsidRPr="0078688E">
              <w:rPr>
                <w:rFonts w:ascii="Arial" w:hAnsi="Arial" w:cs="Arial"/>
                <w:sz w:val="20"/>
                <w:szCs w:val="20"/>
              </w:rPr>
              <w:t xml:space="preserve"> from Tasks 3 and 4.</w:t>
            </w:r>
          </w:p>
          <w:p w:rsidR="00AD5786"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6 – </w:t>
            </w:r>
            <w:r w:rsidR="0041707D" w:rsidRPr="0078688E">
              <w:rPr>
                <w:rFonts w:ascii="Arial" w:hAnsi="Arial" w:cs="Arial"/>
                <w:sz w:val="20"/>
                <w:szCs w:val="20"/>
              </w:rPr>
              <w:t xml:space="preserve">BYU will continue the Year 2 work on this task.  </w:t>
            </w:r>
            <w:r w:rsidR="005C01E8" w:rsidRPr="0078688E">
              <w:rPr>
                <w:rFonts w:ascii="Arial" w:hAnsi="Arial" w:cs="Arial"/>
                <w:sz w:val="20"/>
                <w:szCs w:val="20"/>
              </w:rPr>
              <w:t xml:space="preserve">Liquefaction parameter maps will be developed based on simplified post-liquefaction settlement and </w:t>
            </w:r>
            <w:proofErr w:type="spellStart"/>
            <w:r w:rsidR="005C01E8" w:rsidRPr="0078688E">
              <w:rPr>
                <w:rFonts w:ascii="Arial" w:hAnsi="Arial" w:cs="Arial"/>
                <w:sz w:val="20"/>
                <w:szCs w:val="20"/>
              </w:rPr>
              <w:t>Newmark</w:t>
            </w:r>
            <w:proofErr w:type="spellEnd"/>
            <w:r w:rsidR="005C01E8" w:rsidRPr="0078688E">
              <w:rPr>
                <w:rFonts w:ascii="Arial" w:hAnsi="Arial" w:cs="Arial"/>
                <w:sz w:val="20"/>
                <w:szCs w:val="20"/>
              </w:rPr>
              <w:t xml:space="preserve"> seismic slope displacement models from Tasks 3 and 4</w:t>
            </w:r>
            <w:r w:rsidR="00BF715D" w:rsidRPr="0078688E">
              <w:rPr>
                <w:rFonts w:ascii="Arial" w:hAnsi="Arial" w:cs="Arial"/>
                <w:sz w:val="20"/>
                <w:szCs w:val="20"/>
              </w:rPr>
              <w:t xml:space="preserve">.  The TAC quarterly update report for Tasks </w:t>
            </w:r>
            <w:r w:rsidR="005C01E8" w:rsidRPr="0078688E">
              <w:rPr>
                <w:rFonts w:ascii="Arial" w:hAnsi="Arial" w:cs="Arial"/>
                <w:sz w:val="20"/>
                <w:szCs w:val="20"/>
              </w:rPr>
              <w:t>5</w:t>
            </w:r>
            <w:r w:rsidR="00BF715D" w:rsidRPr="0078688E">
              <w:rPr>
                <w:rFonts w:ascii="Arial" w:hAnsi="Arial" w:cs="Arial"/>
                <w:sz w:val="20"/>
                <w:szCs w:val="20"/>
              </w:rPr>
              <w:t xml:space="preserve"> and </w:t>
            </w:r>
            <w:r w:rsidR="005C01E8" w:rsidRPr="0078688E">
              <w:rPr>
                <w:rFonts w:ascii="Arial" w:hAnsi="Arial" w:cs="Arial"/>
                <w:sz w:val="20"/>
                <w:szCs w:val="20"/>
              </w:rPr>
              <w:t>6 (Year 2)</w:t>
            </w:r>
            <w:r w:rsidR="00BF715D" w:rsidRPr="0078688E">
              <w:rPr>
                <w:rFonts w:ascii="Arial" w:hAnsi="Arial" w:cs="Arial"/>
                <w:sz w:val="20"/>
                <w:szCs w:val="20"/>
              </w:rPr>
              <w:t xml:space="preserve"> </w:t>
            </w:r>
            <w:r w:rsidR="006015F0" w:rsidRPr="0078688E">
              <w:rPr>
                <w:rFonts w:ascii="Arial" w:hAnsi="Arial" w:cs="Arial"/>
                <w:sz w:val="20"/>
                <w:szCs w:val="20"/>
              </w:rPr>
              <w:t xml:space="preserve">will be prepared </w:t>
            </w:r>
            <w:r w:rsidR="005C01E8" w:rsidRPr="0078688E">
              <w:rPr>
                <w:rFonts w:ascii="Arial" w:hAnsi="Arial" w:cs="Arial"/>
                <w:sz w:val="20"/>
                <w:szCs w:val="20"/>
              </w:rPr>
              <w:t xml:space="preserve">and </w:t>
            </w:r>
            <w:r w:rsidR="00BF715D" w:rsidRPr="0078688E">
              <w:rPr>
                <w:rFonts w:ascii="Arial" w:hAnsi="Arial" w:cs="Arial"/>
                <w:sz w:val="20"/>
                <w:szCs w:val="20"/>
              </w:rPr>
              <w:t>shared with the TAC</w:t>
            </w:r>
            <w:r w:rsidR="006015F0" w:rsidRPr="0078688E">
              <w:rPr>
                <w:rFonts w:ascii="Arial" w:hAnsi="Arial" w:cs="Arial"/>
                <w:sz w:val="20"/>
                <w:szCs w:val="20"/>
              </w:rPr>
              <w:t xml:space="preserve">, along with the </w:t>
            </w:r>
            <w:r w:rsidR="0032612B" w:rsidRPr="0078688E">
              <w:rPr>
                <w:rFonts w:ascii="Arial" w:hAnsi="Arial" w:cs="Arial"/>
                <w:sz w:val="20"/>
                <w:szCs w:val="20"/>
              </w:rPr>
              <w:t xml:space="preserve">volumetric strain and seismic slope displacement reference </w:t>
            </w:r>
            <w:r w:rsidR="006015F0" w:rsidRPr="0078688E">
              <w:rPr>
                <w:rFonts w:ascii="Arial" w:hAnsi="Arial" w:cs="Arial"/>
                <w:sz w:val="20"/>
                <w:szCs w:val="20"/>
              </w:rPr>
              <w:t>parameter maps</w:t>
            </w:r>
            <w:r w:rsidR="005C01E8" w:rsidRPr="0078688E">
              <w:rPr>
                <w:rFonts w:ascii="Arial" w:hAnsi="Arial" w:cs="Arial"/>
                <w:sz w:val="20"/>
                <w:szCs w:val="20"/>
              </w:rPr>
              <w:t>.</w:t>
            </w:r>
          </w:p>
          <w:p w:rsidR="007B5208"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7 – </w:t>
            </w:r>
            <w:r w:rsidR="008F3D6B" w:rsidRPr="0078688E">
              <w:rPr>
                <w:rFonts w:ascii="Arial" w:hAnsi="Arial" w:cs="Arial"/>
                <w:sz w:val="20"/>
                <w:szCs w:val="20"/>
              </w:rPr>
              <w:t>BYU will begin the Year 2 work on this task (comparison of analysis approaches).</w:t>
            </w:r>
          </w:p>
          <w:p w:rsidR="005A0EC0"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8 –</w:t>
            </w:r>
            <w:r w:rsidR="00950310" w:rsidRPr="0078688E">
              <w:rPr>
                <w:rFonts w:ascii="Arial" w:hAnsi="Arial" w:cs="Arial"/>
                <w:sz w:val="20"/>
                <w:szCs w:val="20"/>
              </w:rPr>
              <w:t xml:space="preserve"> </w:t>
            </w:r>
            <w:r w:rsidR="008F3D6B" w:rsidRPr="0078688E">
              <w:rPr>
                <w:rFonts w:ascii="Arial" w:hAnsi="Arial" w:cs="Arial"/>
                <w:sz w:val="20"/>
                <w:szCs w:val="20"/>
              </w:rPr>
              <w:t>BYU will begin the Year 2 work on this task (add</w:t>
            </w:r>
            <w:r w:rsidR="00B15312" w:rsidRPr="0078688E">
              <w:rPr>
                <w:rFonts w:ascii="Arial" w:hAnsi="Arial" w:cs="Arial"/>
                <w:sz w:val="20"/>
                <w:szCs w:val="20"/>
              </w:rPr>
              <w:t>ing</w:t>
            </w:r>
            <w:r w:rsidR="008F3D6B" w:rsidRPr="0078688E">
              <w:rPr>
                <w:rFonts w:ascii="Arial" w:hAnsi="Arial" w:cs="Arial"/>
                <w:sz w:val="20"/>
                <w:szCs w:val="20"/>
              </w:rPr>
              <w:t xml:space="preserve"> features to the </w:t>
            </w:r>
            <w:r w:rsidR="009B1790" w:rsidRPr="0078688E">
              <w:rPr>
                <w:rFonts w:ascii="Arial" w:hAnsi="Arial" w:cs="Arial"/>
                <w:sz w:val="20"/>
                <w:szCs w:val="20"/>
              </w:rPr>
              <w:t>analysis spreadsheet</w:t>
            </w:r>
            <w:r w:rsidR="008F3D6B" w:rsidRPr="0078688E">
              <w:rPr>
                <w:rFonts w:ascii="Arial" w:hAnsi="Arial" w:cs="Arial"/>
                <w:sz w:val="20"/>
                <w:szCs w:val="20"/>
              </w:rPr>
              <w:t>).</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9 – </w:t>
            </w:r>
            <w:r w:rsidR="00545CF7" w:rsidRPr="0078688E">
              <w:rPr>
                <w:rFonts w:ascii="Arial" w:hAnsi="Arial" w:cs="Arial"/>
                <w:sz w:val="20"/>
                <w:szCs w:val="20"/>
              </w:rPr>
              <w:t>None.</w:t>
            </w:r>
          </w:p>
          <w:p w:rsidR="00B773E9" w:rsidRPr="0078688E" w:rsidRDefault="00587908" w:rsidP="00B773E9">
            <w:pPr>
              <w:spacing w:after="0" w:line="240" w:lineRule="auto"/>
              <w:rPr>
                <w:rFonts w:ascii="Arial" w:hAnsi="Arial" w:cs="Arial"/>
                <w:sz w:val="20"/>
                <w:szCs w:val="20"/>
              </w:rPr>
            </w:pPr>
            <w:r w:rsidRPr="0078688E">
              <w:rPr>
                <w:rFonts w:ascii="Arial" w:hAnsi="Arial" w:cs="Arial"/>
                <w:sz w:val="20"/>
                <w:szCs w:val="20"/>
              </w:rPr>
              <w:t xml:space="preserve">Task 10 – </w:t>
            </w:r>
            <w:r w:rsidR="00752379" w:rsidRPr="0078688E">
              <w:rPr>
                <w:rFonts w:ascii="Arial" w:hAnsi="Arial" w:cs="Arial"/>
                <w:sz w:val="20"/>
                <w:szCs w:val="20"/>
              </w:rPr>
              <w:t>None.</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11 – </w:t>
            </w:r>
            <w:r w:rsidR="00ED19A9" w:rsidRPr="0078688E">
              <w:rPr>
                <w:rFonts w:ascii="Arial" w:hAnsi="Arial" w:cs="Arial"/>
                <w:sz w:val="20"/>
                <w:szCs w:val="20"/>
              </w:rPr>
              <w:t xml:space="preserve">A TAC web-conference will be held </w:t>
            </w:r>
            <w:r w:rsidR="00C853D8" w:rsidRPr="0078688E">
              <w:rPr>
                <w:rFonts w:ascii="Arial" w:hAnsi="Arial" w:cs="Arial"/>
                <w:sz w:val="20"/>
                <w:szCs w:val="20"/>
              </w:rPr>
              <w:t>in</w:t>
            </w:r>
            <w:r w:rsidR="00ED19A9" w:rsidRPr="0078688E">
              <w:rPr>
                <w:rFonts w:ascii="Arial" w:hAnsi="Arial" w:cs="Arial"/>
                <w:sz w:val="20"/>
                <w:szCs w:val="20"/>
              </w:rPr>
              <w:t xml:space="preserve"> September to review progress and provide feedback.</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Contract –</w:t>
            </w:r>
            <w:r w:rsidR="008942C9" w:rsidRPr="0078688E">
              <w:rPr>
                <w:rFonts w:ascii="Arial" w:hAnsi="Arial" w:cs="Arial"/>
                <w:sz w:val="20"/>
                <w:szCs w:val="20"/>
              </w:rPr>
              <w:t xml:space="preserve"> </w:t>
            </w:r>
            <w:r w:rsidR="009F4F48" w:rsidRPr="0078688E">
              <w:rPr>
                <w:rFonts w:ascii="Arial" w:hAnsi="Arial" w:cs="Arial"/>
                <w:sz w:val="20"/>
                <w:szCs w:val="20"/>
              </w:rPr>
              <w:t>None.</w:t>
            </w:r>
          </w:p>
          <w:p w:rsidR="00926E5F" w:rsidRPr="0078688E"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931376" w:rsidRDefault="0032612B" w:rsidP="00EE1C5F">
            <w:pPr>
              <w:spacing w:after="0" w:line="240" w:lineRule="auto"/>
              <w:rPr>
                <w:rFonts w:ascii="Arial" w:hAnsi="Arial" w:cs="Arial"/>
                <w:sz w:val="20"/>
                <w:szCs w:val="20"/>
              </w:rPr>
            </w:pPr>
            <w:r w:rsidRPr="0078688E">
              <w:rPr>
                <w:rFonts w:ascii="Arial" w:hAnsi="Arial" w:cs="Arial"/>
                <w:sz w:val="20"/>
                <w:szCs w:val="20"/>
              </w:rPr>
              <w:t>Research in</w:t>
            </w:r>
            <w:r>
              <w:rPr>
                <w:rFonts w:ascii="Arial" w:hAnsi="Arial" w:cs="Arial"/>
                <w:sz w:val="20"/>
                <w:szCs w:val="20"/>
              </w:rPr>
              <w:t xml:space="preserve">to the development of simplified performance-based procedures for estimating post-liquefaction free-field settlements and </w:t>
            </w:r>
            <w:proofErr w:type="spellStart"/>
            <w:r>
              <w:rPr>
                <w:rFonts w:ascii="Arial" w:hAnsi="Arial" w:cs="Arial"/>
                <w:sz w:val="20"/>
                <w:szCs w:val="20"/>
              </w:rPr>
              <w:t>Newmark</w:t>
            </w:r>
            <w:proofErr w:type="spellEnd"/>
            <w:r>
              <w:rPr>
                <w:rFonts w:ascii="Arial" w:hAnsi="Arial" w:cs="Arial"/>
                <w:sz w:val="20"/>
                <w:szCs w:val="20"/>
              </w:rPr>
              <w:t xml:space="preserve"> seismic slope displacements was initiated with a new set of graduate students. While liquefaction triggering is an important consideration in geotechnical earthquake engineering, the evaluation of post-liquefaction effects such as settlement is typically considered more crucial for design. Research this quarter used the same PEER performance-based earthquake engineering framework that was used in other tasks in this research to develop probabilistic procedures for computing performance-based post-liquefaction settlement predictions using the standard penetration test (SPT), as well as computing simplified </w:t>
            </w:r>
            <w:proofErr w:type="spellStart"/>
            <w:r>
              <w:rPr>
                <w:rFonts w:ascii="Arial" w:hAnsi="Arial" w:cs="Arial"/>
                <w:sz w:val="20"/>
                <w:szCs w:val="20"/>
              </w:rPr>
              <w:t>Newmark</w:t>
            </w:r>
            <w:proofErr w:type="spellEnd"/>
            <w:r>
              <w:rPr>
                <w:rFonts w:ascii="Arial" w:hAnsi="Arial" w:cs="Arial"/>
                <w:sz w:val="20"/>
                <w:szCs w:val="20"/>
              </w:rPr>
              <w:t xml:space="preserve"> seismic slope displacement predictions. The post-liquefaction settlement procedure that was developed also incorporates the probability of liquefaction triggering to account for the </w:t>
            </w:r>
            <w:r w:rsidR="00E71B63">
              <w:rPr>
                <w:rFonts w:ascii="Arial" w:hAnsi="Arial" w:cs="Arial"/>
                <w:sz w:val="20"/>
                <w:szCs w:val="20"/>
              </w:rPr>
              <w:t xml:space="preserve">conditional likelihood that liquefaction would even occur in the soil. </w:t>
            </w:r>
          </w:p>
          <w:p w:rsidR="0078688E" w:rsidRDefault="0078688E" w:rsidP="00EE1C5F">
            <w:pPr>
              <w:spacing w:after="0" w:line="240" w:lineRule="auto"/>
              <w:rPr>
                <w:rFonts w:ascii="Arial" w:hAnsi="Arial" w:cs="Arial"/>
                <w:sz w:val="20"/>
                <w:szCs w:val="20"/>
              </w:rPr>
            </w:pPr>
          </w:p>
          <w:p w:rsidR="0078688E" w:rsidRDefault="0078688E" w:rsidP="00EE1C5F">
            <w:pPr>
              <w:spacing w:after="0" w:line="240" w:lineRule="auto"/>
              <w:rPr>
                <w:rFonts w:ascii="Arial" w:hAnsi="Arial" w:cs="Arial"/>
                <w:sz w:val="20"/>
                <w:szCs w:val="20"/>
              </w:rPr>
            </w:pPr>
            <w:r>
              <w:rPr>
                <w:rFonts w:ascii="Arial" w:hAnsi="Arial" w:cs="Arial"/>
                <w:sz w:val="20"/>
                <w:szCs w:val="20"/>
              </w:rPr>
              <w:t>Results of a validation study between the new simplified performance-based post-liquefaction settlement procedure and a full performance-based post-liquefaction settlement procedure demonstrated that the simplified procedure approximated the results from the full procedure reasonably well.</w:t>
            </w:r>
            <w:r w:rsidR="00C62BDF">
              <w:rPr>
                <w:rFonts w:ascii="Arial" w:hAnsi="Arial" w:cs="Arial"/>
                <w:sz w:val="20"/>
                <w:szCs w:val="20"/>
              </w:rPr>
              <w:t xml:space="preserve"> The validation study evaluated five different soil profiles in 10 U.S. cities at three different return periods to assess a wide range of performance for the proposed procedures.</w:t>
            </w:r>
            <w:r>
              <w:rPr>
                <w:rFonts w:ascii="Arial" w:hAnsi="Arial" w:cs="Arial"/>
                <w:sz w:val="20"/>
                <w:szCs w:val="20"/>
              </w:rPr>
              <w:t xml:space="preserve"> Figure 1 below shows the computed settlement validation results for the simplified procedure incorporating the Cetin et al. (2009) empirical strain procedure at three return periods, and Figure 2 below shows the computed settlement validation results for the simplified procedure incorporating the Ishihara and </w:t>
            </w:r>
            <w:proofErr w:type="spellStart"/>
            <w:r>
              <w:rPr>
                <w:rFonts w:ascii="Arial" w:hAnsi="Arial" w:cs="Arial"/>
                <w:sz w:val="20"/>
                <w:szCs w:val="20"/>
              </w:rPr>
              <w:t>Yoshimine</w:t>
            </w:r>
            <w:proofErr w:type="spellEnd"/>
            <w:r>
              <w:rPr>
                <w:rFonts w:ascii="Arial" w:hAnsi="Arial" w:cs="Arial"/>
                <w:sz w:val="20"/>
                <w:szCs w:val="20"/>
              </w:rPr>
              <w:t xml:space="preserve"> (1992) empirical strain procedure, per the approximations recommended by </w:t>
            </w:r>
            <w:proofErr w:type="spellStart"/>
            <w:r>
              <w:rPr>
                <w:rFonts w:ascii="Arial" w:hAnsi="Arial" w:cs="Arial"/>
                <w:sz w:val="20"/>
                <w:szCs w:val="20"/>
              </w:rPr>
              <w:t>Idriss</w:t>
            </w:r>
            <w:proofErr w:type="spellEnd"/>
            <w:r>
              <w:rPr>
                <w:rFonts w:ascii="Arial" w:hAnsi="Arial" w:cs="Arial"/>
                <w:sz w:val="20"/>
                <w:szCs w:val="20"/>
              </w:rPr>
              <w:t xml:space="preserve"> and Boulanger (2008). The simplified procedure using the Cetin et al. (2009) model shows considerably less scatter than the simplified procedure results using the Ishihara and </w:t>
            </w:r>
            <w:proofErr w:type="spellStart"/>
            <w:r>
              <w:rPr>
                <w:rFonts w:ascii="Arial" w:hAnsi="Arial" w:cs="Arial"/>
                <w:sz w:val="20"/>
                <w:szCs w:val="20"/>
              </w:rPr>
              <w:t>Yoshimine</w:t>
            </w:r>
            <w:proofErr w:type="spellEnd"/>
            <w:r>
              <w:rPr>
                <w:rFonts w:ascii="Arial" w:hAnsi="Arial" w:cs="Arial"/>
                <w:sz w:val="20"/>
                <w:szCs w:val="20"/>
              </w:rPr>
              <w:t xml:space="preserve"> (1992) results, likely because the Cetin et al. (2009) uses a single, continuous function to predict volumetric strain. Nevertheless, both simplified procedures showed that predicted ground-surface settlements of about 40 cm or less usually approximated the predicted results from the full performance-based procedure quite well. Settlement predictions greater than about 40 cm demonstrated quite a bit more scatter for both models.  </w:t>
            </w:r>
          </w:p>
          <w:p w:rsidR="0078688E" w:rsidRDefault="0078688E" w:rsidP="00EE1C5F">
            <w:pPr>
              <w:spacing w:after="0" w:line="240" w:lineRule="auto"/>
              <w:rPr>
                <w:rFonts w:ascii="Arial" w:hAnsi="Arial" w:cs="Arial"/>
                <w:sz w:val="20"/>
                <w:szCs w:val="20"/>
              </w:rPr>
            </w:pPr>
          </w:p>
          <w:p w:rsidR="0078688E" w:rsidRDefault="0078688E" w:rsidP="0078688E">
            <w:pPr>
              <w:spacing w:after="0" w:line="240" w:lineRule="auto"/>
              <w:jc w:val="center"/>
              <w:rPr>
                <w:rFonts w:ascii="Arial" w:hAnsi="Arial" w:cs="Arial"/>
                <w:strike/>
                <w:sz w:val="20"/>
                <w:szCs w:val="20"/>
              </w:rPr>
            </w:pPr>
            <w:r>
              <w:rPr>
                <w:rFonts w:ascii="Arial" w:hAnsi="Arial" w:cs="Arial"/>
                <w:noProof/>
                <w:sz w:val="20"/>
                <w:szCs w:val="20"/>
              </w:rPr>
              <w:drawing>
                <wp:inline distT="0" distB="0" distL="0" distR="0" wp14:anchorId="04850651" wp14:editId="7E4FFFF4">
                  <wp:extent cx="5158597" cy="515859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1094" cy="5171094"/>
                          </a:xfrm>
                          <a:prstGeom prst="rect">
                            <a:avLst/>
                          </a:prstGeom>
                          <a:noFill/>
                        </pic:spPr>
                      </pic:pic>
                    </a:graphicData>
                  </a:graphic>
                </wp:inline>
              </w:drawing>
            </w:r>
          </w:p>
          <w:p w:rsidR="0078688E" w:rsidRDefault="00C62BDF" w:rsidP="0078688E">
            <w:pPr>
              <w:spacing w:after="0" w:line="240" w:lineRule="auto"/>
              <w:jc w:val="center"/>
              <w:rPr>
                <w:rFonts w:ascii="Arial" w:hAnsi="Arial" w:cs="Arial"/>
                <w:sz w:val="20"/>
                <w:szCs w:val="20"/>
              </w:rPr>
            </w:pPr>
            <w:r>
              <w:rPr>
                <w:rFonts w:ascii="Arial" w:hAnsi="Arial" w:cs="Arial"/>
                <w:b/>
                <w:sz w:val="20"/>
                <w:szCs w:val="20"/>
              </w:rPr>
              <w:t xml:space="preserve">Fig. 1.  </w:t>
            </w:r>
            <w:r>
              <w:rPr>
                <w:rFonts w:ascii="Arial" w:hAnsi="Arial" w:cs="Arial"/>
                <w:sz w:val="20"/>
                <w:szCs w:val="20"/>
              </w:rPr>
              <w:t xml:space="preserve">Comparison of the computed ground surface settlements between the simplified performance-based post-liquefaction settlement procedure using the Cetin et al. (2009) model and the full performance-based post-liquefaction settlement procedure </w:t>
            </w:r>
          </w:p>
          <w:p w:rsidR="00C62BDF" w:rsidRDefault="00C62BDF" w:rsidP="0078688E">
            <w:pPr>
              <w:spacing w:after="0" w:line="240" w:lineRule="auto"/>
              <w:jc w:val="center"/>
              <w:rPr>
                <w:rFonts w:ascii="Arial" w:hAnsi="Arial" w:cs="Arial"/>
                <w:sz w:val="20"/>
                <w:szCs w:val="20"/>
              </w:rPr>
            </w:pPr>
          </w:p>
          <w:p w:rsidR="00C62BDF" w:rsidRDefault="00C62BDF" w:rsidP="0078688E">
            <w:pPr>
              <w:spacing w:after="0" w:line="240" w:lineRule="auto"/>
              <w:jc w:val="center"/>
              <w:rPr>
                <w:rFonts w:ascii="Arial" w:hAnsi="Arial" w:cs="Arial"/>
                <w:sz w:val="20"/>
                <w:szCs w:val="20"/>
              </w:rPr>
            </w:pPr>
            <w:r>
              <w:rPr>
                <w:rFonts w:ascii="Arial" w:hAnsi="Arial" w:cs="Arial"/>
                <w:noProof/>
                <w:sz w:val="20"/>
                <w:szCs w:val="20"/>
              </w:rPr>
              <w:lastRenderedPageBreak/>
              <w:drawing>
                <wp:inline distT="0" distB="0" distL="0" distR="0" wp14:anchorId="424EDCE4">
                  <wp:extent cx="5184476" cy="526853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568" cy="5273705"/>
                          </a:xfrm>
                          <a:prstGeom prst="rect">
                            <a:avLst/>
                          </a:prstGeom>
                          <a:noFill/>
                        </pic:spPr>
                      </pic:pic>
                    </a:graphicData>
                  </a:graphic>
                </wp:inline>
              </w:drawing>
            </w:r>
          </w:p>
          <w:p w:rsidR="00C62BDF" w:rsidRDefault="00C62BDF" w:rsidP="00C62BDF">
            <w:pPr>
              <w:spacing w:after="0" w:line="240" w:lineRule="auto"/>
              <w:jc w:val="center"/>
              <w:rPr>
                <w:rFonts w:ascii="Arial" w:hAnsi="Arial" w:cs="Arial"/>
                <w:sz w:val="20"/>
                <w:szCs w:val="20"/>
              </w:rPr>
            </w:pPr>
            <w:r>
              <w:rPr>
                <w:rFonts w:ascii="Arial" w:hAnsi="Arial" w:cs="Arial"/>
                <w:b/>
                <w:sz w:val="20"/>
                <w:szCs w:val="20"/>
              </w:rPr>
              <w:t xml:space="preserve">Fig. 2.  </w:t>
            </w:r>
            <w:r>
              <w:rPr>
                <w:rFonts w:ascii="Arial" w:hAnsi="Arial" w:cs="Arial"/>
                <w:sz w:val="20"/>
                <w:szCs w:val="20"/>
              </w:rPr>
              <w:t xml:space="preserve">Comparison of the computed ground surface settlements between the simplified performance-based post-liquefaction settlement procedure using the Ishihara and </w:t>
            </w:r>
            <w:proofErr w:type="spellStart"/>
            <w:r>
              <w:rPr>
                <w:rFonts w:ascii="Arial" w:hAnsi="Arial" w:cs="Arial"/>
                <w:sz w:val="20"/>
                <w:szCs w:val="20"/>
              </w:rPr>
              <w:t>Yoshimine</w:t>
            </w:r>
            <w:proofErr w:type="spellEnd"/>
            <w:r>
              <w:rPr>
                <w:rFonts w:ascii="Arial" w:hAnsi="Arial" w:cs="Arial"/>
                <w:sz w:val="20"/>
                <w:szCs w:val="20"/>
              </w:rPr>
              <w:t xml:space="preserve"> (1992) model and the full performance-based post-liquefaction settlement procedure </w:t>
            </w:r>
          </w:p>
          <w:p w:rsidR="00C62BDF" w:rsidRPr="00C62BDF" w:rsidRDefault="00C62BDF" w:rsidP="0078688E">
            <w:pPr>
              <w:spacing w:after="0" w:line="240" w:lineRule="auto"/>
              <w:jc w:val="center"/>
              <w:rPr>
                <w:rFonts w:ascii="Arial" w:hAnsi="Arial" w:cs="Arial"/>
                <w:sz w:val="20"/>
                <w:szCs w:val="20"/>
              </w:rPr>
            </w:pPr>
          </w:p>
          <w:p w:rsidR="00F93966" w:rsidRDefault="00F93966">
            <w:pPr>
              <w:spacing w:after="0" w:line="240" w:lineRule="auto"/>
              <w:rPr>
                <w:rFonts w:ascii="Arial" w:hAnsi="Arial" w:cs="Arial"/>
                <w:sz w:val="20"/>
                <w:szCs w:val="20"/>
              </w:rPr>
            </w:pPr>
          </w:p>
          <w:p w:rsidR="00C62BDF" w:rsidRDefault="00C62BDF">
            <w:pPr>
              <w:spacing w:after="0" w:line="240" w:lineRule="auto"/>
              <w:rPr>
                <w:rFonts w:ascii="Arial" w:hAnsi="Arial" w:cs="Arial"/>
                <w:sz w:val="20"/>
                <w:szCs w:val="20"/>
              </w:rPr>
            </w:pPr>
            <w:r>
              <w:rPr>
                <w:rFonts w:ascii="Arial" w:hAnsi="Arial" w:cs="Arial"/>
                <w:sz w:val="20"/>
                <w:szCs w:val="20"/>
              </w:rPr>
              <w:t xml:space="preserve">A similar validation study was performed for the simplified performance-based </w:t>
            </w:r>
            <w:proofErr w:type="spellStart"/>
            <w:r>
              <w:rPr>
                <w:rFonts w:ascii="Arial" w:hAnsi="Arial" w:cs="Arial"/>
                <w:sz w:val="20"/>
                <w:szCs w:val="20"/>
              </w:rPr>
              <w:t>Newmark</w:t>
            </w:r>
            <w:proofErr w:type="spellEnd"/>
            <w:r>
              <w:rPr>
                <w:rFonts w:ascii="Arial" w:hAnsi="Arial" w:cs="Arial"/>
                <w:sz w:val="20"/>
                <w:szCs w:val="20"/>
              </w:rPr>
              <w:t xml:space="preserve"> sliding block procedures using the </w:t>
            </w:r>
            <w:proofErr w:type="spellStart"/>
            <w:r>
              <w:rPr>
                <w:rFonts w:ascii="Arial" w:hAnsi="Arial" w:cs="Arial"/>
                <w:sz w:val="20"/>
                <w:szCs w:val="20"/>
              </w:rPr>
              <w:t>Rathje</w:t>
            </w:r>
            <w:proofErr w:type="spellEnd"/>
            <w:r>
              <w:rPr>
                <w:rFonts w:ascii="Arial" w:hAnsi="Arial" w:cs="Arial"/>
                <w:sz w:val="20"/>
                <w:szCs w:val="20"/>
              </w:rPr>
              <w:t xml:space="preserve"> and </w:t>
            </w:r>
            <w:proofErr w:type="spellStart"/>
            <w:r>
              <w:rPr>
                <w:rFonts w:ascii="Arial" w:hAnsi="Arial" w:cs="Arial"/>
                <w:sz w:val="20"/>
                <w:szCs w:val="20"/>
              </w:rPr>
              <w:t>Saygili</w:t>
            </w:r>
            <w:proofErr w:type="spellEnd"/>
            <w:r>
              <w:rPr>
                <w:rFonts w:ascii="Arial" w:hAnsi="Arial" w:cs="Arial"/>
                <w:sz w:val="20"/>
                <w:szCs w:val="20"/>
              </w:rPr>
              <w:t xml:space="preserve"> (2009) model and the Bray and </w:t>
            </w:r>
            <w:proofErr w:type="spellStart"/>
            <w:r>
              <w:rPr>
                <w:rFonts w:ascii="Arial" w:hAnsi="Arial" w:cs="Arial"/>
                <w:sz w:val="20"/>
                <w:szCs w:val="20"/>
              </w:rPr>
              <w:t>Travasarou</w:t>
            </w:r>
            <w:proofErr w:type="spellEnd"/>
            <w:r>
              <w:rPr>
                <w:rFonts w:ascii="Arial" w:hAnsi="Arial" w:cs="Arial"/>
                <w:sz w:val="20"/>
                <w:szCs w:val="20"/>
              </w:rPr>
              <w:t xml:space="preserve"> (2007) model. The validation study assessed the performance of the simplified performance-based procedure against the full performance-based procedure (</w:t>
            </w:r>
            <w:proofErr w:type="spellStart"/>
            <w:r>
              <w:rPr>
                <w:rFonts w:ascii="Arial" w:hAnsi="Arial" w:cs="Arial"/>
                <w:sz w:val="20"/>
                <w:szCs w:val="20"/>
              </w:rPr>
              <w:t>Rathje</w:t>
            </w:r>
            <w:proofErr w:type="spellEnd"/>
            <w:r>
              <w:rPr>
                <w:rFonts w:ascii="Arial" w:hAnsi="Arial" w:cs="Arial"/>
                <w:sz w:val="20"/>
                <w:szCs w:val="20"/>
              </w:rPr>
              <w:t xml:space="preserve"> and </w:t>
            </w:r>
            <w:proofErr w:type="spellStart"/>
            <w:r>
              <w:rPr>
                <w:rFonts w:ascii="Arial" w:hAnsi="Arial" w:cs="Arial"/>
                <w:sz w:val="20"/>
                <w:szCs w:val="20"/>
              </w:rPr>
              <w:t>Saygili</w:t>
            </w:r>
            <w:proofErr w:type="spellEnd"/>
            <w:r>
              <w:rPr>
                <w:rFonts w:ascii="Arial" w:hAnsi="Arial" w:cs="Arial"/>
                <w:sz w:val="20"/>
                <w:szCs w:val="20"/>
              </w:rPr>
              <w:t xml:space="preserve"> 2008) for the 10 selected U.S. cities at three different return periods, and for yield accelerations ranging from 0.1 to 0.5</w:t>
            </w:r>
            <w:r w:rsidR="00E660E7">
              <w:rPr>
                <w:rFonts w:ascii="Arial" w:hAnsi="Arial" w:cs="Arial"/>
                <w:sz w:val="20"/>
                <w:szCs w:val="20"/>
              </w:rPr>
              <w:t xml:space="preserve"> g</w:t>
            </w:r>
            <w:r>
              <w:rPr>
                <w:rFonts w:ascii="Arial" w:hAnsi="Arial" w:cs="Arial"/>
                <w:sz w:val="20"/>
                <w:szCs w:val="20"/>
              </w:rPr>
              <w:t xml:space="preserve">. Scatterplots showing the validation study results are presented for the </w:t>
            </w:r>
            <w:proofErr w:type="spellStart"/>
            <w:r>
              <w:rPr>
                <w:rFonts w:ascii="Arial" w:hAnsi="Arial" w:cs="Arial"/>
                <w:sz w:val="20"/>
                <w:szCs w:val="20"/>
              </w:rPr>
              <w:t>Rathje</w:t>
            </w:r>
            <w:proofErr w:type="spellEnd"/>
            <w:r>
              <w:rPr>
                <w:rFonts w:ascii="Arial" w:hAnsi="Arial" w:cs="Arial"/>
                <w:sz w:val="20"/>
                <w:szCs w:val="20"/>
              </w:rPr>
              <w:t xml:space="preserve"> and </w:t>
            </w:r>
            <w:proofErr w:type="spellStart"/>
            <w:r>
              <w:rPr>
                <w:rFonts w:ascii="Arial" w:hAnsi="Arial" w:cs="Arial"/>
                <w:sz w:val="20"/>
                <w:szCs w:val="20"/>
              </w:rPr>
              <w:t>Saygili</w:t>
            </w:r>
            <w:proofErr w:type="spellEnd"/>
            <w:r>
              <w:rPr>
                <w:rFonts w:ascii="Arial" w:hAnsi="Arial" w:cs="Arial"/>
                <w:sz w:val="20"/>
                <w:szCs w:val="20"/>
              </w:rPr>
              <w:t xml:space="preserve"> (2009) model in Figure 3, and </w:t>
            </w:r>
            <w:r w:rsidR="00D51D40">
              <w:rPr>
                <w:rFonts w:ascii="Arial" w:hAnsi="Arial" w:cs="Arial"/>
                <w:sz w:val="20"/>
                <w:szCs w:val="20"/>
              </w:rPr>
              <w:t xml:space="preserve">for the Bray and </w:t>
            </w:r>
            <w:proofErr w:type="spellStart"/>
            <w:r w:rsidR="00D51D40">
              <w:rPr>
                <w:rFonts w:ascii="Arial" w:hAnsi="Arial" w:cs="Arial"/>
                <w:sz w:val="20"/>
                <w:szCs w:val="20"/>
              </w:rPr>
              <w:t>Travasarou</w:t>
            </w:r>
            <w:proofErr w:type="spellEnd"/>
            <w:r w:rsidR="00D51D40">
              <w:rPr>
                <w:rFonts w:ascii="Arial" w:hAnsi="Arial" w:cs="Arial"/>
                <w:sz w:val="20"/>
                <w:szCs w:val="20"/>
              </w:rPr>
              <w:t xml:space="preserve"> (2007) model in Figure 4. Results from this validation study suggest that the simplified performance-based procedures for bot</w:t>
            </w:r>
            <w:r w:rsidR="00F56012">
              <w:rPr>
                <w:rFonts w:ascii="Arial" w:hAnsi="Arial" w:cs="Arial"/>
                <w:sz w:val="20"/>
                <w:szCs w:val="20"/>
              </w:rPr>
              <w:t>h models reasonably approximate</w:t>
            </w:r>
            <w:r w:rsidR="00D51D40">
              <w:rPr>
                <w:rFonts w:ascii="Arial" w:hAnsi="Arial" w:cs="Arial"/>
                <w:sz w:val="20"/>
                <w:szCs w:val="20"/>
              </w:rPr>
              <w:t xml:space="preserve"> the results from the full performance-based procedure, though the procedure incorporating the Bray and </w:t>
            </w:r>
            <w:proofErr w:type="spellStart"/>
            <w:r w:rsidR="00D51D40">
              <w:rPr>
                <w:rFonts w:ascii="Arial" w:hAnsi="Arial" w:cs="Arial"/>
                <w:sz w:val="20"/>
                <w:szCs w:val="20"/>
              </w:rPr>
              <w:t>Travasarou</w:t>
            </w:r>
            <w:proofErr w:type="spellEnd"/>
            <w:r w:rsidR="00D51D40">
              <w:rPr>
                <w:rFonts w:ascii="Arial" w:hAnsi="Arial" w:cs="Arial"/>
                <w:sz w:val="20"/>
                <w:szCs w:val="20"/>
              </w:rPr>
              <w:t xml:space="preserve"> (2007) showed much better approximations than the procedure incorporating the </w:t>
            </w:r>
            <w:proofErr w:type="spellStart"/>
            <w:r w:rsidR="00D51D40">
              <w:rPr>
                <w:rFonts w:ascii="Arial" w:hAnsi="Arial" w:cs="Arial"/>
                <w:sz w:val="20"/>
                <w:szCs w:val="20"/>
              </w:rPr>
              <w:t>Rathje</w:t>
            </w:r>
            <w:proofErr w:type="spellEnd"/>
            <w:r w:rsidR="00D51D40">
              <w:rPr>
                <w:rFonts w:ascii="Arial" w:hAnsi="Arial" w:cs="Arial"/>
                <w:sz w:val="20"/>
                <w:szCs w:val="20"/>
              </w:rPr>
              <w:t xml:space="preserve"> and </w:t>
            </w:r>
            <w:proofErr w:type="spellStart"/>
            <w:r w:rsidR="00D51D40">
              <w:rPr>
                <w:rFonts w:ascii="Arial" w:hAnsi="Arial" w:cs="Arial"/>
                <w:sz w:val="20"/>
                <w:szCs w:val="20"/>
              </w:rPr>
              <w:t>Saygili</w:t>
            </w:r>
            <w:proofErr w:type="spellEnd"/>
            <w:r w:rsidR="00D51D40">
              <w:rPr>
                <w:rFonts w:ascii="Arial" w:hAnsi="Arial" w:cs="Arial"/>
                <w:sz w:val="20"/>
                <w:szCs w:val="20"/>
              </w:rPr>
              <w:t xml:space="preserve"> (2009) procedure. However, the simplified performance-based procedures for both models appeared to approximate the results from the full performance-based procedure very well up to predicted displacements of about 50 cm. At displacements greater than about 50 cm, more inconsistencies in the predictions were observed, particularly with the procedure incorporating the </w:t>
            </w:r>
            <w:proofErr w:type="spellStart"/>
            <w:r w:rsidR="00D51D40">
              <w:rPr>
                <w:rFonts w:ascii="Arial" w:hAnsi="Arial" w:cs="Arial"/>
                <w:sz w:val="20"/>
                <w:szCs w:val="20"/>
              </w:rPr>
              <w:t>Rathje</w:t>
            </w:r>
            <w:proofErr w:type="spellEnd"/>
            <w:r w:rsidR="00D51D40">
              <w:rPr>
                <w:rFonts w:ascii="Arial" w:hAnsi="Arial" w:cs="Arial"/>
                <w:sz w:val="20"/>
                <w:szCs w:val="20"/>
              </w:rPr>
              <w:t xml:space="preserve"> and </w:t>
            </w:r>
            <w:proofErr w:type="spellStart"/>
            <w:r w:rsidR="00D51D40">
              <w:rPr>
                <w:rFonts w:ascii="Arial" w:hAnsi="Arial" w:cs="Arial"/>
                <w:sz w:val="20"/>
                <w:szCs w:val="20"/>
              </w:rPr>
              <w:t>Saygili</w:t>
            </w:r>
            <w:proofErr w:type="spellEnd"/>
            <w:r w:rsidR="00D51D40">
              <w:rPr>
                <w:rFonts w:ascii="Arial" w:hAnsi="Arial" w:cs="Arial"/>
                <w:sz w:val="20"/>
                <w:szCs w:val="20"/>
              </w:rPr>
              <w:t xml:space="preserve"> (2009) model.</w:t>
            </w:r>
          </w:p>
          <w:p w:rsidR="00D51D40" w:rsidRDefault="00D51D40">
            <w:pPr>
              <w:spacing w:after="0" w:line="240" w:lineRule="auto"/>
              <w:rPr>
                <w:rFonts w:ascii="Arial" w:hAnsi="Arial" w:cs="Arial"/>
                <w:sz w:val="20"/>
                <w:szCs w:val="20"/>
              </w:rPr>
            </w:pPr>
          </w:p>
          <w:p w:rsidR="00D51D40" w:rsidRDefault="00D51D40" w:rsidP="00D51D40">
            <w:pPr>
              <w:spacing w:after="0" w:line="240" w:lineRule="auto"/>
              <w:jc w:val="center"/>
              <w:rPr>
                <w:rFonts w:ascii="Arial" w:hAnsi="Arial" w:cs="Arial"/>
                <w:sz w:val="20"/>
                <w:szCs w:val="20"/>
              </w:rPr>
            </w:pPr>
            <w:r>
              <w:rPr>
                <w:rFonts w:ascii="Arial" w:hAnsi="Arial" w:cs="Arial"/>
                <w:noProof/>
                <w:sz w:val="20"/>
                <w:szCs w:val="20"/>
              </w:rPr>
              <w:lastRenderedPageBreak/>
              <w:drawing>
                <wp:inline distT="0" distB="0" distL="0" distR="0" wp14:anchorId="1C859CB8">
                  <wp:extent cx="5175812" cy="4718649"/>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744" cy="4724057"/>
                          </a:xfrm>
                          <a:prstGeom prst="rect">
                            <a:avLst/>
                          </a:prstGeom>
                          <a:noFill/>
                        </pic:spPr>
                      </pic:pic>
                    </a:graphicData>
                  </a:graphic>
                </wp:inline>
              </w:drawing>
            </w:r>
          </w:p>
          <w:p w:rsidR="00D51D40" w:rsidRDefault="00D51D40" w:rsidP="00D51D40">
            <w:pPr>
              <w:spacing w:after="0" w:line="240" w:lineRule="auto"/>
              <w:jc w:val="center"/>
              <w:rPr>
                <w:rFonts w:ascii="Arial" w:hAnsi="Arial" w:cs="Arial"/>
                <w:sz w:val="20"/>
                <w:szCs w:val="20"/>
              </w:rPr>
            </w:pPr>
            <w:r>
              <w:rPr>
                <w:rFonts w:ascii="Arial" w:hAnsi="Arial" w:cs="Arial"/>
                <w:b/>
                <w:sz w:val="20"/>
                <w:szCs w:val="20"/>
              </w:rPr>
              <w:t xml:space="preserve">Fig. 3.  </w:t>
            </w:r>
            <w:r>
              <w:rPr>
                <w:rFonts w:ascii="Arial" w:hAnsi="Arial" w:cs="Arial"/>
                <w:sz w:val="20"/>
                <w:szCs w:val="20"/>
              </w:rPr>
              <w:t xml:space="preserve">Comparison of the computed </w:t>
            </w:r>
            <w:proofErr w:type="spellStart"/>
            <w:r>
              <w:rPr>
                <w:rFonts w:ascii="Arial" w:hAnsi="Arial" w:cs="Arial"/>
                <w:sz w:val="20"/>
                <w:szCs w:val="20"/>
              </w:rPr>
              <w:t>Newmark</w:t>
            </w:r>
            <w:proofErr w:type="spellEnd"/>
            <w:r>
              <w:rPr>
                <w:rFonts w:ascii="Arial" w:hAnsi="Arial" w:cs="Arial"/>
                <w:sz w:val="20"/>
                <w:szCs w:val="20"/>
              </w:rPr>
              <w:t xml:space="preserve"> seismic slope displacements between the simplified performance-based </w:t>
            </w:r>
            <w:proofErr w:type="spellStart"/>
            <w:r>
              <w:rPr>
                <w:rFonts w:ascii="Arial" w:hAnsi="Arial" w:cs="Arial"/>
                <w:sz w:val="20"/>
                <w:szCs w:val="20"/>
              </w:rPr>
              <w:t>Newmark</w:t>
            </w:r>
            <w:proofErr w:type="spellEnd"/>
            <w:r>
              <w:rPr>
                <w:rFonts w:ascii="Arial" w:hAnsi="Arial" w:cs="Arial"/>
                <w:sz w:val="20"/>
                <w:szCs w:val="20"/>
              </w:rPr>
              <w:t xml:space="preserve"> procedure using the </w:t>
            </w:r>
            <w:proofErr w:type="spellStart"/>
            <w:r>
              <w:rPr>
                <w:rFonts w:ascii="Arial" w:hAnsi="Arial" w:cs="Arial"/>
                <w:sz w:val="20"/>
                <w:szCs w:val="20"/>
              </w:rPr>
              <w:t>Rathje</w:t>
            </w:r>
            <w:proofErr w:type="spellEnd"/>
            <w:r>
              <w:rPr>
                <w:rFonts w:ascii="Arial" w:hAnsi="Arial" w:cs="Arial"/>
                <w:sz w:val="20"/>
                <w:szCs w:val="20"/>
              </w:rPr>
              <w:t xml:space="preserve"> and </w:t>
            </w:r>
            <w:proofErr w:type="spellStart"/>
            <w:r>
              <w:rPr>
                <w:rFonts w:ascii="Arial" w:hAnsi="Arial" w:cs="Arial"/>
                <w:sz w:val="20"/>
                <w:szCs w:val="20"/>
              </w:rPr>
              <w:t>Saygili</w:t>
            </w:r>
            <w:proofErr w:type="spellEnd"/>
            <w:r>
              <w:rPr>
                <w:rFonts w:ascii="Arial" w:hAnsi="Arial" w:cs="Arial"/>
                <w:sz w:val="20"/>
                <w:szCs w:val="20"/>
              </w:rPr>
              <w:t xml:space="preserve"> (2009) model and the full performance-based </w:t>
            </w:r>
            <w:proofErr w:type="spellStart"/>
            <w:r>
              <w:rPr>
                <w:rFonts w:ascii="Arial" w:hAnsi="Arial" w:cs="Arial"/>
                <w:sz w:val="20"/>
                <w:szCs w:val="20"/>
              </w:rPr>
              <w:t>Newmark</w:t>
            </w:r>
            <w:proofErr w:type="spellEnd"/>
            <w:r>
              <w:rPr>
                <w:rFonts w:ascii="Arial" w:hAnsi="Arial" w:cs="Arial"/>
                <w:sz w:val="20"/>
                <w:szCs w:val="20"/>
              </w:rPr>
              <w:t xml:space="preserve"> procedure (</w:t>
            </w:r>
            <w:proofErr w:type="spellStart"/>
            <w:r>
              <w:rPr>
                <w:rFonts w:ascii="Arial" w:hAnsi="Arial" w:cs="Arial"/>
                <w:sz w:val="20"/>
                <w:szCs w:val="20"/>
              </w:rPr>
              <w:t>Rathje</w:t>
            </w:r>
            <w:proofErr w:type="spellEnd"/>
            <w:r>
              <w:rPr>
                <w:rFonts w:ascii="Arial" w:hAnsi="Arial" w:cs="Arial"/>
                <w:sz w:val="20"/>
                <w:szCs w:val="20"/>
              </w:rPr>
              <w:t xml:space="preserve"> and </w:t>
            </w:r>
            <w:proofErr w:type="spellStart"/>
            <w:r>
              <w:rPr>
                <w:rFonts w:ascii="Arial" w:hAnsi="Arial" w:cs="Arial"/>
                <w:sz w:val="20"/>
                <w:szCs w:val="20"/>
              </w:rPr>
              <w:t>Saygili</w:t>
            </w:r>
            <w:proofErr w:type="spellEnd"/>
            <w:r>
              <w:rPr>
                <w:rFonts w:ascii="Arial" w:hAnsi="Arial" w:cs="Arial"/>
                <w:sz w:val="20"/>
                <w:szCs w:val="20"/>
              </w:rPr>
              <w:t xml:space="preserve"> 2008) </w:t>
            </w:r>
          </w:p>
          <w:p w:rsidR="00D51D40" w:rsidRDefault="00D51D40" w:rsidP="00D51D40">
            <w:pPr>
              <w:spacing w:after="0" w:line="240" w:lineRule="auto"/>
              <w:jc w:val="center"/>
              <w:rPr>
                <w:rFonts w:ascii="Arial" w:hAnsi="Arial" w:cs="Arial"/>
                <w:sz w:val="20"/>
                <w:szCs w:val="20"/>
              </w:rPr>
            </w:pPr>
          </w:p>
          <w:p w:rsidR="00D51D40" w:rsidRDefault="00D51D40" w:rsidP="00D51D40">
            <w:pPr>
              <w:spacing w:after="0" w:line="240" w:lineRule="auto"/>
              <w:jc w:val="center"/>
              <w:rPr>
                <w:rFonts w:ascii="Arial" w:hAnsi="Arial" w:cs="Arial"/>
                <w:sz w:val="20"/>
                <w:szCs w:val="20"/>
              </w:rPr>
            </w:pPr>
          </w:p>
          <w:p w:rsidR="00D51D40" w:rsidRDefault="00D51D40" w:rsidP="00D51D40">
            <w:pPr>
              <w:spacing w:after="0" w:line="240" w:lineRule="auto"/>
              <w:jc w:val="center"/>
              <w:rPr>
                <w:rFonts w:ascii="Arial" w:hAnsi="Arial" w:cs="Arial"/>
                <w:sz w:val="20"/>
                <w:szCs w:val="20"/>
              </w:rPr>
            </w:pPr>
            <w:r>
              <w:rPr>
                <w:rFonts w:ascii="Arial" w:hAnsi="Arial" w:cs="Arial"/>
                <w:noProof/>
                <w:sz w:val="20"/>
                <w:szCs w:val="20"/>
              </w:rPr>
              <w:lastRenderedPageBreak/>
              <w:drawing>
                <wp:inline distT="0" distB="0" distL="0" distR="0" wp14:anchorId="57B1D510">
                  <wp:extent cx="5175811" cy="4718649"/>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7780" cy="4720444"/>
                          </a:xfrm>
                          <a:prstGeom prst="rect">
                            <a:avLst/>
                          </a:prstGeom>
                          <a:noFill/>
                        </pic:spPr>
                      </pic:pic>
                    </a:graphicData>
                  </a:graphic>
                </wp:inline>
              </w:drawing>
            </w:r>
          </w:p>
          <w:p w:rsidR="00D51D40" w:rsidRDefault="00D51D40" w:rsidP="00D51D40">
            <w:pPr>
              <w:spacing w:after="0" w:line="240" w:lineRule="auto"/>
              <w:jc w:val="center"/>
              <w:rPr>
                <w:rFonts w:ascii="Arial" w:hAnsi="Arial" w:cs="Arial"/>
                <w:sz w:val="20"/>
                <w:szCs w:val="20"/>
              </w:rPr>
            </w:pPr>
            <w:r>
              <w:rPr>
                <w:rFonts w:ascii="Arial" w:hAnsi="Arial" w:cs="Arial"/>
                <w:b/>
                <w:sz w:val="20"/>
                <w:szCs w:val="20"/>
              </w:rPr>
              <w:t xml:space="preserve">Fig. 4.  </w:t>
            </w:r>
            <w:r>
              <w:rPr>
                <w:rFonts w:ascii="Arial" w:hAnsi="Arial" w:cs="Arial"/>
                <w:sz w:val="20"/>
                <w:szCs w:val="20"/>
              </w:rPr>
              <w:t xml:space="preserve">Comparison of the computed </w:t>
            </w:r>
            <w:proofErr w:type="spellStart"/>
            <w:r>
              <w:rPr>
                <w:rFonts w:ascii="Arial" w:hAnsi="Arial" w:cs="Arial"/>
                <w:sz w:val="20"/>
                <w:szCs w:val="20"/>
              </w:rPr>
              <w:t>Newmark</w:t>
            </w:r>
            <w:proofErr w:type="spellEnd"/>
            <w:r>
              <w:rPr>
                <w:rFonts w:ascii="Arial" w:hAnsi="Arial" w:cs="Arial"/>
                <w:sz w:val="20"/>
                <w:szCs w:val="20"/>
              </w:rPr>
              <w:t xml:space="preserve"> seismic slope displacements between the simplified performance-based </w:t>
            </w:r>
            <w:proofErr w:type="spellStart"/>
            <w:r>
              <w:rPr>
                <w:rFonts w:ascii="Arial" w:hAnsi="Arial" w:cs="Arial"/>
                <w:sz w:val="20"/>
                <w:szCs w:val="20"/>
              </w:rPr>
              <w:t>Newmark</w:t>
            </w:r>
            <w:proofErr w:type="spellEnd"/>
            <w:r>
              <w:rPr>
                <w:rFonts w:ascii="Arial" w:hAnsi="Arial" w:cs="Arial"/>
                <w:sz w:val="20"/>
                <w:szCs w:val="20"/>
              </w:rPr>
              <w:t xml:space="preserve"> procedure using the Bray and </w:t>
            </w:r>
            <w:proofErr w:type="spellStart"/>
            <w:r>
              <w:rPr>
                <w:rFonts w:ascii="Arial" w:hAnsi="Arial" w:cs="Arial"/>
                <w:sz w:val="20"/>
                <w:szCs w:val="20"/>
              </w:rPr>
              <w:t>Travasarou</w:t>
            </w:r>
            <w:proofErr w:type="spellEnd"/>
            <w:r>
              <w:rPr>
                <w:rFonts w:ascii="Arial" w:hAnsi="Arial" w:cs="Arial"/>
                <w:sz w:val="20"/>
                <w:szCs w:val="20"/>
              </w:rPr>
              <w:t xml:space="preserve"> (2007) model and the full performance-based </w:t>
            </w:r>
            <w:proofErr w:type="spellStart"/>
            <w:r>
              <w:rPr>
                <w:rFonts w:ascii="Arial" w:hAnsi="Arial" w:cs="Arial"/>
                <w:sz w:val="20"/>
                <w:szCs w:val="20"/>
              </w:rPr>
              <w:t>Newmark</w:t>
            </w:r>
            <w:proofErr w:type="spellEnd"/>
            <w:r>
              <w:rPr>
                <w:rFonts w:ascii="Arial" w:hAnsi="Arial" w:cs="Arial"/>
                <w:sz w:val="20"/>
                <w:szCs w:val="20"/>
              </w:rPr>
              <w:t xml:space="preserve"> procedure </w:t>
            </w:r>
          </w:p>
          <w:p w:rsidR="00D51D40" w:rsidRPr="00CC401B" w:rsidRDefault="00D51D40" w:rsidP="00D51D40">
            <w:pPr>
              <w:spacing w:after="0" w:line="240" w:lineRule="auto"/>
              <w:jc w:val="center"/>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D51D40" w:rsidP="00360664">
            <w:pPr>
              <w:spacing w:after="0" w:line="240" w:lineRule="auto"/>
              <w:rPr>
                <w:rFonts w:ascii="Arial" w:hAnsi="Arial" w:cs="Arial"/>
                <w:sz w:val="20"/>
                <w:szCs w:val="20"/>
              </w:rPr>
            </w:pPr>
            <w:r>
              <w:rPr>
                <w:rFonts w:ascii="Arial" w:hAnsi="Arial" w:cs="Arial"/>
                <w:sz w:val="20"/>
                <w:szCs w:val="20"/>
              </w:rPr>
              <w:t xml:space="preserve">More scatter was observed in the simplified performance-based results for post-liquefaction settlement and </w:t>
            </w:r>
            <w:proofErr w:type="spellStart"/>
            <w:r>
              <w:rPr>
                <w:rFonts w:ascii="Arial" w:hAnsi="Arial" w:cs="Arial"/>
                <w:sz w:val="20"/>
                <w:szCs w:val="20"/>
              </w:rPr>
              <w:t>Newmark</w:t>
            </w:r>
            <w:proofErr w:type="spellEnd"/>
            <w:r>
              <w:rPr>
                <w:rFonts w:ascii="Arial" w:hAnsi="Arial" w:cs="Arial"/>
                <w:sz w:val="20"/>
                <w:szCs w:val="20"/>
              </w:rPr>
              <w:t xml:space="preserve">-based seismic slope displacements than was observed with liquefaction triggering and lateral spread displacement. This increase in scatter caused us to evaluate more conditions in the validations studies to satisfy ourselves that the simplified performance-based procedures would be adequately </w:t>
            </w:r>
            <w:r w:rsidR="00214FE9">
              <w:rPr>
                <w:rFonts w:ascii="Arial" w:hAnsi="Arial" w:cs="Arial"/>
                <w:sz w:val="20"/>
                <w:szCs w:val="20"/>
              </w:rPr>
              <w:t>robust for a wide range of conditions that would be encountered by engineering practitioners. These additional evaluations delayed our anticipated schedule by about one month, but we anticipate that we will be able to get back on schedule during the second and third quarters of the research project this year. No additional costs are anticipated due to these delays.</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Pr="00360664" w:rsidRDefault="00214FE9" w:rsidP="00214FE9">
            <w:pPr>
              <w:spacing w:after="0" w:line="240" w:lineRule="auto"/>
              <w:rPr>
                <w:rFonts w:ascii="Arial" w:hAnsi="Arial" w:cs="Arial"/>
                <w:sz w:val="20"/>
                <w:szCs w:val="20"/>
              </w:rPr>
            </w:pPr>
            <w:r>
              <w:rPr>
                <w:rFonts w:ascii="Arial" w:hAnsi="Arial" w:cs="Arial"/>
                <w:sz w:val="20"/>
                <w:szCs w:val="20"/>
              </w:rPr>
              <w:t xml:space="preserve">The new simplified performance-based procedures for post-liquefaction settlement and </w:t>
            </w:r>
            <w:proofErr w:type="spellStart"/>
            <w:r>
              <w:rPr>
                <w:rFonts w:ascii="Arial" w:hAnsi="Arial" w:cs="Arial"/>
                <w:sz w:val="20"/>
                <w:szCs w:val="20"/>
              </w:rPr>
              <w:t>Newmark</w:t>
            </w:r>
            <w:proofErr w:type="spellEnd"/>
            <w:r>
              <w:rPr>
                <w:rFonts w:ascii="Arial" w:hAnsi="Arial" w:cs="Arial"/>
                <w:sz w:val="20"/>
                <w:szCs w:val="20"/>
              </w:rPr>
              <w:t xml:space="preserve"> seismic slope displacement are now developed, and will be able to be used by engineering practitioners once the reference parameter maps are developed (anticipated in the following quarter), and the procedures are added to the analysis spreadsheet (anticipated in the third and fourth quarters this year). Until those other resources are ready, these new procedures will not likely be able to be implemented by engineering practitioners. </w:t>
            </w: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12" w:rsidRDefault="00F56012" w:rsidP="00106C83">
      <w:pPr>
        <w:spacing w:after="0" w:line="240" w:lineRule="auto"/>
      </w:pPr>
      <w:r>
        <w:separator/>
      </w:r>
    </w:p>
  </w:endnote>
  <w:endnote w:type="continuationSeparator" w:id="0">
    <w:p w:rsidR="00F56012" w:rsidRDefault="00F5601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12" w:rsidRDefault="00F56012" w:rsidP="00E371D1">
    <w:pPr>
      <w:pStyle w:val="Footer"/>
      <w:ind w:left="-810"/>
    </w:pPr>
    <w:r>
      <w:t>TPF Program Standard Quarterly Reporting Format – 7/2011</w:t>
    </w:r>
  </w:p>
  <w:p w:rsidR="00F56012" w:rsidRDefault="00F5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12" w:rsidRDefault="00F56012" w:rsidP="00106C83">
      <w:pPr>
        <w:spacing w:after="0" w:line="240" w:lineRule="auto"/>
      </w:pPr>
      <w:r>
        <w:separator/>
      </w:r>
    </w:p>
  </w:footnote>
  <w:footnote w:type="continuationSeparator" w:id="0">
    <w:p w:rsidR="00F56012" w:rsidRDefault="00F5601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260A"/>
    <w:rsid w:val="000335CC"/>
    <w:rsid w:val="000342EB"/>
    <w:rsid w:val="00035DAD"/>
    <w:rsid w:val="00037FBC"/>
    <w:rsid w:val="00040795"/>
    <w:rsid w:val="000452C8"/>
    <w:rsid w:val="00045C7E"/>
    <w:rsid w:val="00046DCA"/>
    <w:rsid w:val="00060908"/>
    <w:rsid w:val="00060DDA"/>
    <w:rsid w:val="00061A91"/>
    <w:rsid w:val="000632E0"/>
    <w:rsid w:val="00064DBC"/>
    <w:rsid w:val="00065B11"/>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3E6D"/>
    <w:rsid w:val="000C4744"/>
    <w:rsid w:val="000C4AC9"/>
    <w:rsid w:val="000C65A5"/>
    <w:rsid w:val="000D1273"/>
    <w:rsid w:val="000D6962"/>
    <w:rsid w:val="000E112D"/>
    <w:rsid w:val="000E189F"/>
    <w:rsid w:val="000E1C3A"/>
    <w:rsid w:val="000F489B"/>
    <w:rsid w:val="000F752B"/>
    <w:rsid w:val="000F7DCA"/>
    <w:rsid w:val="00103835"/>
    <w:rsid w:val="00106C83"/>
    <w:rsid w:val="001147C8"/>
    <w:rsid w:val="00121037"/>
    <w:rsid w:val="00122CE0"/>
    <w:rsid w:val="00122DE0"/>
    <w:rsid w:val="001336E7"/>
    <w:rsid w:val="001428DF"/>
    <w:rsid w:val="001429F4"/>
    <w:rsid w:val="001536F4"/>
    <w:rsid w:val="00154785"/>
    <w:rsid w:val="001547D0"/>
    <w:rsid w:val="00161153"/>
    <w:rsid w:val="00164E36"/>
    <w:rsid w:val="00165AF3"/>
    <w:rsid w:val="00174FA3"/>
    <w:rsid w:val="00181F8B"/>
    <w:rsid w:val="0018433C"/>
    <w:rsid w:val="00186107"/>
    <w:rsid w:val="00186B05"/>
    <w:rsid w:val="00190459"/>
    <w:rsid w:val="001918E8"/>
    <w:rsid w:val="00191F1F"/>
    <w:rsid w:val="00194CD6"/>
    <w:rsid w:val="00197E96"/>
    <w:rsid w:val="001A1210"/>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14FE9"/>
    <w:rsid w:val="0022101B"/>
    <w:rsid w:val="00221214"/>
    <w:rsid w:val="00225004"/>
    <w:rsid w:val="0023315F"/>
    <w:rsid w:val="00236E81"/>
    <w:rsid w:val="00237469"/>
    <w:rsid w:val="002416F6"/>
    <w:rsid w:val="00243FCC"/>
    <w:rsid w:val="002442E9"/>
    <w:rsid w:val="00245D5B"/>
    <w:rsid w:val="0025100B"/>
    <w:rsid w:val="002571EA"/>
    <w:rsid w:val="002661B7"/>
    <w:rsid w:val="00271658"/>
    <w:rsid w:val="00272964"/>
    <w:rsid w:val="002742C3"/>
    <w:rsid w:val="00276274"/>
    <w:rsid w:val="002765D0"/>
    <w:rsid w:val="00281C9D"/>
    <w:rsid w:val="00281E8E"/>
    <w:rsid w:val="00285DA3"/>
    <w:rsid w:val="00291F1C"/>
    <w:rsid w:val="0029327C"/>
    <w:rsid w:val="002936D0"/>
    <w:rsid w:val="00293FD8"/>
    <w:rsid w:val="002A0E0A"/>
    <w:rsid w:val="002A61A3"/>
    <w:rsid w:val="002A79C8"/>
    <w:rsid w:val="002B1447"/>
    <w:rsid w:val="002B31FF"/>
    <w:rsid w:val="002B56F3"/>
    <w:rsid w:val="002B708D"/>
    <w:rsid w:val="002B7515"/>
    <w:rsid w:val="002C2F72"/>
    <w:rsid w:val="002C4321"/>
    <w:rsid w:val="002C6E75"/>
    <w:rsid w:val="002D0D07"/>
    <w:rsid w:val="002D353E"/>
    <w:rsid w:val="002D60CF"/>
    <w:rsid w:val="002D6EA4"/>
    <w:rsid w:val="002E3814"/>
    <w:rsid w:val="002E5C07"/>
    <w:rsid w:val="002F3D8F"/>
    <w:rsid w:val="002F44FD"/>
    <w:rsid w:val="002F5B74"/>
    <w:rsid w:val="002F66FD"/>
    <w:rsid w:val="0030162E"/>
    <w:rsid w:val="00303BFD"/>
    <w:rsid w:val="003057C7"/>
    <w:rsid w:val="003133E9"/>
    <w:rsid w:val="0031390E"/>
    <w:rsid w:val="00315011"/>
    <w:rsid w:val="00315979"/>
    <w:rsid w:val="00317414"/>
    <w:rsid w:val="00321691"/>
    <w:rsid w:val="003227F0"/>
    <w:rsid w:val="0032612B"/>
    <w:rsid w:val="00327AC3"/>
    <w:rsid w:val="00332429"/>
    <w:rsid w:val="0033444C"/>
    <w:rsid w:val="003372CD"/>
    <w:rsid w:val="00337E98"/>
    <w:rsid w:val="00340B50"/>
    <w:rsid w:val="00341D76"/>
    <w:rsid w:val="003442D7"/>
    <w:rsid w:val="00346691"/>
    <w:rsid w:val="00357BC4"/>
    <w:rsid w:val="00360664"/>
    <w:rsid w:val="00362F45"/>
    <w:rsid w:val="003630A0"/>
    <w:rsid w:val="003634EC"/>
    <w:rsid w:val="00366877"/>
    <w:rsid w:val="00374D25"/>
    <w:rsid w:val="00382110"/>
    <w:rsid w:val="0038529F"/>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44E6"/>
    <w:rsid w:val="004156B2"/>
    <w:rsid w:val="0041707D"/>
    <w:rsid w:val="00432286"/>
    <w:rsid w:val="0043487E"/>
    <w:rsid w:val="00436383"/>
    <w:rsid w:val="00437734"/>
    <w:rsid w:val="004377DD"/>
    <w:rsid w:val="00437E79"/>
    <w:rsid w:val="00447F77"/>
    <w:rsid w:val="004519D7"/>
    <w:rsid w:val="0045218A"/>
    <w:rsid w:val="00452515"/>
    <w:rsid w:val="00455A67"/>
    <w:rsid w:val="0046217B"/>
    <w:rsid w:val="00463EA1"/>
    <w:rsid w:val="00476BA3"/>
    <w:rsid w:val="004828D8"/>
    <w:rsid w:val="004846CC"/>
    <w:rsid w:val="004913CE"/>
    <w:rsid w:val="00492C17"/>
    <w:rsid w:val="004974E1"/>
    <w:rsid w:val="004A3ABB"/>
    <w:rsid w:val="004A5173"/>
    <w:rsid w:val="004B3E34"/>
    <w:rsid w:val="004D5EEE"/>
    <w:rsid w:val="004D6151"/>
    <w:rsid w:val="004D6DF5"/>
    <w:rsid w:val="004E14DC"/>
    <w:rsid w:val="004E4852"/>
    <w:rsid w:val="004E4A6C"/>
    <w:rsid w:val="004E6402"/>
    <w:rsid w:val="004E771A"/>
    <w:rsid w:val="004F586D"/>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5CF7"/>
    <w:rsid w:val="00547870"/>
    <w:rsid w:val="00547EE3"/>
    <w:rsid w:val="0055178A"/>
    <w:rsid w:val="00551D8A"/>
    <w:rsid w:val="00567605"/>
    <w:rsid w:val="0057047E"/>
    <w:rsid w:val="0057136C"/>
    <w:rsid w:val="00572A58"/>
    <w:rsid w:val="00574EA0"/>
    <w:rsid w:val="0057706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D25B4"/>
    <w:rsid w:val="005D3419"/>
    <w:rsid w:val="005D567C"/>
    <w:rsid w:val="005D676C"/>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7540"/>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5BE7"/>
    <w:rsid w:val="00707493"/>
    <w:rsid w:val="00715C3B"/>
    <w:rsid w:val="00725BCF"/>
    <w:rsid w:val="00726BE1"/>
    <w:rsid w:val="007308C4"/>
    <w:rsid w:val="00731FB6"/>
    <w:rsid w:val="00732659"/>
    <w:rsid w:val="00733FC5"/>
    <w:rsid w:val="00741D56"/>
    <w:rsid w:val="00742FFE"/>
    <w:rsid w:val="00743C01"/>
    <w:rsid w:val="007449D3"/>
    <w:rsid w:val="007459C3"/>
    <w:rsid w:val="00752379"/>
    <w:rsid w:val="00754076"/>
    <w:rsid w:val="00755D8B"/>
    <w:rsid w:val="00756D70"/>
    <w:rsid w:val="007604EA"/>
    <w:rsid w:val="00763824"/>
    <w:rsid w:val="00763DDA"/>
    <w:rsid w:val="00770417"/>
    <w:rsid w:val="00770FD2"/>
    <w:rsid w:val="00774CA4"/>
    <w:rsid w:val="00777B5F"/>
    <w:rsid w:val="0078688E"/>
    <w:rsid w:val="00790C4A"/>
    <w:rsid w:val="0079114B"/>
    <w:rsid w:val="0079313F"/>
    <w:rsid w:val="007932BB"/>
    <w:rsid w:val="007A4135"/>
    <w:rsid w:val="007B3202"/>
    <w:rsid w:val="007B3CBC"/>
    <w:rsid w:val="007B5208"/>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E5BD2"/>
    <w:rsid w:val="007F0353"/>
    <w:rsid w:val="007F0BF1"/>
    <w:rsid w:val="007F4964"/>
    <w:rsid w:val="00800E72"/>
    <w:rsid w:val="00803CB4"/>
    <w:rsid w:val="00811DF5"/>
    <w:rsid w:val="008137D5"/>
    <w:rsid w:val="00814F16"/>
    <w:rsid w:val="008202B0"/>
    <w:rsid w:val="00821F4B"/>
    <w:rsid w:val="00822B79"/>
    <w:rsid w:val="00822FE0"/>
    <w:rsid w:val="00826193"/>
    <w:rsid w:val="008273D7"/>
    <w:rsid w:val="00833757"/>
    <w:rsid w:val="00833D43"/>
    <w:rsid w:val="008451C1"/>
    <w:rsid w:val="00845B74"/>
    <w:rsid w:val="008479DD"/>
    <w:rsid w:val="00851FDC"/>
    <w:rsid w:val="00853ADF"/>
    <w:rsid w:val="00863AD7"/>
    <w:rsid w:val="00864DD3"/>
    <w:rsid w:val="00866277"/>
    <w:rsid w:val="00867CFC"/>
    <w:rsid w:val="00872F18"/>
    <w:rsid w:val="008730EB"/>
    <w:rsid w:val="00874EF7"/>
    <w:rsid w:val="008753B7"/>
    <w:rsid w:val="00876312"/>
    <w:rsid w:val="00883F30"/>
    <w:rsid w:val="008860BE"/>
    <w:rsid w:val="008942C9"/>
    <w:rsid w:val="008A6693"/>
    <w:rsid w:val="008B3332"/>
    <w:rsid w:val="008B449D"/>
    <w:rsid w:val="008C22B3"/>
    <w:rsid w:val="008D06D3"/>
    <w:rsid w:val="008D1B39"/>
    <w:rsid w:val="008D3307"/>
    <w:rsid w:val="008E57BB"/>
    <w:rsid w:val="008E6C4D"/>
    <w:rsid w:val="008E6F0C"/>
    <w:rsid w:val="008E75C5"/>
    <w:rsid w:val="008E7F29"/>
    <w:rsid w:val="008F3D6B"/>
    <w:rsid w:val="008F5A12"/>
    <w:rsid w:val="008F7F87"/>
    <w:rsid w:val="00900981"/>
    <w:rsid w:val="00901F7B"/>
    <w:rsid w:val="00902A65"/>
    <w:rsid w:val="0090315B"/>
    <w:rsid w:val="0091609B"/>
    <w:rsid w:val="0092091E"/>
    <w:rsid w:val="009255A2"/>
    <w:rsid w:val="00926E5F"/>
    <w:rsid w:val="00930617"/>
    <w:rsid w:val="00931376"/>
    <w:rsid w:val="00931D5A"/>
    <w:rsid w:val="00935EEF"/>
    <w:rsid w:val="00936D01"/>
    <w:rsid w:val="009431CA"/>
    <w:rsid w:val="00950310"/>
    <w:rsid w:val="00953F07"/>
    <w:rsid w:val="00956349"/>
    <w:rsid w:val="00957DF3"/>
    <w:rsid w:val="0096036D"/>
    <w:rsid w:val="00974B55"/>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22D5"/>
    <w:rsid w:val="00A63677"/>
    <w:rsid w:val="00A6396D"/>
    <w:rsid w:val="00A64232"/>
    <w:rsid w:val="00A77243"/>
    <w:rsid w:val="00A82694"/>
    <w:rsid w:val="00A85447"/>
    <w:rsid w:val="00A937D9"/>
    <w:rsid w:val="00AA54A6"/>
    <w:rsid w:val="00AA72F5"/>
    <w:rsid w:val="00AB0016"/>
    <w:rsid w:val="00AB1949"/>
    <w:rsid w:val="00AB1B0F"/>
    <w:rsid w:val="00AB3E7F"/>
    <w:rsid w:val="00AB7C11"/>
    <w:rsid w:val="00AC5E5C"/>
    <w:rsid w:val="00AD5786"/>
    <w:rsid w:val="00AD6893"/>
    <w:rsid w:val="00AE185D"/>
    <w:rsid w:val="00AE2045"/>
    <w:rsid w:val="00AE46B0"/>
    <w:rsid w:val="00AE628E"/>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6AD"/>
    <w:rsid w:val="00BD56BC"/>
    <w:rsid w:val="00BD653C"/>
    <w:rsid w:val="00BE1A35"/>
    <w:rsid w:val="00BE2ADA"/>
    <w:rsid w:val="00BE30B7"/>
    <w:rsid w:val="00BF0BF7"/>
    <w:rsid w:val="00BF0C78"/>
    <w:rsid w:val="00BF26C7"/>
    <w:rsid w:val="00BF3A67"/>
    <w:rsid w:val="00BF5713"/>
    <w:rsid w:val="00BF59F6"/>
    <w:rsid w:val="00BF715D"/>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AE4"/>
    <w:rsid w:val="00CF7676"/>
    <w:rsid w:val="00D00A11"/>
    <w:rsid w:val="00D056BA"/>
    <w:rsid w:val="00D06294"/>
    <w:rsid w:val="00D07D43"/>
    <w:rsid w:val="00D10420"/>
    <w:rsid w:val="00D15B0D"/>
    <w:rsid w:val="00D15C36"/>
    <w:rsid w:val="00D20F0C"/>
    <w:rsid w:val="00D21FE0"/>
    <w:rsid w:val="00D2329A"/>
    <w:rsid w:val="00D25918"/>
    <w:rsid w:val="00D30C5D"/>
    <w:rsid w:val="00D328B8"/>
    <w:rsid w:val="00D33634"/>
    <w:rsid w:val="00D3591A"/>
    <w:rsid w:val="00D40910"/>
    <w:rsid w:val="00D43FC8"/>
    <w:rsid w:val="00D47A1D"/>
    <w:rsid w:val="00D51D40"/>
    <w:rsid w:val="00D64CBB"/>
    <w:rsid w:val="00D73308"/>
    <w:rsid w:val="00D73367"/>
    <w:rsid w:val="00D74CFF"/>
    <w:rsid w:val="00D8797B"/>
    <w:rsid w:val="00D905D6"/>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49E"/>
    <w:rsid w:val="00DF0220"/>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2E9D"/>
    <w:rsid w:val="00F7183A"/>
    <w:rsid w:val="00F75CDE"/>
    <w:rsid w:val="00F7756F"/>
    <w:rsid w:val="00F77B94"/>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6541-DBBF-48EA-9501-41EE3365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2011</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8</cp:revision>
  <cp:lastPrinted>2011-06-21T20:32:00Z</cp:lastPrinted>
  <dcterms:created xsi:type="dcterms:W3CDTF">2015-07-22T16:29:00Z</dcterms:created>
  <dcterms:modified xsi:type="dcterms:W3CDTF">2015-07-22T16:37:00Z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